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7FD5791" w14:textId="298AEAC7" w:rsidR="00A7149A" w:rsidRDefault="00A7149A" w:rsidP="00A7149A">
      <w:pPr>
        <w:rPr>
          <w:lang w:eastAsia="ja-JP"/>
        </w:rPr>
      </w:pPr>
      <w:r>
        <w:rPr>
          <w:noProof/>
          <w:lang w:eastAsia="ja-JP"/>
        </w:rPr>
        <w:drawing>
          <wp:inline distT="0" distB="0" distL="0" distR="0" wp14:anchorId="50BA106F" wp14:editId="057D0DE6">
            <wp:extent cx="2162810" cy="111315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2810" cy="1113155"/>
                    </a:xfrm>
                    <a:prstGeom prst="rect">
                      <a:avLst/>
                    </a:prstGeom>
                    <a:noFill/>
                    <a:ln>
                      <a:noFill/>
                    </a:ln>
                  </pic:spPr>
                </pic:pic>
              </a:graphicData>
            </a:graphic>
          </wp:inline>
        </w:drawing>
      </w:r>
    </w:p>
    <w:p w14:paraId="1D1513A5" w14:textId="35049E97" w:rsidR="00A7149A" w:rsidRPr="00B73D02" w:rsidRDefault="00A7149A" w:rsidP="00A7149A">
      <w:pPr>
        <w:spacing w:after="120"/>
        <w:rPr>
          <w:rFonts w:asciiTheme="minorHAnsi" w:hAnsiTheme="minorHAnsi"/>
          <w:lang w:eastAsia="ja-JP"/>
        </w:rPr>
      </w:pPr>
      <w:r w:rsidRPr="00A7149A">
        <w:rPr>
          <w:rFonts w:asciiTheme="minorHAnsi" w:hAnsiTheme="minorHAnsi"/>
          <w:lang w:eastAsia="ja-JP"/>
        </w:rPr>
        <w:t xml:space="preserve">Review report No. </w:t>
      </w:r>
      <w:bookmarkStart w:id="0" w:name="_Hlk90982536"/>
      <w:r w:rsidRPr="00A7149A">
        <w:rPr>
          <w:rFonts w:asciiTheme="minorHAnsi" w:hAnsiTheme="minorHAnsi"/>
          <w:lang w:eastAsia="ja-JP"/>
        </w:rPr>
        <w:t>2021–22/01</w:t>
      </w:r>
      <w:bookmarkEnd w:id="0"/>
    </w:p>
    <w:p w14:paraId="4C9F5CBC" w14:textId="3ADDBD6C" w:rsidR="00A7149A" w:rsidRPr="00AA1B19" w:rsidRDefault="00A7149A" w:rsidP="00A7149A">
      <w:pPr>
        <w:pStyle w:val="Title"/>
      </w:pPr>
      <w:r w:rsidRPr="00A7149A">
        <w:t>Accountable implementation of Inspectors-General of Biosecurity review recommendations (2015‒2021)</w:t>
      </w:r>
    </w:p>
    <w:p w14:paraId="18B57031" w14:textId="77777777" w:rsidR="00A7149A" w:rsidRPr="00AA1B19" w:rsidRDefault="00D60801" w:rsidP="00A7149A">
      <w:r>
        <w:rPr>
          <w:rFonts w:ascii="Times New Roman" w:hAnsi="Times New Roman"/>
        </w:rPr>
        <w:pict w14:anchorId="0D155F80">
          <v:rect id="_x0000_i1025" style="width:0;height:1.5pt" o:hralign="center" o:hrstd="t" o:hr="t" fillcolor="#aca899" stroked="f"/>
        </w:pict>
      </w:r>
    </w:p>
    <w:p w14:paraId="7C483019" w14:textId="5DF30F52" w:rsidR="004A5FB8" w:rsidRPr="00595916" w:rsidRDefault="001B1887" w:rsidP="00A7149A">
      <w:r>
        <w:rPr>
          <w:noProof/>
        </w:rPr>
        <w:drawing>
          <wp:inline distT="0" distB="0" distL="0" distR="0" wp14:anchorId="509F96A1" wp14:editId="43915E5C">
            <wp:extent cx="5759450" cy="3239135"/>
            <wp:effectExtent l="0" t="0" r="8890" b="698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0" cy="3239135"/>
                    </a:xfrm>
                    <a:prstGeom prst="rect">
                      <a:avLst/>
                    </a:prstGeom>
                  </pic:spPr>
                </pic:pic>
              </a:graphicData>
            </a:graphic>
          </wp:inline>
        </w:drawing>
      </w:r>
    </w:p>
    <w:p w14:paraId="786A3533" w14:textId="77777777" w:rsidR="004A5FB8" w:rsidRPr="00595916" w:rsidRDefault="004A5FB8" w:rsidP="00CE120A">
      <w:r w:rsidRPr="00595916">
        <w:br w:type="page"/>
      </w:r>
    </w:p>
    <w:p w14:paraId="1D87EB20" w14:textId="327C6599" w:rsidR="004A5FB8" w:rsidRPr="00595916" w:rsidRDefault="004A5FB8" w:rsidP="004A5FB8">
      <w:pPr>
        <w:pStyle w:val="Normalsmall"/>
      </w:pPr>
      <w:r w:rsidRPr="00595916">
        <w:lastRenderedPageBreak/>
        <w:t xml:space="preserve">© Commonwealth of Australia </w:t>
      </w:r>
      <w:r w:rsidR="00165116" w:rsidRPr="00734D05">
        <w:t>2021</w:t>
      </w:r>
    </w:p>
    <w:p w14:paraId="0253FF5F" w14:textId="77777777" w:rsidR="004A5FB8" w:rsidRPr="00595916" w:rsidRDefault="004A5FB8" w:rsidP="004A5FB8">
      <w:pPr>
        <w:pStyle w:val="Normalsmall"/>
        <w:rPr>
          <w:rStyle w:val="Strong"/>
        </w:rPr>
      </w:pPr>
      <w:r w:rsidRPr="00595916">
        <w:rPr>
          <w:rStyle w:val="Strong"/>
        </w:rPr>
        <w:t>Ownership of intellectual property rights</w:t>
      </w:r>
    </w:p>
    <w:p w14:paraId="6B78A3B2" w14:textId="08F25892" w:rsidR="004A5FB8" w:rsidRPr="00595916" w:rsidRDefault="004A5FB8" w:rsidP="004A5FB8">
      <w:pPr>
        <w:pStyle w:val="Normalsmall"/>
      </w:pPr>
      <w:r w:rsidRPr="00595916">
        <w:t>Unless otherwise noted, copyright (and any other intellectual property rights) in this publication is owned by the Commonwealth of Australia (referred to as the Commonwealth).</w:t>
      </w:r>
    </w:p>
    <w:p w14:paraId="0E2CC8BF" w14:textId="77777777" w:rsidR="004A5FB8" w:rsidRPr="00595916" w:rsidRDefault="004A5FB8" w:rsidP="004A5FB8">
      <w:pPr>
        <w:pStyle w:val="Normalsmall"/>
        <w:rPr>
          <w:rStyle w:val="Strong"/>
        </w:rPr>
      </w:pPr>
      <w:r w:rsidRPr="00595916">
        <w:rPr>
          <w:rStyle w:val="Strong"/>
        </w:rPr>
        <w:t>Creative Commons licence</w:t>
      </w:r>
    </w:p>
    <w:p w14:paraId="671E1323" w14:textId="3C381316" w:rsidR="004A5FB8" w:rsidRPr="00595916" w:rsidRDefault="004A5FB8" w:rsidP="004A5FB8">
      <w:pPr>
        <w:pStyle w:val="Normalsmall"/>
      </w:pPr>
      <w:r w:rsidRPr="00595916">
        <w:t xml:space="preserve">All material in this publication is licensed under a </w:t>
      </w:r>
      <w:hyperlink r:id="rId13" w:history="1">
        <w:r w:rsidR="00CA69F2">
          <w:rPr>
            <w:rStyle w:val="Hyperlink"/>
          </w:rPr>
          <w:t>Creative Commons Attribution 4.0 International Licence</w:t>
        </w:r>
      </w:hyperlink>
      <w:r w:rsidRPr="00595916">
        <w:t xml:space="preserve"> </w:t>
      </w:r>
      <w:r w:rsidR="006D7D36" w:rsidRPr="00595916">
        <w:t>save for</w:t>
      </w:r>
      <w:r w:rsidRPr="00595916">
        <w:t xml:space="preserve"> content supplied by third parties, logos and the Commonwealth Coat of Arms.</w:t>
      </w:r>
    </w:p>
    <w:p w14:paraId="16624E64" w14:textId="5E1E1C39" w:rsidR="007948AB" w:rsidRPr="00595916" w:rsidRDefault="007948AB" w:rsidP="004A5FB8">
      <w:pPr>
        <w:pStyle w:val="Normalsmall"/>
      </w:pPr>
      <w:r w:rsidRPr="00595916">
        <w:t xml:space="preserve">Inquiries about the licence and any use of this document should be emailed to </w:t>
      </w:r>
      <w:hyperlink r:id="rId14" w:history="1">
        <w:r w:rsidR="00165116" w:rsidRPr="00CF2D93">
          <w:rPr>
            <w:rStyle w:val="Hyperlink"/>
          </w:rPr>
          <w:t>copyright@awe.gov.au</w:t>
        </w:r>
      </w:hyperlink>
    </w:p>
    <w:p w14:paraId="07D1180F" w14:textId="77777777" w:rsidR="004A5FB8" w:rsidRPr="00595916" w:rsidRDefault="004A5FB8" w:rsidP="004A5FB8">
      <w:pPr>
        <w:pStyle w:val="Normalsmall"/>
      </w:pPr>
      <w:r w:rsidRPr="00595916">
        <w:rPr>
          <w:noProof/>
          <w:lang w:eastAsia="en-AU"/>
        </w:rPr>
        <w:drawing>
          <wp:inline distT="0" distB="0" distL="0" distR="0" wp14:anchorId="5793B692" wp14:editId="58CFDA4D">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5"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27C4B9E" w14:textId="77777777" w:rsidR="004A5FB8" w:rsidRPr="00595916" w:rsidRDefault="004A5FB8" w:rsidP="004A5FB8">
      <w:pPr>
        <w:pStyle w:val="Normalsmall"/>
        <w:rPr>
          <w:rStyle w:val="Strong"/>
        </w:rPr>
      </w:pPr>
      <w:r w:rsidRPr="00595916">
        <w:rPr>
          <w:rStyle w:val="Strong"/>
        </w:rPr>
        <w:t>Cataloguing data</w:t>
      </w:r>
    </w:p>
    <w:p w14:paraId="456D9BAE" w14:textId="75CFCC68" w:rsidR="004A5FB8" w:rsidRPr="00734D05" w:rsidRDefault="004A5FB8" w:rsidP="00734D05">
      <w:pPr>
        <w:pStyle w:val="Normalsmall"/>
      </w:pPr>
      <w:r w:rsidRPr="00595916">
        <w:t>This publication (and any material sourced from it) should be attributed as</w:t>
      </w:r>
      <w:r w:rsidR="006D7D36" w:rsidRPr="00595916">
        <w:t>:</w:t>
      </w:r>
      <w:r w:rsidR="00D6291B">
        <w:t xml:space="preserve"> </w:t>
      </w:r>
      <w:r w:rsidR="00D34821" w:rsidRPr="00D34821">
        <w:t xml:space="preserve">Inspector-General of Biosecurity </w:t>
      </w:r>
      <w:r w:rsidR="00D6291B" w:rsidRPr="00D6291B">
        <w:t xml:space="preserve">2021, </w:t>
      </w:r>
      <w:r w:rsidR="00D6291B" w:rsidRPr="00D6291B">
        <w:rPr>
          <w:rStyle w:val="Emphasis"/>
        </w:rPr>
        <w:t>Accountable implementation of Inspectors-General of Biosecurity review recommendations</w:t>
      </w:r>
      <w:r w:rsidR="00D6291B" w:rsidRPr="00D6291B">
        <w:t>,</w:t>
      </w:r>
      <w:r w:rsidR="00800297">
        <w:t xml:space="preserve"> </w:t>
      </w:r>
      <w:r w:rsidR="00800297" w:rsidRPr="00800297">
        <w:t>Inspector-General of Biosecurity</w:t>
      </w:r>
      <w:r w:rsidR="00800297">
        <w:t>,</w:t>
      </w:r>
      <w:r w:rsidR="00D6291B" w:rsidRPr="00D6291B">
        <w:t xml:space="preserve"> Department of Agriculture, Water and the Environment, Canberra,</w:t>
      </w:r>
      <w:r w:rsidR="006D7D36" w:rsidRPr="00595916">
        <w:t xml:space="preserve"> </w:t>
      </w:r>
      <w:r w:rsidR="00CB000D" w:rsidRPr="007020DD">
        <w:t>November</w:t>
      </w:r>
      <w:r w:rsidR="00D34821">
        <w:t xml:space="preserve">, </w:t>
      </w:r>
      <w:r w:rsidR="00D34821" w:rsidRPr="00D34821">
        <w:t>2021–22/01</w:t>
      </w:r>
      <w:r w:rsidR="00D34821">
        <w:t>.</w:t>
      </w:r>
    </w:p>
    <w:p w14:paraId="66D5FECA" w14:textId="49CB3A60" w:rsidR="00734D05" w:rsidRDefault="00734D05" w:rsidP="004A5FB8">
      <w:pPr>
        <w:pStyle w:val="Normalsmall"/>
        <w:rPr>
          <w:rStyle w:val="Emphasis"/>
          <w:i w:val="0"/>
          <w:iCs w:val="0"/>
        </w:rPr>
      </w:pPr>
      <w:r w:rsidRPr="00D55ED5">
        <w:rPr>
          <w:rStyle w:val="Emphasis"/>
          <w:i w:val="0"/>
          <w:iCs w:val="0"/>
        </w:rPr>
        <w:t xml:space="preserve">ISBN </w:t>
      </w:r>
      <w:r w:rsidR="008E0F2E" w:rsidRPr="008E0F2E">
        <w:rPr>
          <w:rStyle w:val="Emphasis"/>
          <w:i w:val="0"/>
          <w:iCs w:val="0"/>
        </w:rPr>
        <w:t>978-1-76003-476-4</w:t>
      </w:r>
    </w:p>
    <w:p w14:paraId="50A849DF" w14:textId="50A3E703" w:rsidR="004A5FB8" w:rsidRPr="00595916" w:rsidRDefault="004A5FB8" w:rsidP="00D6291B">
      <w:pPr>
        <w:pStyle w:val="Normalsmall"/>
      </w:pPr>
      <w:r w:rsidRPr="00595916">
        <w:t>This publication is available at</w:t>
      </w:r>
      <w:r w:rsidR="00D6291B">
        <w:t xml:space="preserve"> </w:t>
      </w:r>
      <w:hyperlink r:id="rId16" w:history="1">
        <w:r w:rsidR="002C294C">
          <w:rPr>
            <w:rStyle w:val="Hyperlink"/>
          </w:rPr>
          <w:t>https://www.igb.gov.au/current-and-completed-reviews</w:t>
        </w:r>
      </w:hyperlink>
      <w:r w:rsidR="00165116" w:rsidRPr="00165116">
        <w:t>.</w:t>
      </w:r>
    </w:p>
    <w:p w14:paraId="0187C674" w14:textId="50D51333" w:rsidR="00C67F27" w:rsidRPr="00595916" w:rsidRDefault="00C67F27" w:rsidP="004A5FB8">
      <w:pPr>
        <w:pStyle w:val="Normalsmall"/>
        <w:spacing w:after="0"/>
      </w:pPr>
      <w:r w:rsidRPr="00595916">
        <w:t>Inspector-General of Biosecurity</w:t>
      </w:r>
    </w:p>
    <w:p w14:paraId="6326CF9E" w14:textId="4472598A" w:rsidR="004A5FB8" w:rsidRPr="00595916" w:rsidRDefault="00C67F27" w:rsidP="004A5FB8">
      <w:pPr>
        <w:pStyle w:val="Normalsmall"/>
        <w:spacing w:after="0"/>
      </w:pPr>
      <w:r w:rsidRPr="00595916">
        <w:t xml:space="preserve">c/o </w:t>
      </w:r>
      <w:r w:rsidR="004A5FB8" w:rsidRPr="00595916">
        <w:t>Department of Agriculture</w:t>
      </w:r>
      <w:r w:rsidR="00734D05">
        <w:t xml:space="preserve">, </w:t>
      </w:r>
      <w:r w:rsidR="004A5FB8" w:rsidRPr="00595916">
        <w:t xml:space="preserve">Water </w:t>
      </w:r>
      <w:r w:rsidR="00734D05">
        <w:t>and the Environment</w:t>
      </w:r>
    </w:p>
    <w:p w14:paraId="62F7D7E8" w14:textId="3FB74F0A" w:rsidR="004A5FB8" w:rsidRPr="00595916" w:rsidRDefault="00D6291B" w:rsidP="004A5FB8">
      <w:pPr>
        <w:pStyle w:val="Normalsmall"/>
        <w:spacing w:after="0"/>
      </w:pPr>
      <w:r w:rsidRPr="00D6291B">
        <w:t xml:space="preserve">PO Box 858 </w:t>
      </w:r>
    </w:p>
    <w:p w14:paraId="660E5120" w14:textId="2CEDF406" w:rsidR="00D6291B" w:rsidRDefault="00D6291B" w:rsidP="004A5FB8">
      <w:pPr>
        <w:pStyle w:val="Normalsmall"/>
        <w:spacing w:after="0"/>
      </w:pPr>
      <w:r w:rsidRPr="00D6291B">
        <w:t>Canberra ACT 2601</w:t>
      </w:r>
    </w:p>
    <w:p w14:paraId="56557BD2" w14:textId="082C2DCF" w:rsidR="00C67F27" w:rsidRPr="00595916" w:rsidRDefault="00C67F27" w:rsidP="004A5FB8">
      <w:pPr>
        <w:pStyle w:val="Normalsmall"/>
        <w:spacing w:after="0"/>
      </w:pPr>
      <w:r w:rsidRPr="00595916">
        <w:t xml:space="preserve">Email </w:t>
      </w:r>
      <w:hyperlink r:id="rId17" w:history="1">
        <w:r w:rsidR="003E7831" w:rsidRPr="00CF2D93">
          <w:rPr>
            <w:rStyle w:val="Hyperlink"/>
          </w:rPr>
          <w:t>InspGenBiosecurity@agriculture.gov.au</w:t>
        </w:r>
      </w:hyperlink>
    </w:p>
    <w:p w14:paraId="28439C79" w14:textId="056930BE" w:rsidR="004A5FB8" w:rsidRPr="00595916" w:rsidRDefault="004A5FB8" w:rsidP="004A5FB8">
      <w:pPr>
        <w:pStyle w:val="Normalsmall"/>
      </w:pPr>
      <w:r w:rsidRPr="00595916">
        <w:t xml:space="preserve">Web </w:t>
      </w:r>
      <w:hyperlink r:id="rId18" w:history="1">
        <w:r w:rsidR="002C294C">
          <w:rPr>
            <w:rStyle w:val="Hyperlink"/>
          </w:rPr>
          <w:t>https://www.igb.gov.au/</w:t>
        </w:r>
      </w:hyperlink>
    </w:p>
    <w:p w14:paraId="44D69716" w14:textId="413EE90F" w:rsidR="004A5FB8" w:rsidRPr="00595916" w:rsidRDefault="004A5FB8" w:rsidP="004A5FB8">
      <w:pPr>
        <w:pStyle w:val="Normalsmall"/>
      </w:pPr>
      <w:r w:rsidRPr="00595916">
        <w:t xml:space="preserve">The Australian Government </w:t>
      </w:r>
      <w:r w:rsidR="006118BF" w:rsidRPr="00595916">
        <w:t>represented by the Inspector-General of Biosecurity,</w:t>
      </w:r>
      <w:r w:rsidRPr="00595916">
        <w:t xml:space="preserve"> has exercised due care and skill in preparing and compiling the information and data in this publication. Notwithstanding, the </w:t>
      </w:r>
      <w:r w:rsidR="006118BF" w:rsidRPr="00595916">
        <w:t>Inspector-General of Biosecurity</w:t>
      </w:r>
      <w:r w:rsidRPr="00595916">
        <w:t>,</w:t>
      </w:r>
      <w:r w:rsidR="006118BF" w:rsidRPr="00595916">
        <w:t xml:space="preserve"> the Australian Government’s employees</w:t>
      </w:r>
      <w:r w:rsidRPr="00595916">
        <w:t xml:space="preserve"> and advisers disclaim al</w:t>
      </w:r>
      <w:r w:rsidR="006118BF" w:rsidRPr="00595916">
        <w:t>l liability, including</w:t>
      </w:r>
      <w:r w:rsidRPr="00595916">
        <w:t xml:space="preserve"> for negligence and for any loss, damage, injury, expense or cost incurred by any person as a result of accessing, using or relying on any of the information or data in this publication to the maximum extent permitted by law.</w:t>
      </w:r>
    </w:p>
    <w:p w14:paraId="07A5451D" w14:textId="77777777" w:rsidR="00D6291B" w:rsidRPr="00D6291B" w:rsidRDefault="00D6291B" w:rsidP="00D6291B">
      <w:pPr>
        <w:pStyle w:val="Normalsmall"/>
        <w:rPr>
          <w:rStyle w:val="Strong"/>
        </w:rPr>
      </w:pPr>
      <w:r w:rsidRPr="00D6291B">
        <w:rPr>
          <w:rStyle w:val="Strong"/>
        </w:rPr>
        <w:t>Credits</w:t>
      </w:r>
    </w:p>
    <w:p w14:paraId="17DD4BF3" w14:textId="6A592BB2" w:rsidR="00D6291B" w:rsidRPr="00D6291B" w:rsidRDefault="00D6291B" w:rsidP="00D6291B">
      <w:pPr>
        <w:pStyle w:val="Normalsmall"/>
        <w:rPr>
          <w:rStyle w:val="Strong"/>
          <w:b w:val="0"/>
          <w:bCs w:val="0"/>
        </w:rPr>
      </w:pPr>
      <w:r w:rsidRPr="00D6291B">
        <w:rPr>
          <w:rStyle w:val="Strong"/>
          <w:b w:val="0"/>
          <w:bCs w:val="0"/>
        </w:rPr>
        <w:t>The source of data for all figures and tables is the Department of Agriculture, Water and the Environment unless otherwise noted.</w:t>
      </w:r>
    </w:p>
    <w:p w14:paraId="46C7F6C5" w14:textId="5E15EF41" w:rsidR="00734D05" w:rsidRPr="00734D05" w:rsidRDefault="00CB000D" w:rsidP="00734D05">
      <w:pPr>
        <w:pStyle w:val="Normalsmall"/>
        <w:rPr>
          <w:rStyle w:val="Strong"/>
          <w:highlight w:val="yellow"/>
        </w:rPr>
      </w:pPr>
      <w:r>
        <w:rPr>
          <w:rStyle w:val="Strong"/>
        </w:rPr>
        <w:t>Review team and a</w:t>
      </w:r>
      <w:r w:rsidR="00734D05" w:rsidRPr="00D6291B">
        <w:rPr>
          <w:rStyle w:val="Strong"/>
        </w:rPr>
        <w:t>cknowledgements</w:t>
      </w:r>
    </w:p>
    <w:p w14:paraId="7EED4BCD" w14:textId="047046BB" w:rsidR="00D6291B" w:rsidRDefault="00D6291B" w:rsidP="00734D05">
      <w:pPr>
        <w:pStyle w:val="Normalsmall"/>
        <w:rPr>
          <w:rStyle w:val="Strong"/>
          <w:b w:val="0"/>
          <w:bCs w:val="0"/>
        </w:rPr>
      </w:pPr>
      <w:r w:rsidRPr="00D6291B">
        <w:rPr>
          <w:rStyle w:val="Strong"/>
          <w:b w:val="0"/>
          <w:bCs w:val="0"/>
        </w:rPr>
        <w:t>Clare Hamilton and Katie Lourandos assisted the Inspector-General in this review.</w:t>
      </w:r>
    </w:p>
    <w:p w14:paraId="62561CB1" w14:textId="2E28FE35" w:rsidR="00D6291B" w:rsidRDefault="00D6291B" w:rsidP="00734D05">
      <w:pPr>
        <w:pStyle w:val="Normalsmall"/>
        <w:rPr>
          <w:rStyle w:val="Strong"/>
          <w:b w:val="0"/>
          <w:bCs w:val="0"/>
          <w:highlight w:val="yellow"/>
        </w:rPr>
      </w:pPr>
      <w:r w:rsidRPr="00D6291B">
        <w:rPr>
          <w:rStyle w:val="Strong"/>
          <w:b w:val="0"/>
          <w:bCs w:val="0"/>
        </w:rPr>
        <w:t>The Inspector-General gratefully acknowledges cooperation and advice of the Australian Government Department of Agriculture, Water and the Environment.</w:t>
      </w:r>
    </w:p>
    <w:p w14:paraId="776F0B9E" w14:textId="12EFB8BE" w:rsidR="004A5FB8" w:rsidRPr="00595916" w:rsidRDefault="00734D05" w:rsidP="004A5FB8">
      <w:pPr>
        <w:pStyle w:val="Normalsmall"/>
        <w:rPr>
          <w:rStyle w:val="Strong"/>
        </w:rPr>
      </w:pPr>
      <w:r>
        <w:rPr>
          <w:rStyle w:val="Strong"/>
        </w:rPr>
        <w:t>Image credits</w:t>
      </w:r>
    </w:p>
    <w:p w14:paraId="5F200584" w14:textId="6CBB02FA" w:rsidR="004A5FB8" w:rsidRPr="00595916" w:rsidRDefault="00DD65F9" w:rsidP="006118BF">
      <w:pPr>
        <w:pStyle w:val="Normalsmall"/>
      </w:pPr>
      <w:r>
        <w:t xml:space="preserve">Image </w:t>
      </w:r>
      <w:r w:rsidR="006118BF" w:rsidRPr="00595916">
        <w:t xml:space="preserve">courtesy of </w:t>
      </w:r>
      <w:r w:rsidR="00CB000D" w:rsidRPr="00CB000D">
        <w:t>© Shutterstock</w:t>
      </w:r>
    </w:p>
    <w:sdt>
      <w:sdtPr>
        <w:rPr>
          <w:rFonts w:ascii="Cambria" w:eastAsiaTheme="minorHAnsi" w:hAnsi="Cambria" w:cs="Times New Roman"/>
          <w:b w:val="0"/>
          <w:bCs w:val="0"/>
          <w:color w:val="auto"/>
          <w:sz w:val="22"/>
          <w:szCs w:val="22"/>
          <w:lang w:eastAsia="en-US"/>
        </w:rPr>
        <w:id w:val="-760297017"/>
        <w:docPartObj>
          <w:docPartGallery w:val="Table of Contents"/>
          <w:docPartUnique/>
        </w:docPartObj>
      </w:sdtPr>
      <w:sdtEndPr>
        <w:rPr>
          <w:rFonts w:ascii="Calibri" w:eastAsia="Calibri" w:hAnsi="Calibri"/>
          <w:noProof/>
          <w:sz w:val="24"/>
        </w:rPr>
      </w:sdtEndPr>
      <w:sdtContent>
        <w:p w14:paraId="75FAA7F9" w14:textId="2A84A862" w:rsidR="00AE7070" w:rsidRPr="00595916" w:rsidRDefault="00AE7070" w:rsidP="00595916">
          <w:pPr>
            <w:pStyle w:val="TOCHeading"/>
          </w:pPr>
          <w:r w:rsidRPr="00595916">
            <w:t>Contents</w:t>
          </w:r>
        </w:p>
        <w:p w14:paraId="2ADE09DF" w14:textId="2A6CCC5E" w:rsidR="004B3F74" w:rsidRDefault="00AE7070">
          <w:pPr>
            <w:pStyle w:val="TOC1"/>
            <w:rPr>
              <w:rFonts w:asciiTheme="minorHAnsi" w:eastAsiaTheme="minorEastAsia" w:hAnsiTheme="minorHAnsi" w:cstheme="minorBidi"/>
              <w:b w:val="0"/>
              <w:szCs w:val="24"/>
              <w:lang w:eastAsia="en-GB"/>
            </w:rPr>
          </w:pPr>
          <w:r w:rsidRPr="00595916">
            <w:fldChar w:fldCharType="begin"/>
          </w:r>
          <w:r w:rsidRPr="00595916">
            <w:instrText xml:space="preserve"> TOC \h \z \u \t "Heading 2,1,Heading 3,2,Style1,2,TOA Heading,1" </w:instrText>
          </w:r>
          <w:r w:rsidRPr="00595916">
            <w:fldChar w:fldCharType="separate"/>
          </w:r>
          <w:hyperlink w:anchor="_Toc87543850" w:history="1">
            <w:r w:rsidR="004B3F74" w:rsidRPr="00182A76">
              <w:rPr>
                <w:rStyle w:val="Hyperlink"/>
              </w:rPr>
              <w:t>Executive summary</w:t>
            </w:r>
            <w:r w:rsidR="004B3F74">
              <w:rPr>
                <w:webHidden/>
              </w:rPr>
              <w:tab/>
            </w:r>
            <w:r w:rsidR="004B3F74">
              <w:rPr>
                <w:webHidden/>
              </w:rPr>
              <w:fldChar w:fldCharType="begin"/>
            </w:r>
            <w:r w:rsidR="004B3F74">
              <w:rPr>
                <w:webHidden/>
              </w:rPr>
              <w:instrText xml:space="preserve"> PAGEREF _Toc87543850 \h </w:instrText>
            </w:r>
            <w:r w:rsidR="004B3F74">
              <w:rPr>
                <w:webHidden/>
              </w:rPr>
            </w:r>
            <w:r w:rsidR="004B3F74">
              <w:rPr>
                <w:webHidden/>
              </w:rPr>
              <w:fldChar w:fldCharType="separate"/>
            </w:r>
            <w:r w:rsidR="003600BF">
              <w:rPr>
                <w:webHidden/>
              </w:rPr>
              <w:t>5</w:t>
            </w:r>
            <w:r w:rsidR="004B3F74">
              <w:rPr>
                <w:webHidden/>
              </w:rPr>
              <w:fldChar w:fldCharType="end"/>
            </w:r>
          </w:hyperlink>
        </w:p>
        <w:p w14:paraId="232D7CD1" w14:textId="0FB8E6B9" w:rsidR="004B3F74" w:rsidRDefault="00D60801">
          <w:pPr>
            <w:pStyle w:val="TOC1"/>
            <w:rPr>
              <w:rFonts w:asciiTheme="minorHAnsi" w:eastAsiaTheme="minorEastAsia" w:hAnsiTheme="minorHAnsi" w:cstheme="minorBidi"/>
              <w:b w:val="0"/>
              <w:szCs w:val="24"/>
              <w:lang w:eastAsia="en-GB"/>
            </w:rPr>
          </w:pPr>
          <w:hyperlink w:anchor="_Toc87543851" w:history="1">
            <w:r w:rsidR="004B3F74" w:rsidRPr="00182A76">
              <w:rPr>
                <w:rStyle w:val="Hyperlink"/>
              </w:rPr>
              <w:t>Recommendations</w:t>
            </w:r>
            <w:r w:rsidR="004B3F74">
              <w:rPr>
                <w:webHidden/>
              </w:rPr>
              <w:tab/>
            </w:r>
            <w:r w:rsidR="004B3F74">
              <w:rPr>
                <w:webHidden/>
              </w:rPr>
              <w:fldChar w:fldCharType="begin"/>
            </w:r>
            <w:r w:rsidR="004B3F74">
              <w:rPr>
                <w:webHidden/>
              </w:rPr>
              <w:instrText xml:space="preserve"> PAGEREF _Toc87543851 \h </w:instrText>
            </w:r>
            <w:r w:rsidR="004B3F74">
              <w:rPr>
                <w:webHidden/>
              </w:rPr>
            </w:r>
            <w:r w:rsidR="004B3F74">
              <w:rPr>
                <w:webHidden/>
              </w:rPr>
              <w:fldChar w:fldCharType="separate"/>
            </w:r>
            <w:r w:rsidR="003600BF">
              <w:rPr>
                <w:webHidden/>
              </w:rPr>
              <w:t>7</w:t>
            </w:r>
            <w:r w:rsidR="004B3F74">
              <w:rPr>
                <w:webHidden/>
              </w:rPr>
              <w:fldChar w:fldCharType="end"/>
            </w:r>
          </w:hyperlink>
        </w:p>
        <w:p w14:paraId="231A185F" w14:textId="6CAADF50" w:rsidR="004B3F74" w:rsidRDefault="00D60801">
          <w:pPr>
            <w:pStyle w:val="TOC1"/>
            <w:rPr>
              <w:rFonts w:asciiTheme="minorHAnsi" w:eastAsiaTheme="minorEastAsia" w:hAnsiTheme="minorHAnsi" w:cstheme="minorBidi"/>
              <w:b w:val="0"/>
              <w:szCs w:val="24"/>
              <w:lang w:eastAsia="en-GB"/>
            </w:rPr>
          </w:pPr>
          <w:hyperlink w:anchor="_Toc87543852" w:history="1">
            <w:r w:rsidR="004B3F74" w:rsidRPr="00182A76">
              <w:rPr>
                <w:rStyle w:val="Hyperlink"/>
              </w:rPr>
              <w:t>1</w:t>
            </w:r>
            <w:r w:rsidR="004B3F74">
              <w:rPr>
                <w:rFonts w:asciiTheme="minorHAnsi" w:eastAsiaTheme="minorEastAsia" w:hAnsiTheme="minorHAnsi" w:cstheme="minorBidi"/>
                <w:b w:val="0"/>
                <w:szCs w:val="24"/>
                <w:lang w:eastAsia="en-GB"/>
              </w:rPr>
              <w:tab/>
            </w:r>
            <w:r w:rsidR="004B3F74" w:rsidRPr="00182A76">
              <w:rPr>
                <w:rStyle w:val="Hyperlink"/>
              </w:rPr>
              <w:t>Background</w:t>
            </w:r>
            <w:r w:rsidR="004B3F74">
              <w:rPr>
                <w:webHidden/>
              </w:rPr>
              <w:tab/>
            </w:r>
            <w:r w:rsidR="004B3F74">
              <w:rPr>
                <w:webHidden/>
              </w:rPr>
              <w:fldChar w:fldCharType="begin"/>
            </w:r>
            <w:r w:rsidR="004B3F74">
              <w:rPr>
                <w:webHidden/>
              </w:rPr>
              <w:instrText xml:space="preserve"> PAGEREF _Toc87543852 \h </w:instrText>
            </w:r>
            <w:r w:rsidR="004B3F74">
              <w:rPr>
                <w:webHidden/>
              </w:rPr>
            </w:r>
            <w:r w:rsidR="004B3F74">
              <w:rPr>
                <w:webHidden/>
              </w:rPr>
              <w:fldChar w:fldCharType="separate"/>
            </w:r>
            <w:r w:rsidR="003600BF">
              <w:rPr>
                <w:webHidden/>
              </w:rPr>
              <w:t>9</w:t>
            </w:r>
            <w:r w:rsidR="004B3F74">
              <w:rPr>
                <w:webHidden/>
              </w:rPr>
              <w:fldChar w:fldCharType="end"/>
            </w:r>
          </w:hyperlink>
        </w:p>
        <w:p w14:paraId="3B25C210" w14:textId="00D5D5DA" w:rsidR="004B3F74" w:rsidRDefault="00D60801">
          <w:pPr>
            <w:pStyle w:val="TOC2"/>
            <w:tabs>
              <w:tab w:val="left" w:pos="720"/>
            </w:tabs>
            <w:rPr>
              <w:rFonts w:asciiTheme="minorHAnsi" w:eastAsiaTheme="minorEastAsia" w:hAnsiTheme="minorHAnsi" w:cstheme="minorBidi"/>
              <w:szCs w:val="24"/>
              <w:lang w:eastAsia="en-GB"/>
            </w:rPr>
          </w:pPr>
          <w:hyperlink w:anchor="_Toc87543853" w:history="1">
            <w:r w:rsidR="004B3F74" w:rsidRPr="00182A76">
              <w:rPr>
                <w:rStyle w:val="Hyperlink"/>
              </w:rPr>
              <w:t>1.1</w:t>
            </w:r>
            <w:r w:rsidR="004B3F74">
              <w:rPr>
                <w:rFonts w:asciiTheme="minorHAnsi" w:eastAsiaTheme="minorEastAsia" w:hAnsiTheme="minorHAnsi" w:cstheme="minorBidi"/>
                <w:szCs w:val="24"/>
                <w:lang w:eastAsia="en-GB"/>
              </w:rPr>
              <w:tab/>
            </w:r>
            <w:r w:rsidR="004B3F74" w:rsidRPr="00182A76">
              <w:rPr>
                <w:rStyle w:val="Hyperlink"/>
              </w:rPr>
              <w:t>Context</w:t>
            </w:r>
            <w:r w:rsidR="004B3F74">
              <w:rPr>
                <w:webHidden/>
              </w:rPr>
              <w:tab/>
            </w:r>
            <w:r w:rsidR="004B3F74">
              <w:rPr>
                <w:webHidden/>
              </w:rPr>
              <w:fldChar w:fldCharType="begin"/>
            </w:r>
            <w:r w:rsidR="004B3F74">
              <w:rPr>
                <w:webHidden/>
              </w:rPr>
              <w:instrText xml:space="preserve"> PAGEREF _Toc87543853 \h </w:instrText>
            </w:r>
            <w:r w:rsidR="004B3F74">
              <w:rPr>
                <w:webHidden/>
              </w:rPr>
            </w:r>
            <w:r w:rsidR="004B3F74">
              <w:rPr>
                <w:webHidden/>
              </w:rPr>
              <w:fldChar w:fldCharType="separate"/>
            </w:r>
            <w:r w:rsidR="003600BF">
              <w:rPr>
                <w:webHidden/>
              </w:rPr>
              <w:t>9</w:t>
            </w:r>
            <w:r w:rsidR="004B3F74">
              <w:rPr>
                <w:webHidden/>
              </w:rPr>
              <w:fldChar w:fldCharType="end"/>
            </w:r>
          </w:hyperlink>
        </w:p>
        <w:p w14:paraId="3292B994" w14:textId="295EA847" w:rsidR="004B3F74" w:rsidRDefault="00D60801">
          <w:pPr>
            <w:pStyle w:val="TOC2"/>
            <w:tabs>
              <w:tab w:val="left" w:pos="720"/>
            </w:tabs>
            <w:rPr>
              <w:rFonts w:asciiTheme="minorHAnsi" w:eastAsiaTheme="minorEastAsia" w:hAnsiTheme="minorHAnsi" w:cstheme="minorBidi"/>
              <w:szCs w:val="24"/>
              <w:lang w:eastAsia="en-GB"/>
            </w:rPr>
          </w:pPr>
          <w:hyperlink w:anchor="_Toc87543854" w:history="1">
            <w:r w:rsidR="004B3F74" w:rsidRPr="00182A76">
              <w:rPr>
                <w:rStyle w:val="Hyperlink"/>
              </w:rPr>
              <w:t>1.2</w:t>
            </w:r>
            <w:r w:rsidR="004B3F74">
              <w:rPr>
                <w:rFonts w:asciiTheme="minorHAnsi" w:eastAsiaTheme="minorEastAsia" w:hAnsiTheme="minorHAnsi" w:cstheme="minorBidi"/>
                <w:szCs w:val="24"/>
                <w:lang w:eastAsia="en-GB"/>
              </w:rPr>
              <w:tab/>
            </w:r>
            <w:r w:rsidR="004B3F74" w:rsidRPr="00182A76">
              <w:rPr>
                <w:rStyle w:val="Hyperlink"/>
              </w:rPr>
              <w:t>Existing governance framework</w:t>
            </w:r>
            <w:r w:rsidR="004B3F74">
              <w:rPr>
                <w:webHidden/>
              </w:rPr>
              <w:tab/>
            </w:r>
            <w:r w:rsidR="004B3F74">
              <w:rPr>
                <w:webHidden/>
              </w:rPr>
              <w:fldChar w:fldCharType="begin"/>
            </w:r>
            <w:r w:rsidR="004B3F74">
              <w:rPr>
                <w:webHidden/>
              </w:rPr>
              <w:instrText xml:space="preserve"> PAGEREF _Toc87543854 \h </w:instrText>
            </w:r>
            <w:r w:rsidR="004B3F74">
              <w:rPr>
                <w:webHidden/>
              </w:rPr>
            </w:r>
            <w:r w:rsidR="004B3F74">
              <w:rPr>
                <w:webHidden/>
              </w:rPr>
              <w:fldChar w:fldCharType="separate"/>
            </w:r>
            <w:r w:rsidR="003600BF">
              <w:rPr>
                <w:webHidden/>
              </w:rPr>
              <w:t>10</w:t>
            </w:r>
            <w:r w:rsidR="004B3F74">
              <w:rPr>
                <w:webHidden/>
              </w:rPr>
              <w:fldChar w:fldCharType="end"/>
            </w:r>
          </w:hyperlink>
        </w:p>
        <w:p w14:paraId="41E62D78" w14:textId="224F53B7" w:rsidR="004B3F74" w:rsidRDefault="00D60801">
          <w:pPr>
            <w:pStyle w:val="TOC2"/>
            <w:tabs>
              <w:tab w:val="left" w:pos="720"/>
            </w:tabs>
            <w:rPr>
              <w:rFonts w:asciiTheme="minorHAnsi" w:eastAsiaTheme="minorEastAsia" w:hAnsiTheme="minorHAnsi" w:cstheme="minorBidi"/>
              <w:szCs w:val="24"/>
              <w:lang w:eastAsia="en-GB"/>
            </w:rPr>
          </w:pPr>
          <w:hyperlink w:anchor="_Toc87543855" w:history="1">
            <w:r w:rsidR="004B3F74" w:rsidRPr="00182A76">
              <w:rPr>
                <w:rStyle w:val="Hyperlink"/>
                <w:lang w:eastAsia="ja-JP"/>
              </w:rPr>
              <w:t>1.3</w:t>
            </w:r>
            <w:r w:rsidR="004B3F74">
              <w:rPr>
                <w:rFonts w:asciiTheme="minorHAnsi" w:eastAsiaTheme="minorEastAsia" w:hAnsiTheme="minorHAnsi" w:cstheme="minorBidi"/>
                <w:szCs w:val="24"/>
                <w:lang w:eastAsia="en-GB"/>
              </w:rPr>
              <w:tab/>
            </w:r>
            <w:r w:rsidR="004B3F74" w:rsidRPr="00182A76">
              <w:rPr>
                <w:rStyle w:val="Hyperlink"/>
                <w:lang w:eastAsia="ja-JP"/>
              </w:rPr>
              <w:t>Previous Inspectors-General reviews of the implementation of recommendations</w:t>
            </w:r>
            <w:r w:rsidR="004B3F74">
              <w:rPr>
                <w:webHidden/>
              </w:rPr>
              <w:tab/>
            </w:r>
            <w:r w:rsidR="004B3F74">
              <w:rPr>
                <w:webHidden/>
              </w:rPr>
              <w:fldChar w:fldCharType="begin"/>
            </w:r>
            <w:r w:rsidR="004B3F74">
              <w:rPr>
                <w:webHidden/>
              </w:rPr>
              <w:instrText xml:space="preserve"> PAGEREF _Toc87543855 \h </w:instrText>
            </w:r>
            <w:r w:rsidR="004B3F74">
              <w:rPr>
                <w:webHidden/>
              </w:rPr>
            </w:r>
            <w:r w:rsidR="004B3F74">
              <w:rPr>
                <w:webHidden/>
              </w:rPr>
              <w:fldChar w:fldCharType="separate"/>
            </w:r>
            <w:r w:rsidR="003600BF">
              <w:rPr>
                <w:webHidden/>
              </w:rPr>
              <w:t>13</w:t>
            </w:r>
            <w:r w:rsidR="004B3F74">
              <w:rPr>
                <w:webHidden/>
              </w:rPr>
              <w:fldChar w:fldCharType="end"/>
            </w:r>
          </w:hyperlink>
        </w:p>
        <w:p w14:paraId="366B321B" w14:textId="5C50F6B4" w:rsidR="004B3F74" w:rsidRDefault="00D60801">
          <w:pPr>
            <w:pStyle w:val="TOC1"/>
            <w:rPr>
              <w:rFonts w:asciiTheme="minorHAnsi" w:eastAsiaTheme="minorEastAsia" w:hAnsiTheme="minorHAnsi" w:cstheme="minorBidi"/>
              <w:b w:val="0"/>
              <w:szCs w:val="24"/>
              <w:lang w:eastAsia="en-GB"/>
            </w:rPr>
          </w:pPr>
          <w:hyperlink w:anchor="_Toc87543856" w:history="1">
            <w:r w:rsidR="004B3F74" w:rsidRPr="00182A76">
              <w:rPr>
                <w:rStyle w:val="Hyperlink"/>
              </w:rPr>
              <w:t>2</w:t>
            </w:r>
            <w:r w:rsidR="004B3F74">
              <w:rPr>
                <w:rFonts w:asciiTheme="minorHAnsi" w:eastAsiaTheme="minorEastAsia" w:hAnsiTheme="minorHAnsi" w:cstheme="minorBidi"/>
                <w:b w:val="0"/>
                <w:szCs w:val="24"/>
                <w:lang w:eastAsia="en-GB"/>
              </w:rPr>
              <w:tab/>
            </w:r>
            <w:r w:rsidR="004B3F74" w:rsidRPr="00182A76">
              <w:rPr>
                <w:rStyle w:val="Hyperlink"/>
              </w:rPr>
              <w:t>Current review: an audit of implementation of past Inspectors-General recommendations</w:t>
            </w:r>
            <w:r w:rsidR="004B3F74">
              <w:rPr>
                <w:webHidden/>
              </w:rPr>
              <w:tab/>
            </w:r>
            <w:r w:rsidR="004B3F74">
              <w:rPr>
                <w:webHidden/>
              </w:rPr>
              <w:fldChar w:fldCharType="begin"/>
            </w:r>
            <w:r w:rsidR="004B3F74">
              <w:rPr>
                <w:webHidden/>
              </w:rPr>
              <w:instrText xml:space="preserve"> PAGEREF _Toc87543856 \h </w:instrText>
            </w:r>
            <w:r w:rsidR="004B3F74">
              <w:rPr>
                <w:webHidden/>
              </w:rPr>
            </w:r>
            <w:r w:rsidR="004B3F74">
              <w:rPr>
                <w:webHidden/>
              </w:rPr>
              <w:fldChar w:fldCharType="separate"/>
            </w:r>
            <w:r w:rsidR="003600BF">
              <w:rPr>
                <w:webHidden/>
              </w:rPr>
              <w:t>15</w:t>
            </w:r>
            <w:r w:rsidR="004B3F74">
              <w:rPr>
                <w:webHidden/>
              </w:rPr>
              <w:fldChar w:fldCharType="end"/>
            </w:r>
          </w:hyperlink>
        </w:p>
        <w:p w14:paraId="496E03A9" w14:textId="2E53477E" w:rsidR="004B3F74" w:rsidRDefault="00D60801">
          <w:pPr>
            <w:pStyle w:val="TOC2"/>
            <w:tabs>
              <w:tab w:val="left" w:pos="720"/>
            </w:tabs>
            <w:rPr>
              <w:rFonts w:asciiTheme="minorHAnsi" w:eastAsiaTheme="minorEastAsia" w:hAnsiTheme="minorHAnsi" w:cstheme="minorBidi"/>
              <w:szCs w:val="24"/>
              <w:lang w:eastAsia="en-GB"/>
            </w:rPr>
          </w:pPr>
          <w:hyperlink w:anchor="_Toc87543857" w:history="1">
            <w:r w:rsidR="004B3F74" w:rsidRPr="00182A76">
              <w:rPr>
                <w:rStyle w:val="Hyperlink"/>
              </w:rPr>
              <w:t>2.1</w:t>
            </w:r>
            <w:r w:rsidR="004B3F74">
              <w:rPr>
                <w:rFonts w:asciiTheme="minorHAnsi" w:eastAsiaTheme="minorEastAsia" w:hAnsiTheme="minorHAnsi" w:cstheme="minorBidi"/>
                <w:szCs w:val="24"/>
                <w:lang w:eastAsia="en-GB"/>
              </w:rPr>
              <w:tab/>
            </w:r>
            <w:r w:rsidR="004B3F74" w:rsidRPr="00182A76">
              <w:rPr>
                <w:rStyle w:val="Hyperlink"/>
              </w:rPr>
              <w:t>Purpose</w:t>
            </w:r>
            <w:r w:rsidR="004B3F74">
              <w:rPr>
                <w:webHidden/>
              </w:rPr>
              <w:tab/>
            </w:r>
            <w:r w:rsidR="004B3F74">
              <w:rPr>
                <w:webHidden/>
              </w:rPr>
              <w:fldChar w:fldCharType="begin"/>
            </w:r>
            <w:r w:rsidR="004B3F74">
              <w:rPr>
                <w:webHidden/>
              </w:rPr>
              <w:instrText xml:space="preserve"> PAGEREF _Toc87543857 \h </w:instrText>
            </w:r>
            <w:r w:rsidR="004B3F74">
              <w:rPr>
                <w:webHidden/>
              </w:rPr>
            </w:r>
            <w:r w:rsidR="004B3F74">
              <w:rPr>
                <w:webHidden/>
              </w:rPr>
              <w:fldChar w:fldCharType="separate"/>
            </w:r>
            <w:r w:rsidR="003600BF">
              <w:rPr>
                <w:webHidden/>
              </w:rPr>
              <w:t>15</w:t>
            </w:r>
            <w:r w:rsidR="004B3F74">
              <w:rPr>
                <w:webHidden/>
              </w:rPr>
              <w:fldChar w:fldCharType="end"/>
            </w:r>
          </w:hyperlink>
        </w:p>
        <w:p w14:paraId="1C8F39AC" w14:textId="7E5DB0A9" w:rsidR="004B3F74" w:rsidRDefault="00D60801">
          <w:pPr>
            <w:pStyle w:val="TOC2"/>
            <w:tabs>
              <w:tab w:val="left" w:pos="720"/>
            </w:tabs>
            <w:rPr>
              <w:rFonts w:asciiTheme="minorHAnsi" w:eastAsiaTheme="minorEastAsia" w:hAnsiTheme="minorHAnsi" w:cstheme="minorBidi"/>
              <w:szCs w:val="24"/>
              <w:lang w:eastAsia="en-GB"/>
            </w:rPr>
          </w:pPr>
          <w:hyperlink w:anchor="_Toc87543858" w:history="1">
            <w:r w:rsidR="004B3F74" w:rsidRPr="00182A76">
              <w:rPr>
                <w:rStyle w:val="Hyperlink"/>
              </w:rPr>
              <w:t>2.2</w:t>
            </w:r>
            <w:r w:rsidR="004B3F74">
              <w:rPr>
                <w:rFonts w:asciiTheme="minorHAnsi" w:eastAsiaTheme="minorEastAsia" w:hAnsiTheme="minorHAnsi" w:cstheme="minorBidi"/>
                <w:szCs w:val="24"/>
                <w:lang w:eastAsia="en-GB"/>
              </w:rPr>
              <w:tab/>
            </w:r>
            <w:r w:rsidR="004B3F74" w:rsidRPr="00182A76">
              <w:rPr>
                <w:rStyle w:val="Hyperlink"/>
              </w:rPr>
              <w:t>Scope</w:t>
            </w:r>
            <w:r w:rsidR="004B3F74">
              <w:rPr>
                <w:webHidden/>
              </w:rPr>
              <w:tab/>
            </w:r>
            <w:r w:rsidR="004B3F74">
              <w:rPr>
                <w:webHidden/>
              </w:rPr>
              <w:fldChar w:fldCharType="begin"/>
            </w:r>
            <w:r w:rsidR="004B3F74">
              <w:rPr>
                <w:webHidden/>
              </w:rPr>
              <w:instrText xml:space="preserve"> PAGEREF _Toc87543858 \h </w:instrText>
            </w:r>
            <w:r w:rsidR="004B3F74">
              <w:rPr>
                <w:webHidden/>
              </w:rPr>
            </w:r>
            <w:r w:rsidR="004B3F74">
              <w:rPr>
                <w:webHidden/>
              </w:rPr>
              <w:fldChar w:fldCharType="separate"/>
            </w:r>
            <w:r w:rsidR="003600BF">
              <w:rPr>
                <w:webHidden/>
              </w:rPr>
              <w:t>15</w:t>
            </w:r>
            <w:r w:rsidR="004B3F74">
              <w:rPr>
                <w:webHidden/>
              </w:rPr>
              <w:fldChar w:fldCharType="end"/>
            </w:r>
          </w:hyperlink>
        </w:p>
        <w:p w14:paraId="3DA435B4" w14:textId="5C5F650D" w:rsidR="004B3F74" w:rsidRDefault="00D60801">
          <w:pPr>
            <w:pStyle w:val="TOC2"/>
            <w:tabs>
              <w:tab w:val="left" w:pos="720"/>
            </w:tabs>
            <w:rPr>
              <w:rFonts w:asciiTheme="minorHAnsi" w:eastAsiaTheme="minorEastAsia" w:hAnsiTheme="minorHAnsi" w:cstheme="minorBidi"/>
              <w:szCs w:val="24"/>
              <w:lang w:eastAsia="en-GB"/>
            </w:rPr>
          </w:pPr>
          <w:hyperlink w:anchor="_Toc87543859" w:history="1">
            <w:r w:rsidR="004B3F74" w:rsidRPr="00182A76">
              <w:rPr>
                <w:rStyle w:val="Hyperlink"/>
              </w:rPr>
              <w:t>2.3</w:t>
            </w:r>
            <w:r w:rsidR="004B3F74">
              <w:rPr>
                <w:rFonts w:asciiTheme="minorHAnsi" w:eastAsiaTheme="minorEastAsia" w:hAnsiTheme="minorHAnsi" w:cstheme="minorBidi"/>
                <w:szCs w:val="24"/>
                <w:lang w:eastAsia="en-GB"/>
              </w:rPr>
              <w:tab/>
            </w:r>
            <w:r w:rsidR="004B3F74" w:rsidRPr="00182A76">
              <w:rPr>
                <w:rStyle w:val="Hyperlink"/>
              </w:rPr>
              <w:t>Review methodology</w:t>
            </w:r>
            <w:r w:rsidR="004B3F74">
              <w:rPr>
                <w:webHidden/>
              </w:rPr>
              <w:tab/>
            </w:r>
            <w:r w:rsidR="004B3F74">
              <w:rPr>
                <w:webHidden/>
              </w:rPr>
              <w:fldChar w:fldCharType="begin"/>
            </w:r>
            <w:r w:rsidR="004B3F74">
              <w:rPr>
                <w:webHidden/>
              </w:rPr>
              <w:instrText xml:space="preserve"> PAGEREF _Toc87543859 \h </w:instrText>
            </w:r>
            <w:r w:rsidR="004B3F74">
              <w:rPr>
                <w:webHidden/>
              </w:rPr>
            </w:r>
            <w:r w:rsidR="004B3F74">
              <w:rPr>
                <w:webHidden/>
              </w:rPr>
              <w:fldChar w:fldCharType="separate"/>
            </w:r>
            <w:r w:rsidR="003600BF">
              <w:rPr>
                <w:webHidden/>
              </w:rPr>
              <w:t>16</w:t>
            </w:r>
            <w:r w:rsidR="004B3F74">
              <w:rPr>
                <w:webHidden/>
              </w:rPr>
              <w:fldChar w:fldCharType="end"/>
            </w:r>
          </w:hyperlink>
        </w:p>
        <w:p w14:paraId="5FAD1966" w14:textId="754CA06D" w:rsidR="004B3F74" w:rsidRDefault="00D60801">
          <w:pPr>
            <w:pStyle w:val="TOC2"/>
            <w:tabs>
              <w:tab w:val="left" w:pos="720"/>
            </w:tabs>
            <w:rPr>
              <w:rFonts w:asciiTheme="minorHAnsi" w:eastAsiaTheme="minorEastAsia" w:hAnsiTheme="minorHAnsi" w:cstheme="minorBidi"/>
              <w:szCs w:val="24"/>
              <w:lang w:eastAsia="en-GB"/>
            </w:rPr>
          </w:pPr>
          <w:hyperlink w:anchor="_Toc87543860" w:history="1">
            <w:r w:rsidR="004B3F74" w:rsidRPr="00182A76">
              <w:rPr>
                <w:rStyle w:val="Hyperlink"/>
                <w:lang w:eastAsia="ja-JP"/>
              </w:rPr>
              <w:t>2.4</w:t>
            </w:r>
            <w:r w:rsidR="004B3F74">
              <w:rPr>
                <w:rFonts w:asciiTheme="minorHAnsi" w:eastAsiaTheme="minorEastAsia" w:hAnsiTheme="minorHAnsi" w:cstheme="minorBidi"/>
                <w:szCs w:val="24"/>
                <w:lang w:eastAsia="en-GB"/>
              </w:rPr>
              <w:tab/>
            </w:r>
            <w:r w:rsidR="004B3F74" w:rsidRPr="00182A76">
              <w:rPr>
                <w:rStyle w:val="Hyperlink"/>
                <w:lang w:eastAsia="ja-JP"/>
              </w:rPr>
              <w:t>Reviews within the current audit</w:t>
            </w:r>
            <w:r w:rsidR="004B3F74">
              <w:rPr>
                <w:webHidden/>
              </w:rPr>
              <w:tab/>
            </w:r>
            <w:r w:rsidR="004B3F74">
              <w:rPr>
                <w:webHidden/>
              </w:rPr>
              <w:fldChar w:fldCharType="begin"/>
            </w:r>
            <w:r w:rsidR="004B3F74">
              <w:rPr>
                <w:webHidden/>
              </w:rPr>
              <w:instrText xml:space="preserve"> PAGEREF _Toc87543860 \h </w:instrText>
            </w:r>
            <w:r w:rsidR="004B3F74">
              <w:rPr>
                <w:webHidden/>
              </w:rPr>
            </w:r>
            <w:r w:rsidR="004B3F74">
              <w:rPr>
                <w:webHidden/>
              </w:rPr>
              <w:fldChar w:fldCharType="separate"/>
            </w:r>
            <w:r w:rsidR="003600BF">
              <w:rPr>
                <w:webHidden/>
              </w:rPr>
              <w:t>16</w:t>
            </w:r>
            <w:r w:rsidR="004B3F74">
              <w:rPr>
                <w:webHidden/>
              </w:rPr>
              <w:fldChar w:fldCharType="end"/>
            </w:r>
          </w:hyperlink>
        </w:p>
        <w:p w14:paraId="0EB4442F" w14:textId="56CCF87B" w:rsidR="004B3F74" w:rsidRDefault="00D60801">
          <w:pPr>
            <w:pStyle w:val="TOC1"/>
            <w:rPr>
              <w:rFonts w:asciiTheme="minorHAnsi" w:eastAsiaTheme="minorEastAsia" w:hAnsiTheme="minorHAnsi" w:cstheme="minorBidi"/>
              <w:b w:val="0"/>
              <w:szCs w:val="24"/>
              <w:lang w:eastAsia="en-GB"/>
            </w:rPr>
          </w:pPr>
          <w:hyperlink w:anchor="_Toc87543861" w:history="1">
            <w:r w:rsidR="004B3F74" w:rsidRPr="00182A76">
              <w:rPr>
                <w:rStyle w:val="Hyperlink"/>
              </w:rPr>
              <w:t>3</w:t>
            </w:r>
            <w:r w:rsidR="004B3F74">
              <w:rPr>
                <w:rFonts w:asciiTheme="minorHAnsi" w:eastAsiaTheme="minorEastAsia" w:hAnsiTheme="minorHAnsi" w:cstheme="minorBidi"/>
                <w:b w:val="0"/>
                <w:szCs w:val="24"/>
                <w:lang w:eastAsia="en-GB"/>
              </w:rPr>
              <w:tab/>
            </w:r>
            <w:r w:rsidR="004B3F74" w:rsidRPr="00182A76">
              <w:rPr>
                <w:rStyle w:val="Hyperlink"/>
              </w:rPr>
              <w:t>Results of current audit</w:t>
            </w:r>
            <w:r w:rsidR="004B3F74">
              <w:rPr>
                <w:webHidden/>
              </w:rPr>
              <w:tab/>
            </w:r>
            <w:r w:rsidR="004B3F74">
              <w:rPr>
                <w:webHidden/>
              </w:rPr>
              <w:fldChar w:fldCharType="begin"/>
            </w:r>
            <w:r w:rsidR="004B3F74">
              <w:rPr>
                <w:webHidden/>
              </w:rPr>
              <w:instrText xml:space="preserve"> PAGEREF _Toc87543861 \h </w:instrText>
            </w:r>
            <w:r w:rsidR="004B3F74">
              <w:rPr>
                <w:webHidden/>
              </w:rPr>
            </w:r>
            <w:r w:rsidR="004B3F74">
              <w:rPr>
                <w:webHidden/>
              </w:rPr>
              <w:fldChar w:fldCharType="separate"/>
            </w:r>
            <w:r w:rsidR="003600BF">
              <w:rPr>
                <w:webHidden/>
              </w:rPr>
              <w:t>18</w:t>
            </w:r>
            <w:r w:rsidR="004B3F74">
              <w:rPr>
                <w:webHidden/>
              </w:rPr>
              <w:fldChar w:fldCharType="end"/>
            </w:r>
          </w:hyperlink>
        </w:p>
        <w:p w14:paraId="34A888A8" w14:textId="209E7387" w:rsidR="004B3F74" w:rsidRDefault="00D60801">
          <w:pPr>
            <w:pStyle w:val="TOC2"/>
            <w:tabs>
              <w:tab w:val="left" w:pos="720"/>
            </w:tabs>
            <w:rPr>
              <w:rFonts w:asciiTheme="minorHAnsi" w:eastAsiaTheme="minorEastAsia" w:hAnsiTheme="minorHAnsi" w:cstheme="minorBidi"/>
              <w:szCs w:val="24"/>
              <w:lang w:eastAsia="en-GB"/>
            </w:rPr>
          </w:pPr>
          <w:hyperlink w:anchor="_Toc87543862" w:history="1">
            <w:r w:rsidR="004B3F74" w:rsidRPr="00182A76">
              <w:rPr>
                <w:rStyle w:val="Hyperlink"/>
              </w:rPr>
              <w:t>3.1</w:t>
            </w:r>
            <w:r w:rsidR="004B3F74">
              <w:rPr>
                <w:rFonts w:asciiTheme="minorHAnsi" w:eastAsiaTheme="minorEastAsia" w:hAnsiTheme="minorHAnsi" w:cstheme="minorBidi"/>
                <w:szCs w:val="24"/>
                <w:lang w:eastAsia="en-GB"/>
              </w:rPr>
              <w:tab/>
            </w:r>
            <w:r w:rsidR="004B3F74" w:rsidRPr="00182A76">
              <w:rPr>
                <w:rStyle w:val="Hyperlink"/>
              </w:rPr>
              <w:t>Theming of review recommendations</w:t>
            </w:r>
            <w:r w:rsidR="004B3F74">
              <w:rPr>
                <w:webHidden/>
              </w:rPr>
              <w:tab/>
            </w:r>
            <w:r w:rsidR="004B3F74">
              <w:rPr>
                <w:webHidden/>
              </w:rPr>
              <w:fldChar w:fldCharType="begin"/>
            </w:r>
            <w:r w:rsidR="004B3F74">
              <w:rPr>
                <w:webHidden/>
              </w:rPr>
              <w:instrText xml:space="preserve"> PAGEREF _Toc87543862 \h </w:instrText>
            </w:r>
            <w:r w:rsidR="004B3F74">
              <w:rPr>
                <w:webHidden/>
              </w:rPr>
            </w:r>
            <w:r w:rsidR="004B3F74">
              <w:rPr>
                <w:webHidden/>
              </w:rPr>
              <w:fldChar w:fldCharType="separate"/>
            </w:r>
            <w:r w:rsidR="003600BF">
              <w:rPr>
                <w:webHidden/>
              </w:rPr>
              <w:t>18</w:t>
            </w:r>
            <w:r w:rsidR="004B3F74">
              <w:rPr>
                <w:webHidden/>
              </w:rPr>
              <w:fldChar w:fldCharType="end"/>
            </w:r>
          </w:hyperlink>
        </w:p>
        <w:p w14:paraId="408F56BE" w14:textId="4229EDE8" w:rsidR="004B3F74" w:rsidRDefault="00D60801">
          <w:pPr>
            <w:pStyle w:val="TOC2"/>
            <w:tabs>
              <w:tab w:val="left" w:pos="720"/>
            </w:tabs>
            <w:rPr>
              <w:rFonts w:asciiTheme="minorHAnsi" w:eastAsiaTheme="minorEastAsia" w:hAnsiTheme="minorHAnsi" w:cstheme="minorBidi"/>
              <w:szCs w:val="24"/>
              <w:lang w:eastAsia="en-GB"/>
            </w:rPr>
          </w:pPr>
          <w:hyperlink w:anchor="_Toc87543863" w:history="1">
            <w:r w:rsidR="004B3F74" w:rsidRPr="00182A76">
              <w:rPr>
                <w:rStyle w:val="Hyperlink"/>
                <w:lang w:eastAsia="ja-JP"/>
              </w:rPr>
              <w:t>3.2</w:t>
            </w:r>
            <w:r w:rsidR="004B3F74">
              <w:rPr>
                <w:rFonts w:asciiTheme="minorHAnsi" w:eastAsiaTheme="minorEastAsia" w:hAnsiTheme="minorHAnsi" w:cstheme="minorBidi"/>
                <w:szCs w:val="24"/>
                <w:lang w:eastAsia="en-GB"/>
              </w:rPr>
              <w:tab/>
            </w:r>
            <w:r w:rsidR="004B3F74" w:rsidRPr="00182A76">
              <w:rPr>
                <w:rStyle w:val="Hyperlink"/>
                <w:lang w:eastAsia="ja-JP"/>
              </w:rPr>
              <w:t>Review verification activities</w:t>
            </w:r>
            <w:r w:rsidR="004B3F74">
              <w:rPr>
                <w:webHidden/>
              </w:rPr>
              <w:tab/>
            </w:r>
            <w:r w:rsidR="004B3F74">
              <w:rPr>
                <w:webHidden/>
              </w:rPr>
              <w:fldChar w:fldCharType="begin"/>
            </w:r>
            <w:r w:rsidR="004B3F74">
              <w:rPr>
                <w:webHidden/>
              </w:rPr>
              <w:instrText xml:space="preserve"> PAGEREF _Toc87543863 \h </w:instrText>
            </w:r>
            <w:r w:rsidR="004B3F74">
              <w:rPr>
                <w:webHidden/>
              </w:rPr>
            </w:r>
            <w:r w:rsidR="004B3F74">
              <w:rPr>
                <w:webHidden/>
              </w:rPr>
              <w:fldChar w:fldCharType="separate"/>
            </w:r>
            <w:r w:rsidR="003600BF">
              <w:rPr>
                <w:webHidden/>
              </w:rPr>
              <w:t>19</w:t>
            </w:r>
            <w:r w:rsidR="004B3F74">
              <w:rPr>
                <w:webHidden/>
              </w:rPr>
              <w:fldChar w:fldCharType="end"/>
            </w:r>
          </w:hyperlink>
        </w:p>
        <w:p w14:paraId="55FF9C53" w14:textId="442C4F29" w:rsidR="004B3F74" w:rsidRDefault="00D60801">
          <w:pPr>
            <w:pStyle w:val="TOC2"/>
            <w:tabs>
              <w:tab w:val="left" w:pos="720"/>
            </w:tabs>
            <w:rPr>
              <w:rFonts w:asciiTheme="minorHAnsi" w:eastAsiaTheme="minorEastAsia" w:hAnsiTheme="minorHAnsi" w:cstheme="minorBidi"/>
              <w:szCs w:val="24"/>
              <w:lang w:eastAsia="en-GB"/>
            </w:rPr>
          </w:pPr>
          <w:hyperlink w:anchor="_Toc87543864" w:history="1">
            <w:r w:rsidR="004B3F74" w:rsidRPr="00182A76">
              <w:rPr>
                <w:rStyle w:val="Hyperlink"/>
              </w:rPr>
              <w:t>3.3</w:t>
            </w:r>
            <w:r w:rsidR="004B3F74">
              <w:rPr>
                <w:rFonts w:asciiTheme="minorHAnsi" w:eastAsiaTheme="minorEastAsia" w:hAnsiTheme="minorHAnsi" w:cstheme="minorBidi"/>
                <w:szCs w:val="24"/>
                <w:lang w:eastAsia="en-GB"/>
              </w:rPr>
              <w:tab/>
            </w:r>
            <w:r w:rsidR="004B3F74" w:rsidRPr="00182A76">
              <w:rPr>
                <w:rStyle w:val="Hyperlink"/>
              </w:rPr>
              <w:t>Engagement meetings</w:t>
            </w:r>
            <w:r w:rsidR="004B3F74">
              <w:rPr>
                <w:webHidden/>
              </w:rPr>
              <w:tab/>
            </w:r>
            <w:r w:rsidR="004B3F74">
              <w:rPr>
                <w:webHidden/>
              </w:rPr>
              <w:fldChar w:fldCharType="begin"/>
            </w:r>
            <w:r w:rsidR="004B3F74">
              <w:rPr>
                <w:webHidden/>
              </w:rPr>
              <w:instrText xml:space="preserve"> PAGEREF _Toc87543864 \h </w:instrText>
            </w:r>
            <w:r w:rsidR="004B3F74">
              <w:rPr>
                <w:webHidden/>
              </w:rPr>
            </w:r>
            <w:r w:rsidR="004B3F74">
              <w:rPr>
                <w:webHidden/>
              </w:rPr>
              <w:fldChar w:fldCharType="separate"/>
            </w:r>
            <w:r w:rsidR="003600BF">
              <w:rPr>
                <w:webHidden/>
              </w:rPr>
              <w:t>19</w:t>
            </w:r>
            <w:r w:rsidR="004B3F74">
              <w:rPr>
                <w:webHidden/>
              </w:rPr>
              <w:fldChar w:fldCharType="end"/>
            </w:r>
          </w:hyperlink>
        </w:p>
        <w:p w14:paraId="4A1D0C2B" w14:textId="72673961" w:rsidR="004B3F74" w:rsidRDefault="00D60801">
          <w:pPr>
            <w:pStyle w:val="TOC1"/>
            <w:rPr>
              <w:rFonts w:asciiTheme="minorHAnsi" w:eastAsiaTheme="minorEastAsia" w:hAnsiTheme="minorHAnsi" w:cstheme="minorBidi"/>
              <w:b w:val="0"/>
              <w:szCs w:val="24"/>
              <w:lang w:eastAsia="en-GB"/>
            </w:rPr>
          </w:pPr>
          <w:hyperlink w:anchor="_Toc87543865" w:history="1">
            <w:r w:rsidR="004B3F74" w:rsidRPr="00182A76">
              <w:rPr>
                <w:rStyle w:val="Hyperlink"/>
              </w:rPr>
              <w:t>4</w:t>
            </w:r>
            <w:r w:rsidR="004B3F74">
              <w:rPr>
                <w:rFonts w:asciiTheme="minorHAnsi" w:eastAsiaTheme="minorEastAsia" w:hAnsiTheme="minorHAnsi" w:cstheme="minorBidi"/>
                <w:b w:val="0"/>
                <w:szCs w:val="24"/>
                <w:lang w:eastAsia="en-GB"/>
              </w:rPr>
              <w:tab/>
            </w:r>
            <w:r w:rsidR="004B3F74" w:rsidRPr="00182A76">
              <w:rPr>
                <w:rStyle w:val="Hyperlink"/>
              </w:rPr>
              <w:t>Improving governance arrangements</w:t>
            </w:r>
            <w:r w:rsidR="004B3F74">
              <w:rPr>
                <w:webHidden/>
              </w:rPr>
              <w:tab/>
            </w:r>
            <w:r w:rsidR="004B3F74">
              <w:rPr>
                <w:webHidden/>
              </w:rPr>
              <w:fldChar w:fldCharType="begin"/>
            </w:r>
            <w:r w:rsidR="004B3F74">
              <w:rPr>
                <w:webHidden/>
              </w:rPr>
              <w:instrText xml:space="preserve"> PAGEREF _Toc87543865 \h </w:instrText>
            </w:r>
            <w:r w:rsidR="004B3F74">
              <w:rPr>
                <w:webHidden/>
              </w:rPr>
            </w:r>
            <w:r w:rsidR="004B3F74">
              <w:rPr>
                <w:webHidden/>
              </w:rPr>
              <w:fldChar w:fldCharType="separate"/>
            </w:r>
            <w:r w:rsidR="003600BF">
              <w:rPr>
                <w:webHidden/>
              </w:rPr>
              <w:t>21</w:t>
            </w:r>
            <w:r w:rsidR="004B3F74">
              <w:rPr>
                <w:webHidden/>
              </w:rPr>
              <w:fldChar w:fldCharType="end"/>
            </w:r>
          </w:hyperlink>
        </w:p>
        <w:p w14:paraId="5768BCAA" w14:textId="1608EFAB" w:rsidR="004B3F74" w:rsidRDefault="00D60801">
          <w:pPr>
            <w:pStyle w:val="TOC2"/>
            <w:tabs>
              <w:tab w:val="left" w:pos="720"/>
            </w:tabs>
            <w:rPr>
              <w:rFonts w:asciiTheme="minorHAnsi" w:eastAsiaTheme="minorEastAsia" w:hAnsiTheme="minorHAnsi" w:cstheme="minorBidi"/>
              <w:szCs w:val="24"/>
              <w:lang w:eastAsia="en-GB"/>
            </w:rPr>
          </w:pPr>
          <w:hyperlink w:anchor="_Toc87543866" w:history="1">
            <w:r w:rsidR="004B3F74" w:rsidRPr="00182A76">
              <w:rPr>
                <w:rStyle w:val="Hyperlink"/>
              </w:rPr>
              <w:t>4.1</w:t>
            </w:r>
            <w:r w:rsidR="004B3F74">
              <w:rPr>
                <w:rFonts w:asciiTheme="minorHAnsi" w:eastAsiaTheme="minorEastAsia" w:hAnsiTheme="minorHAnsi" w:cstheme="minorBidi"/>
                <w:szCs w:val="24"/>
                <w:lang w:eastAsia="en-GB"/>
              </w:rPr>
              <w:tab/>
            </w:r>
            <w:r w:rsidR="004B3F74" w:rsidRPr="00182A76">
              <w:rPr>
                <w:rStyle w:val="Hyperlink"/>
              </w:rPr>
              <w:t>Improving governance processes</w:t>
            </w:r>
            <w:r w:rsidR="004B3F74">
              <w:rPr>
                <w:webHidden/>
              </w:rPr>
              <w:tab/>
            </w:r>
            <w:r w:rsidR="004B3F74">
              <w:rPr>
                <w:webHidden/>
              </w:rPr>
              <w:fldChar w:fldCharType="begin"/>
            </w:r>
            <w:r w:rsidR="004B3F74">
              <w:rPr>
                <w:webHidden/>
              </w:rPr>
              <w:instrText xml:space="preserve"> PAGEREF _Toc87543866 \h </w:instrText>
            </w:r>
            <w:r w:rsidR="004B3F74">
              <w:rPr>
                <w:webHidden/>
              </w:rPr>
            </w:r>
            <w:r w:rsidR="004B3F74">
              <w:rPr>
                <w:webHidden/>
              </w:rPr>
              <w:fldChar w:fldCharType="separate"/>
            </w:r>
            <w:r w:rsidR="003600BF">
              <w:rPr>
                <w:webHidden/>
              </w:rPr>
              <w:t>21</w:t>
            </w:r>
            <w:r w:rsidR="004B3F74">
              <w:rPr>
                <w:webHidden/>
              </w:rPr>
              <w:fldChar w:fldCharType="end"/>
            </w:r>
          </w:hyperlink>
        </w:p>
        <w:p w14:paraId="681AA6F0" w14:textId="5F85057E" w:rsidR="004B3F74" w:rsidRDefault="00D60801">
          <w:pPr>
            <w:pStyle w:val="TOC2"/>
            <w:tabs>
              <w:tab w:val="left" w:pos="720"/>
            </w:tabs>
            <w:rPr>
              <w:rFonts w:asciiTheme="minorHAnsi" w:eastAsiaTheme="minorEastAsia" w:hAnsiTheme="minorHAnsi" w:cstheme="minorBidi"/>
              <w:szCs w:val="24"/>
              <w:lang w:eastAsia="en-GB"/>
            </w:rPr>
          </w:pPr>
          <w:hyperlink w:anchor="_Toc87543867" w:history="1">
            <w:r w:rsidR="004B3F74" w:rsidRPr="00182A76">
              <w:rPr>
                <w:rStyle w:val="Hyperlink"/>
              </w:rPr>
              <w:t>4.2</w:t>
            </w:r>
            <w:r w:rsidR="004B3F74">
              <w:rPr>
                <w:rFonts w:asciiTheme="minorHAnsi" w:eastAsiaTheme="minorEastAsia" w:hAnsiTheme="minorHAnsi" w:cstheme="minorBidi"/>
                <w:szCs w:val="24"/>
                <w:lang w:eastAsia="en-GB"/>
              </w:rPr>
              <w:tab/>
            </w:r>
            <w:r w:rsidR="004B3F74" w:rsidRPr="00182A76">
              <w:rPr>
                <w:rStyle w:val="Hyperlink"/>
              </w:rPr>
              <w:t>Response to recommendations</w:t>
            </w:r>
            <w:r w:rsidR="004B3F74">
              <w:rPr>
                <w:webHidden/>
              </w:rPr>
              <w:tab/>
            </w:r>
            <w:r w:rsidR="004B3F74">
              <w:rPr>
                <w:webHidden/>
              </w:rPr>
              <w:fldChar w:fldCharType="begin"/>
            </w:r>
            <w:r w:rsidR="004B3F74">
              <w:rPr>
                <w:webHidden/>
              </w:rPr>
              <w:instrText xml:space="preserve"> PAGEREF _Toc87543867 \h </w:instrText>
            </w:r>
            <w:r w:rsidR="004B3F74">
              <w:rPr>
                <w:webHidden/>
              </w:rPr>
            </w:r>
            <w:r w:rsidR="004B3F74">
              <w:rPr>
                <w:webHidden/>
              </w:rPr>
              <w:fldChar w:fldCharType="separate"/>
            </w:r>
            <w:r w:rsidR="003600BF">
              <w:rPr>
                <w:webHidden/>
              </w:rPr>
              <w:t>22</w:t>
            </w:r>
            <w:r w:rsidR="004B3F74">
              <w:rPr>
                <w:webHidden/>
              </w:rPr>
              <w:fldChar w:fldCharType="end"/>
            </w:r>
          </w:hyperlink>
        </w:p>
        <w:p w14:paraId="61833594" w14:textId="1DB41080" w:rsidR="004B3F74" w:rsidRDefault="00D60801">
          <w:pPr>
            <w:pStyle w:val="TOC2"/>
            <w:tabs>
              <w:tab w:val="left" w:pos="720"/>
            </w:tabs>
            <w:rPr>
              <w:rFonts w:asciiTheme="minorHAnsi" w:eastAsiaTheme="minorEastAsia" w:hAnsiTheme="minorHAnsi" w:cstheme="minorBidi"/>
              <w:szCs w:val="24"/>
              <w:lang w:eastAsia="en-GB"/>
            </w:rPr>
          </w:pPr>
          <w:hyperlink w:anchor="_Toc87543868" w:history="1">
            <w:r w:rsidR="004B3F74" w:rsidRPr="00182A76">
              <w:rPr>
                <w:rStyle w:val="Hyperlink"/>
              </w:rPr>
              <w:t>4.3</w:t>
            </w:r>
            <w:r w:rsidR="004B3F74">
              <w:rPr>
                <w:rFonts w:asciiTheme="minorHAnsi" w:eastAsiaTheme="minorEastAsia" w:hAnsiTheme="minorHAnsi" w:cstheme="minorBidi"/>
                <w:szCs w:val="24"/>
                <w:lang w:eastAsia="en-GB"/>
              </w:rPr>
              <w:tab/>
            </w:r>
            <w:r w:rsidR="004B3F74" w:rsidRPr="00182A76">
              <w:rPr>
                <w:rStyle w:val="Hyperlink"/>
              </w:rPr>
              <w:t>Assignment of responsibilities</w:t>
            </w:r>
            <w:r w:rsidR="004B3F74">
              <w:rPr>
                <w:webHidden/>
              </w:rPr>
              <w:tab/>
            </w:r>
            <w:r w:rsidR="004B3F74">
              <w:rPr>
                <w:webHidden/>
              </w:rPr>
              <w:fldChar w:fldCharType="begin"/>
            </w:r>
            <w:r w:rsidR="004B3F74">
              <w:rPr>
                <w:webHidden/>
              </w:rPr>
              <w:instrText xml:space="preserve"> PAGEREF _Toc87543868 \h </w:instrText>
            </w:r>
            <w:r w:rsidR="004B3F74">
              <w:rPr>
                <w:webHidden/>
              </w:rPr>
            </w:r>
            <w:r w:rsidR="004B3F74">
              <w:rPr>
                <w:webHidden/>
              </w:rPr>
              <w:fldChar w:fldCharType="separate"/>
            </w:r>
            <w:r w:rsidR="003600BF">
              <w:rPr>
                <w:webHidden/>
              </w:rPr>
              <w:t>23</w:t>
            </w:r>
            <w:r w:rsidR="004B3F74">
              <w:rPr>
                <w:webHidden/>
              </w:rPr>
              <w:fldChar w:fldCharType="end"/>
            </w:r>
          </w:hyperlink>
        </w:p>
        <w:p w14:paraId="01AB5A4B" w14:textId="62D95B70" w:rsidR="004B3F74" w:rsidRDefault="00D60801">
          <w:pPr>
            <w:pStyle w:val="TOC1"/>
            <w:rPr>
              <w:rFonts w:asciiTheme="minorHAnsi" w:eastAsiaTheme="minorEastAsia" w:hAnsiTheme="minorHAnsi" w:cstheme="minorBidi"/>
              <w:b w:val="0"/>
              <w:szCs w:val="24"/>
              <w:lang w:eastAsia="en-GB"/>
            </w:rPr>
          </w:pPr>
          <w:hyperlink w:anchor="_Toc87543869" w:history="1">
            <w:r w:rsidR="004B3F74" w:rsidRPr="00182A76">
              <w:rPr>
                <w:rStyle w:val="Hyperlink"/>
              </w:rPr>
              <w:t>5</w:t>
            </w:r>
            <w:r w:rsidR="004B3F74">
              <w:rPr>
                <w:rFonts w:asciiTheme="minorHAnsi" w:eastAsiaTheme="minorEastAsia" w:hAnsiTheme="minorHAnsi" w:cstheme="minorBidi"/>
                <w:b w:val="0"/>
                <w:szCs w:val="24"/>
                <w:lang w:eastAsia="en-GB"/>
              </w:rPr>
              <w:tab/>
            </w:r>
            <w:r w:rsidR="004B3F74" w:rsidRPr="00182A76">
              <w:rPr>
                <w:rStyle w:val="Hyperlink"/>
              </w:rPr>
              <w:t>Monitoring and reporting implementation of responses to recommendation</w:t>
            </w:r>
            <w:r w:rsidR="004B3F74">
              <w:rPr>
                <w:webHidden/>
              </w:rPr>
              <w:tab/>
            </w:r>
            <w:r w:rsidR="004B3F74">
              <w:rPr>
                <w:webHidden/>
              </w:rPr>
              <w:fldChar w:fldCharType="begin"/>
            </w:r>
            <w:r w:rsidR="004B3F74">
              <w:rPr>
                <w:webHidden/>
              </w:rPr>
              <w:instrText xml:space="preserve"> PAGEREF _Toc87543869 \h </w:instrText>
            </w:r>
            <w:r w:rsidR="004B3F74">
              <w:rPr>
                <w:webHidden/>
              </w:rPr>
            </w:r>
            <w:r w:rsidR="004B3F74">
              <w:rPr>
                <w:webHidden/>
              </w:rPr>
              <w:fldChar w:fldCharType="separate"/>
            </w:r>
            <w:r w:rsidR="003600BF">
              <w:rPr>
                <w:webHidden/>
              </w:rPr>
              <w:t>24</w:t>
            </w:r>
            <w:r w:rsidR="004B3F74">
              <w:rPr>
                <w:webHidden/>
              </w:rPr>
              <w:fldChar w:fldCharType="end"/>
            </w:r>
          </w:hyperlink>
        </w:p>
        <w:p w14:paraId="25B39576" w14:textId="5A209C28" w:rsidR="004B3F74" w:rsidRDefault="00D60801">
          <w:pPr>
            <w:pStyle w:val="TOC2"/>
            <w:tabs>
              <w:tab w:val="left" w:pos="720"/>
            </w:tabs>
            <w:rPr>
              <w:rFonts w:asciiTheme="minorHAnsi" w:eastAsiaTheme="minorEastAsia" w:hAnsiTheme="minorHAnsi" w:cstheme="minorBidi"/>
              <w:szCs w:val="24"/>
              <w:lang w:eastAsia="en-GB"/>
            </w:rPr>
          </w:pPr>
          <w:hyperlink w:anchor="_Toc87543870" w:history="1">
            <w:r w:rsidR="004B3F74" w:rsidRPr="00182A76">
              <w:rPr>
                <w:rStyle w:val="Hyperlink"/>
              </w:rPr>
              <w:t>5.1</w:t>
            </w:r>
            <w:r w:rsidR="004B3F74">
              <w:rPr>
                <w:rFonts w:asciiTheme="minorHAnsi" w:eastAsiaTheme="minorEastAsia" w:hAnsiTheme="minorHAnsi" w:cstheme="minorBidi"/>
                <w:szCs w:val="24"/>
                <w:lang w:eastAsia="en-GB"/>
              </w:rPr>
              <w:tab/>
            </w:r>
            <w:r w:rsidR="004B3F74" w:rsidRPr="00182A76">
              <w:rPr>
                <w:rStyle w:val="Hyperlink"/>
              </w:rPr>
              <w:t>Governance Module, Planning Hub</w:t>
            </w:r>
            <w:r w:rsidR="004B3F74">
              <w:rPr>
                <w:webHidden/>
              </w:rPr>
              <w:tab/>
            </w:r>
            <w:r w:rsidR="004B3F74">
              <w:rPr>
                <w:webHidden/>
              </w:rPr>
              <w:fldChar w:fldCharType="begin"/>
            </w:r>
            <w:r w:rsidR="004B3F74">
              <w:rPr>
                <w:webHidden/>
              </w:rPr>
              <w:instrText xml:space="preserve"> PAGEREF _Toc87543870 \h </w:instrText>
            </w:r>
            <w:r w:rsidR="004B3F74">
              <w:rPr>
                <w:webHidden/>
              </w:rPr>
            </w:r>
            <w:r w:rsidR="004B3F74">
              <w:rPr>
                <w:webHidden/>
              </w:rPr>
              <w:fldChar w:fldCharType="separate"/>
            </w:r>
            <w:r w:rsidR="003600BF">
              <w:rPr>
                <w:webHidden/>
              </w:rPr>
              <w:t>24</w:t>
            </w:r>
            <w:r w:rsidR="004B3F74">
              <w:rPr>
                <w:webHidden/>
              </w:rPr>
              <w:fldChar w:fldCharType="end"/>
            </w:r>
          </w:hyperlink>
        </w:p>
        <w:p w14:paraId="75799BC5" w14:textId="76F54BC0" w:rsidR="004B3F74" w:rsidRDefault="00D60801">
          <w:pPr>
            <w:pStyle w:val="TOC2"/>
            <w:tabs>
              <w:tab w:val="left" w:pos="720"/>
            </w:tabs>
            <w:rPr>
              <w:rFonts w:asciiTheme="minorHAnsi" w:eastAsiaTheme="minorEastAsia" w:hAnsiTheme="minorHAnsi" w:cstheme="minorBidi"/>
              <w:szCs w:val="24"/>
              <w:lang w:eastAsia="en-GB"/>
            </w:rPr>
          </w:pPr>
          <w:hyperlink w:anchor="_Toc87543871" w:history="1">
            <w:r w:rsidR="004B3F74" w:rsidRPr="00182A76">
              <w:rPr>
                <w:rStyle w:val="Hyperlink"/>
              </w:rPr>
              <w:t>5.2</w:t>
            </w:r>
            <w:r w:rsidR="004B3F74">
              <w:rPr>
                <w:rFonts w:asciiTheme="minorHAnsi" w:eastAsiaTheme="minorEastAsia" w:hAnsiTheme="minorHAnsi" w:cstheme="minorBidi"/>
                <w:szCs w:val="24"/>
                <w:lang w:eastAsia="en-GB"/>
              </w:rPr>
              <w:tab/>
            </w:r>
            <w:r w:rsidR="004B3F74" w:rsidRPr="00182A76">
              <w:rPr>
                <w:rStyle w:val="Hyperlink"/>
              </w:rPr>
              <w:t>Responsibilities for implementing recommendations</w:t>
            </w:r>
            <w:r w:rsidR="004B3F74">
              <w:rPr>
                <w:webHidden/>
              </w:rPr>
              <w:tab/>
            </w:r>
            <w:r w:rsidR="004B3F74">
              <w:rPr>
                <w:webHidden/>
              </w:rPr>
              <w:fldChar w:fldCharType="begin"/>
            </w:r>
            <w:r w:rsidR="004B3F74">
              <w:rPr>
                <w:webHidden/>
              </w:rPr>
              <w:instrText xml:space="preserve"> PAGEREF _Toc87543871 \h </w:instrText>
            </w:r>
            <w:r w:rsidR="004B3F74">
              <w:rPr>
                <w:webHidden/>
              </w:rPr>
            </w:r>
            <w:r w:rsidR="004B3F74">
              <w:rPr>
                <w:webHidden/>
              </w:rPr>
              <w:fldChar w:fldCharType="separate"/>
            </w:r>
            <w:r w:rsidR="003600BF">
              <w:rPr>
                <w:webHidden/>
              </w:rPr>
              <w:t>24</w:t>
            </w:r>
            <w:r w:rsidR="004B3F74">
              <w:rPr>
                <w:webHidden/>
              </w:rPr>
              <w:fldChar w:fldCharType="end"/>
            </w:r>
          </w:hyperlink>
        </w:p>
        <w:p w14:paraId="5559C57B" w14:textId="2036DA87" w:rsidR="004B3F74" w:rsidRDefault="00D60801">
          <w:pPr>
            <w:pStyle w:val="TOC2"/>
            <w:tabs>
              <w:tab w:val="left" w:pos="720"/>
            </w:tabs>
            <w:rPr>
              <w:rFonts w:asciiTheme="minorHAnsi" w:eastAsiaTheme="minorEastAsia" w:hAnsiTheme="minorHAnsi" w:cstheme="minorBidi"/>
              <w:szCs w:val="24"/>
              <w:lang w:eastAsia="en-GB"/>
            </w:rPr>
          </w:pPr>
          <w:hyperlink w:anchor="_Toc87543872" w:history="1">
            <w:r w:rsidR="004B3F74" w:rsidRPr="00182A76">
              <w:rPr>
                <w:rStyle w:val="Hyperlink"/>
              </w:rPr>
              <w:t>5.3</w:t>
            </w:r>
            <w:r w:rsidR="004B3F74">
              <w:rPr>
                <w:rFonts w:asciiTheme="minorHAnsi" w:eastAsiaTheme="minorEastAsia" w:hAnsiTheme="minorHAnsi" w:cstheme="minorBidi"/>
                <w:szCs w:val="24"/>
                <w:lang w:eastAsia="en-GB"/>
              </w:rPr>
              <w:tab/>
            </w:r>
            <w:r w:rsidR="004B3F74" w:rsidRPr="00182A76">
              <w:rPr>
                <w:rStyle w:val="Hyperlink"/>
              </w:rPr>
              <w:t>Project management approach, including project plans</w:t>
            </w:r>
            <w:r w:rsidR="004B3F74">
              <w:rPr>
                <w:webHidden/>
              </w:rPr>
              <w:tab/>
            </w:r>
            <w:r w:rsidR="004B3F74">
              <w:rPr>
                <w:webHidden/>
              </w:rPr>
              <w:fldChar w:fldCharType="begin"/>
            </w:r>
            <w:r w:rsidR="004B3F74">
              <w:rPr>
                <w:webHidden/>
              </w:rPr>
              <w:instrText xml:space="preserve"> PAGEREF _Toc87543872 \h </w:instrText>
            </w:r>
            <w:r w:rsidR="004B3F74">
              <w:rPr>
                <w:webHidden/>
              </w:rPr>
            </w:r>
            <w:r w:rsidR="004B3F74">
              <w:rPr>
                <w:webHidden/>
              </w:rPr>
              <w:fldChar w:fldCharType="separate"/>
            </w:r>
            <w:r w:rsidR="003600BF">
              <w:rPr>
                <w:webHidden/>
              </w:rPr>
              <w:t>25</w:t>
            </w:r>
            <w:r w:rsidR="004B3F74">
              <w:rPr>
                <w:webHidden/>
              </w:rPr>
              <w:fldChar w:fldCharType="end"/>
            </w:r>
          </w:hyperlink>
        </w:p>
        <w:p w14:paraId="6FF9F5B1" w14:textId="4CEC57C4" w:rsidR="004B3F74" w:rsidRDefault="00D60801">
          <w:pPr>
            <w:pStyle w:val="TOC2"/>
            <w:tabs>
              <w:tab w:val="left" w:pos="720"/>
            </w:tabs>
            <w:rPr>
              <w:rFonts w:asciiTheme="minorHAnsi" w:eastAsiaTheme="minorEastAsia" w:hAnsiTheme="minorHAnsi" w:cstheme="minorBidi"/>
              <w:szCs w:val="24"/>
              <w:lang w:eastAsia="en-GB"/>
            </w:rPr>
          </w:pPr>
          <w:hyperlink w:anchor="_Toc87543873" w:history="1">
            <w:r w:rsidR="004B3F74" w:rsidRPr="00182A76">
              <w:rPr>
                <w:rStyle w:val="Hyperlink"/>
              </w:rPr>
              <w:t>5.4</w:t>
            </w:r>
            <w:r w:rsidR="004B3F74">
              <w:rPr>
                <w:rFonts w:asciiTheme="minorHAnsi" w:eastAsiaTheme="minorEastAsia" w:hAnsiTheme="minorHAnsi" w:cstheme="minorBidi"/>
                <w:szCs w:val="24"/>
                <w:lang w:eastAsia="en-GB"/>
              </w:rPr>
              <w:tab/>
            </w:r>
            <w:r w:rsidR="004B3F74" w:rsidRPr="00182A76">
              <w:rPr>
                <w:rStyle w:val="Hyperlink"/>
              </w:rPr>
              <w:t>Industry engagement</w:t>
            </w:r>
            <w:r w:rsidR="004B3F74">
              <w:rPr>
                <w:webHidden/>
              </w:rPr>
              <w:tab/>
            </w:r>
            <w:r w:rsidR="004B3F74">
              <w:rPr>
                <w:webHidden/>
              </w:rPr>
              <w:fldChar w:fldCharType="begin"/>
            </w:r>
            <w:r w:rsidR="004B3F74">
              <w:rPr>
                <w:webHidden/>
              </w:rPr>
              <w:instrText xml:space="preserve"> PAGEREF _Toc87543873 \h </w:instrText>
            </w:r>
            <w:r w:rsidR="004B3F74">
              <w:rPr>
                <w:webHidden/>
              </w:rPr>
            </w:r>
            <w:r w:rsidR="004B3F74">
              <w:rPr>
                <w:webHidden/>
              </w:rPr>
              <w:fldChar w:fldCharType="separate"/>
            </w:r>
            <w:r w:rsidR="003600BF">
              <w:rPr>
                <w:webHidden/>
              </w:rPr>
              <w:t>26</w:t>
            </w:r>
            <w:r w:rsidR="004B3F74">
              <w:rPr>
                <w:webHidden/>
              </w:rPr>
              <w:fldChar w:fldCharType="end"/>
            </w:r>
          </w:hyperlink>
        </w:p>
        <w:p w14:paraId="63538AB9" w14:textId="0BFF1522" w:rsidR="004B3F74" w:rsidRDefault="00D60801">
          <w:pPr>
            <w:pStyle w:val="TOC2"/>
            <w:tabs>
              <w:tab w:val="left" w:pos="720"/>
            </w:tabs>
            <w:rPr>
              <w:rFonts w:asciiTheme="minorHAnsi" w:eastAsiaTheme="minorEastAsia" w:hAnsiTheme="minorHAnsi" w:cstheme="minorBidi"/>
              <w:szCs w:val="24"/>
              <w:lang w:eastAsia="en-GB"/>
            </w:rPr>
          </w:pPr>
          <w:hyperlink w:anchor="_Toc87543874" w:history="1">
            <w:r w:rsidR="004B3F74" w:rsidRPr="00182A76">
              <w:rPr>
                <w:rStyle w:val="Hyperlink"/>
              </w:rPr>
              <w:t>5.5</w:t>
            </w:r>
            <w:r w:rsidR="004B3F74">
              <w:rPr>
                <w:rFonts w:asciiTheme="minorHAnsi" w:eastAsiaTheme="minorEastAsia" w:hAnsiTheme="minorHAnsi" w:cstheme="minorBidi"/>
                <w:szCs w:val="24"/>
                <w:lang w:eastAsia="en-GB"/>
              </w:rPr>
              <w:tab/>
            </w:r>
            <w:r w:rsidR="004B3F74" w:rsidRPr="00182A76">
              <w:rPr>
                <w:rStyle w:val="Hyperlink"/>
              </w:rPr>
              <w:t>Executive oversight of implementation of recommendations</w:t>
            </w:r>
            <w:r w:rsidR="004B3F74">
              <w:rPr>
                <w:webHidden/>
              </w:rPr>
              <w:tab/>
            </w:r>
            <w:r w:rsidR="004B3F74">
              <w:rPr>
                <w:webHidden/>
              </w:rPr>
              <w:fldChar w:fldCharType="begin"/>
            </w:r>
            <w:r w:rsidR="004B3F74">
              <w:rPr>
                <w:webHidden/>
              </w:rPr>
              <w:instrText xml:space="preserve"> PAGEREF _Toc87543874 \h </w:instrText>
            </w:r>
            <w:r w:rsidR="004B3F74">
              <w:rPr>
                <w:webHidden/>
              </w:rPr>
            </w:r>
            <w:r w:rsidR="004B3F74">
              <w:rPr>
                <w:webHidden/>
              </w:rPr>
              <w:fldChar w:fldCharType="separate"/>
            </w:r>
            <w:r w:rsidR="003600BF">
              <w:rPr>
                <w:webHidden/>
              </w:rPr>
              <w:t>26</w:t>
            </w:r>
            <w:r w:rsidR="004B3F74">
              <w:rPr>
                <w:webHidden/>
              </w:rPr>
              <w:fldChar w:fldCharType="end"/>
            </w:r>
          </w:hyperlink>
        </w:p>
        <w:p w14:paraId="16FDCC20" w14:textId="7D6B543C" w:rsidR="004B3F74" w:rsidRDefault="00D60801">
          <w:pPr>
            <w:pStyle w:val="TOC2"/>
            <w:tabs>
              <w:tab w:val="left" w:pos="720"/>
            </w:tabs>
            <w:rPr>
              <w:rFonts w:asciiTheme="minorHAnsi" w:eastAsiaTheme="minorEastAsia" w:hAnsiTheme="minorHAnsi" w:cstheme="minorBidi"/>
              <w:szCs w:val="24"/>
              <w:lang w:eastAsia="en-GB"/>
            </w:rPr>
          </w:pPr>
          <w:hyperlink w:anchor="_Toc87543875" w:history="1">
            <w:r w:rsidR="004B3F74" w:rsidRPr="00182A76">
              <w:rPr>
                <w:rStyle w:val="Hyperlink"/>
              </w:rPr>
              <w:t>5.6</w:t>
            </w:r>
            <w:r w:rsidR="004B3F74">
              <w:rPr>
                <w:rFonts w:asciiTheme="minorHAnsi" w:eastAsiaTheme="minorEastAsia" w:hAnsiTheme="minorHAnsi" w:cstheme="minorBidi"/>
                <w:szCs w:val="24"/>
                <w:lang w:eastAsia="en-GB"/>
              </w:rPr>
              <w:tab/>
            </w:r>
            <w:r w:rsidR="004B3F74" w:rsidRPr="00182A76">
              <w:rPr>
                <w:rStyle w:val="Hyperlink"/>
              </w:rPr>
              <w:t>Verification of recommendation implementation</w:t>
            </w:r>
            <w:r w:rsidR="004B3F74">
              <w:rPr>
                <w:webHidden/>
              </w:rPr>
              <w:tab/>
            </w:r>
            <w:r w:rsidR="004B3F74">
              <w:rPr>
                <w:webHidden/>
              </w:rPr>
              <w:fldChar w:fldCharType="begin"/>
            </w:r>
            <w:r w:rsidR="004B3F74">
              <w:rPr>
                <w:webHidden/>
              </w:rPr>
              <w:instrText xml:space="preserve"> PAGEREF _Toc87543875 \h </w:instrText>
            </w:r>
            <w:r w:rsidR="004B3F74">
              <w:rPr>
                <w:webHidden/>
              </w:rPr>
            </w:r>
            <w:r w:rsidR="004B3F74">
              <w:rPr>
                <w:webHidden/>
              </w:rPr>
              <w:fldChar w:fldCharType="separate"/>
            </w:r>
            <w:r w:rsidR="003600BF">
              <w:rPr>
                <w:webHidden/>
              </w:rPr>
              <w:t>27</w:t>
            </w:r>
            <w:r w:rsidR="004B3F74">
              <w:rPr>
                <w:webHidden/>
              </w:rPr>
              <w:fldChar w:fldCharType="end"/>
            </w:r>
          </w:hyperlink>
        </w:p>
        <w:p w14:paraId="218CB733" w14:textId="199F3963" w:rsidR="004B3F74" w:rsidRDefault="00D60801">
          <w:pPr>
            <w:pStyle w:val="TOC1"/>
            <w:rPr>
              <w:rFonts w:asciiTheme="minorHAnsi" w:eastAsiaTheme="minorEastAsia" w:hAnsiTheme="minorHAnsi" w:cstheme="minorBidi"/>
              <w:b w:val="0"/>
              <w:szCs w:val="24"/>
              <w:lang w:eastAsia="en-GB"/>
            </w:rPr>
          </w:pPr>
          <w:hyperlink w:anchor="_Toc87543876" w:history="1">
            <w:r w:rsidR="004B3F74" w:rsidRPr="00182A76">
              <w:rPr>
                <w:rStyle w:val="Hyperlink"/>
              </w:rPr>
              <w:t>6</w:t>
            </w:r>
            <w:r w:rsidR="004B3F74">
              <w:rPr>
                <w:rFonts w:asciiTheme="minorHAnsi" w:eastAsiaTheme="minorEastAsia" w:hAnsiTheme="minorHAnsi" w:cstheme="minorBidi"/>
                <w:b w:val="0"/>
                <w:szCs w:val="24"/>
                <w:lang w:eastAsia="en-GB"/>
              </w:rPr>
              <w:tab/>
            </w:r>
            <w:r w:rsidR="004B3F74" w:rsidRPr="00182A76">
              <w:rPr>
                <w:rStyle w:val="Hyperlink"/>
              </w:rPr>
              <w:t>Recent biosecurity governance improvements</w:t>
            </w:r>
            <w:r w:rsidR="004B3F74">
              <w:rPr>
                <w:webHidden/>
              </w:rPr>
              <w:tab/>
            </w:r>
            <w:r w:rsidR="004B3F74">
              <w:rPr>
                <w:webHidden/>
              </w:rPr>
              <w:fldChar w:fldCharType="begin"/>
            </w:r>
            <w:r w:rsidR="004B3F74">
              <w:rPr>
                <w:webHidden/>
              </w:rPr>
              <w:instrText xml:space="preserve"> PAGEREF _Toc87543876 \h </w:instrText>
            </w:r>
            <w:r w:rsidR="004B3F74">
              <w:rPr>
                <w:webHidden/>
              </w:rPr>
            </w:r>
            <w:r w:rsidR="004B3F74">
              <w:rPr>
                <w:webHidden/>
              </w:rPr>
              <w:fldChar w:fldCharType="separate"/>
            </w:r>
            <w:r w:rsidR="003600BF">
              <w:rPr>
                <w:webHidden/>
              </w:rPr>
              <w:t>29</w:t>
            </w:r>
            <w:r w:rsidR="004B3F74">
              <w:rPr>
                <w:webHidden/>
              </w:rPr>
              <w:fldChar w:fldCharType="end"/>
            </w:r>
          </w:hyperlink>
        </w:p>
        <w:p w14:paraId="2E5CF59F" w14:textId="3C11AC49" w:rsidR="004B3F74" w:rsidRDefault="00D60801">
          <w:pPr>
            <w:pStyle w:val="TOC2"/>
            <w:tabs>
              <w:tab w:val="left" w:pos="720"/>
            </w:tabs>
            <w:rPr>
              <w:rFonts w:asciiTheme="minorHAnsi" w:eastAsiaTheme="minorEastAsia" w:hAnsiTheme="minorHAnsi" w:cstheme="minorBidi"/>
              <w:szCs w:val="24"/>
              <w:lang w:eastAsia="en-GB"/>
            </w:rPr>
          </w:pPr>
          <w:hyperlink w:anchor="_Toc87543877" w:history="1">
            <w:r w:rsidR="004B3F74" w:rsidRPr="00182A76">
              <w:rPr>
                <w:rStyle w:val="Hyperlink"/>
              </w:rPr>
              <w:t>6.1</w:t>
            </w:r>
            <w:r w:rsidR="004B3F74">
              <w:rPr>
                <w:rFonts w:asciiTheme="minorHAnsi" w:eastAsiaTheme="minorEastAsia" w:hAnsiTheme="minorHAnsi" w:cstheme="minorBidi"/>
                <w:szCs w:val="24"/>
                <w:lang w:eastAsia="en-GB"/>
              </w:rPr>
              <w:tab/>
            </w:r>
            <w:r w:rsidR="004B3F74" w:rsidRPr="00182A76">
              <w:rPr>
                <w:rStyle w:val="Hyperlink"/>
              </w:rPr>
              <w:t>Commonwealth Biosecurity 2030 strategy</w:t>
            </w:r>
            <w:r w:rsidR="004B3F74">
              <w:rPr>
                <w:webHidden/>
              </w:rPr>
              <w:tab/>
            </w:r>
            <w:r w:rsidR="004B3F74">
              <w:rPr>
                <w:webHidden/>
              </w:rPr>
              <w:fldChar w:fldCharType="begin"/>
            </w:r>
            <w:r w:rsidR="004B3F74">
              <w:rPr>
                <w:webHidden/>
              </w:rPr>
              <w:instrText xml:space="preserve"> PAGEREF _Toc87543877 \h </w:instrText>
            </w:r>
            <w:r w:rsidR="004B3F74">
              <w:rPr>
                <w:webHidden/>
              </w:rPr>
            </w:r>
            <w:r w:rsidR="004B3F74">
              <w:rPr>
                <w:webHidden/>
              </w:rPr>
              <w:fldChar w:fldCharType="separate"/>
            </w:r>
            <w:r w:rsidR="003600BF">
              <w:rPr>
                <w:webHidden/>
              </w:rPr>
              <w:t>29</w:t>
            </w:r>
            <w:r w:rsidR="004B3F74">
              <w:rPr>
                <w:webHidden/>
              </w:rPr>
              <w:fldChar w:fldCharType="end"/>
            </w:r>
          </w:hyperlink>
        </w:p>
        <w:p w14:paraId="3F47A349" w14:textId="02554318" w:rsidR="004B3F74" w:rsidRDefault="00D60801">
          <w:pPr>
            <w:pStyle w:val="TOC2"/>
            <w:tabs>
              <w:tab w:val="left" w:pos="720"/>
            </w:tabs>
            <w:rPr>
              <w:rFonts w:asciiTheme="minorHAnsi" w:eastAsiaTheme="minorEastAsia" w:hAnsiTheme="minorHAnsi" w:cstheme="minorBidi"/>
              <w:szCs w:val="24"/>
              <w:lang w:eastAsia="en-GB"/>
            </w:rPr>
          </w:pPr>
          <w:hyperlink w:anchor="_Toc87543878" w:history="1">
            <w:r w:rsidR="004B3F74" w:rsidRPr="00182A76">
              <w:rPr>
                <w:rStyle w:val="Hyperlink"/>
              </w:rPr>
              <w:t>6.2</w:t>
            </w:r>
            <w:r w:rsidR="004B3F74">
              <w:rPr>
                <w:rFonts w:asciiTheme="minorHAnsi" w:eastAsiaTheme="minorEastAsia" w:hAnsiTheme="minorHAnsi" w:cstheme="minorBidi"/>
                <w:szCs w:val="24"/>
                <w:lang w:eastAsia="en-GB"/>
              </w:rPr>
              <w:tab/>
            </w:r>
            <w:r w:rsidR="004B3F74" w:rsidRPr="00182A76">
              <w:rPr>
                <w:rStyle w:val="Hyperlink"/>
              </w:rPr>
              <w:t>Biosecurity and Compliance Board</w:t>
            </w:r>
            <w:r w:rsidR="004B3F74">
              <w:rPr>
                <w:webHidden/>
              </w:rPr>
              <w:tab/>
            </w:r>
            <w:r w:rsidR="004B3F74">
              <w:rPr>
                <w:webHidden/>
              </w:rPr>
              <w:fldChar w:fldCharType="begin"/>
            </w:r>
            <w:r w:rsidR="004B3F74">
              <w:rPr>
                <w:webHidden/>
              </w:rPr>
              <w:instrText xml:space="preserve"> PAGEREF _Toc87543878 \h </w:instrText>
            </w:r>
            <w:r w:rsidR="004B3F74">
              <w:rPr>
                <w:webHidden/>
              </w:rPr>
            </w:r>
            <w:r w:rsidR="004B3F74">
              <w:rPr>
                <w:webHidden/>
              </w:rPr>
              <w:fldChar w:fldCharType="separate"/>
            </w:r>
            <w:r w:rsidR="003600BF">
              <w:rPr>
                <w:webHidden/>
              </w:rPr>
              <w:t>29</w:t>
            </w:r>
            <w:r w:rsidR="004B3F74">
              <w:rPr>
                <w:webHidden/>
              </w:rPr>
              <w:fldChar w:fldCharType="end"/>
            </w:r>
          </w:hyperlink>
        </w:p>
        <w:p w14:paraId="3A500F25" w14:textId="1D4682A5" w:rsidR="004B3F74" w:rsidRDefault="00D60801">
          <w:pPr>
            <w:pStyle w:val="TOC2"/>
            <w:tabs>
              <w:tab w:val="left" w:pos="720"/>
            </w:tabs>
            <w:rPr>
              <w:rFonts w:asciiTheme="minorHAnsi" w:eastAsiaTheme="minorEastAsia" w:hAnsiTheme="minorHAnsi" w:cstheme="minorBidi"/>
              <w:szCs w:val="24"/>
              <w:lang w:eastAsia="en-GB"/>
            </w:rPr>
          </w:pPr>
          <w:hyperlink w:anchor="_Toc87543879" w:history="1">
            <w:r w:rsidR="004B3F74" w:rsidRPr="00182A76">
              <w:rPr>
                <w:rStyle w:val="Hyperlink"/>
              </w:rPr>
              <w:t>6.3</w:t>
            </w:r>
            <w:r w:rsidR="004B3F74">
              <w:rPr>
                <w:rFonts w:asciiTheme="minorHAnsi" w:eastAsiaTheme="minorEastAsia" w:hAnsiTheme="minorHAnsi" w:cstheme="minorBidi"/>
                <w:szCs w:val="24"/>
                <w:lang w:eastAsia="en-GB"/>
              </w:rPr>
              <w:tab/>
            </w:r>
            <w:r w:rsidR="004B3F74" w:rsidRPr="00182A76">
              <w:rPr>
                <w:rStyle w:val="Hyperlink"/>
              </w:rPr>
              <w:t>Portfolio Audit Committee</w:t>
            </w:r>
            <w:r w:rsidR="004B3F74">
              <w:rPr>
                <w:webHidden/>
              </w:rPr>
              <w:tab/>
            </w:r>
            <w:r w:rsidR="004B3F74">
              <w:rPr>
                <w:webHidden/>
              </w:rPr>
              <w:fldChar w:fldCharType="begin"/>
            </w:r>
            <w:r w:rsidR="004B3F74">
              <w:rPr>
                <w:webHidden/>
              </w:rPr>
              <w:instrText xml:space="preserve"> PAGEREF _Toc87543879 \h </w:instrText>
            </w:r>
            <w:r w:rsidR="004B3F74">
              <w:rPr>
                <w:webHidden/>
              </w:rPr>
            </w:r>
            <w:r w:rsidR="004B3F74">
              <w:rPr>
                <w:webHidden/>
              </w:rPr>
              <w:fldChar w:fldCharType="separate"/>
            </w:r>
            <w:r w:rsidR="003600BF">
              <w:rPr>
                <w:webHidden/>
              </w:rPr>
              <w:t>30</w:t>
            </w:r>
            <w:r w:rsidR="004B3F74">
              <w:rPr>
                <w:webHidden/>
              </w:rPr>
              <w:fldChar w:fldCharType="end"/>
            </w:r>
          </w:hyperlink>
        </w:p>
        <w:p w14:paraId="2C61E04D" w14:textId="12279848" w:rsidR="004B3F74" w:rsidRDefault="00D60801">
          <w:pPr>
            <w:pStyle w:val="TOC1"/>
            <w:rPr>
              <w:rFonts w:asciiTheme="minorHAnsi" w:eastAsiaTheme="minorEastAsia" w:hAnsiTheme="minorHAnsi" w:cstheme="minorBidi"/>
              <w:b w:val="0"/>
              <w:szCs w:val="24"/>
              <w:lang w:eastAsia="en-GB"/>
            </w:rPr>
          </w:pPr>
          <w:hyperlink w:anchor="_Toc87543880" w:history="1">
            <w:r w:rsidR="004B3F74" w:rsidRPr="00182A76">
              <w:rPr>
                <w:rStyle w:val="Hyperlink"/>
              </w:rPr>
              <w:t>7</w:t>
            </w:r>
            <w:r w:rsidR="004B3F74">
              <w:rPr>
                <w:rFonts w:asciiTheme="minorHAnsi" w:eastAsiaTheme="minorEastAsia" w:hAnsiTheme="minorHAnsi" w:cstheme="minorBidi"/>
                <w:b w:val="0"/>
                <w:szCs w:val="24"/>
                <w:lang w:eastAsia="en-GB"/>
              </w:rPr>
              <w:tab/>
            </w:r>
            <w:r w:rsidR="004B3F74" w:rsidRPr="00182A76">
              <w:rPr>
                <w:rStyle w:val="Hyperlink"/>
              </w:rPr>
              <w:t>Summary comments</w:t>
            </w:r>
            <w:r w:rsidR="004B3F74">
              <w:rPr>
                <w:webHidden/>
              </w:rPr>
              <w:tab/>
            </w:r>
            <w:r w:rsidR="004B3F74">
              <w:rPr>
                <w:webHidden/>
              </w:rPr>
              <w:fldChar w:fldCharType="begin"/>
            </w:r>
            <w:r w:rsidR="004B3F74">
              <w:rPr>
                <w:webHidden/>
              </w:rPr>
              <w:instrText xml:space="preserve"> PAGEREF _Toc87543880 \h </w:instrText>
            </w:r>
            <w:r w:rsidR="004B3F74">
              <w:rPr>
                <w:webHidden/>
              </w:rPr>
            </w:r>
            <w:r w:rsidR="004B3F74">
              <w:rPr>
                <w:webHidden/>
              </w:rPr>
              <w:fldChar w:fldCharType="separate"/>
            </w:r>
            <w:r w:rsidR="003600BF">
              <w:rPr>
                <w:webHidden/>
              </w:rPr>
              <w:t>32</w:t>
            </w:r>
            <w:r w:rsidR="004B3F74">
              <w:rPr>
                <w:webHidden/>
              </w:rPr>
              <w:fldChar w:fldCharType="end"/>
            </w:r>
          </w:hyperlink>
        </w:p>
        <w:p w14:paraId="41E6A5FE" w14:textId="55C8BFA8" w:rsidR="004B3F74" w:rsidRDefault="00D60801">
          <w:pPr>
            <w:pStyle w:val="TOC1"/>
            <w:rPr>
              <w:rFonts w:asciiTheme="minorHAnsi" w:eastAsiaTheme="minorEastAsia" w:hAnsiTheme="minorHAnsi" w:cstheme="minorBidi"/>
              <w:b w:val="0"/>
              <w:szCs w:val="24"/>
              <w:lang w:eastAsia="en-GB"/>
            </w:rPr>
          </w:pPr>
          <w:hyperlink w:anchor="_Toc87543881" w:history="1">
            <w:r w:rsidR="004B3F74" w:rsidRPr="00182A76">
              <w:rPr>
                <w:rStyle w:val="Hyperlink"/>
              </w:rPr>
              <w:t>Appendix A: Agency response</w:t>
            </w:r>
            <w:r w:rsidR="004B3F74">
              <w:rPr>
                <w:webHidden/>
              </w:rPr>
              <w:tab/>
            </w:r>
            <w:r w:rsidR="004B3F74">
              <w:rPr>
                <w:webHidden/>
              </w:rPr>
              <w:fldChar w:fldCharType="begin"/>
            </w:r>
            <w:r w:rsidR="004B3F74">
              <w:rPr>
                <w:webHidden/>
              </w:rPr>
              <w:instrText xml:space="preserve"> PAGEREF _Toc87543881 \h </w:instrText>
            </w:r>
            <w:r w:rsidR="004B3F74">
              <w:rPr>
                <w:webHidden/>
              </w:rPr>
            </w:r>
            <w:r w:rsidR="004B3F74">
              <w:rPr>
                <w:webHidden/>
              </w:rPr>
              <w:fldChar w:fldCharType="separate"/>
            </w:r>
            <w:r w:rsidR="003600BF">
              <w:rPr>
                <w:webHidden/>
              </w:rPr>
              <w:t>33</w:t>
            </w:r>
            <w:r w:rsidR="004B3F74">
              <w:rPr>
                <w:webHidden/>
              </w:rPr>
              <w:fldChar w:fldCharType="end"/>
            </w:r>
          </w:hyperlink>
        </w:p>
        <w:p w14:paraId="487AC7B5" w14:textId="30690052" w:rsidR="004B3F74" w:rsidRDefault="00D60801">
          <w:pPr>
            <w:pStyle w:val="TOC1"/>
            <w:rPr>
              <w:rFonts w:asciiTheme="minorHAnsi" w:eastAsiaTheme="minorEastAsia" w:hAnsiTheme="minorHAnsi" w:cstheme="minorBidi"/>
              <w:b w:val="0"/>
              <w:szCs w:val="24"/>
              <w:lang w:eastAsia="en-GB"/>
            </w:rPr>
          </w:pPr>
          <w:hyperlink w:anchor="_Toc87543882" w:history="1">
            <w:r w:rsidR="004B3F74" w:rsidRPr="00182A76">
              <w:rPr>
                <w:rStyle w:val="Hyperlink"/>
              </w:rPr>
              <w:t>Appendix B: Audit of review recommendations</w:t>
            </w:r>
            <w:r w:rsidR="004B3F74">
              <w:rPr>
                <w:webHidden/>
              </w:rPr>
              <w:tab/>
            </w:r>
            <w:r w:rsidR="004B3F74">
              <w:rPr>
                <w:webHidden/>
              </w:rPr>
              <w:fldChar w:fldCharType="begin"/>
            </w:r>
            <w:r w:rsidR="004B3F74">
              <w:rPr>
                <w:webHidden/>
              </w:rPr>
              <w:instrText xml:space="preserve"> PAGEREF _Toc87543882 \h </w:instrText>
            </w:r>
            <w:r w:rsidR="004B3F74">
              <w:rPr>
                <w:webHidden/>
              </w:rPr>
            </w:r>
            <w:r w:rsidR="004B3F74">
              <w:rPr>
                <w:webHidden/>
              </w:rPr>
              <w:fldChar w:fldCharType="separate"/>
            </w:r>
            <w:r w:rsidR="003600BF">
              <w:rPr>
                <w:webHidden/>
              </w:rPr>
              <w:t>34</w:t>
            </w:r>
            <w:r w:rsidR="004B3F74">
              <w:rPr>
                <w:webHidden/>
              </w:rPr>
              <w:fldChar w:fldCharType="end"/>
            </w:r>
          </w:hyperlink>
        </w:p>
        <w:p w14:paraId="294C3AB4" w14:textId="5C621F15" w:rsidR="004B3F74" w:rsidRDefault="00D60801">
          <w:pPr>
            <w:pStyle w:val="TOC1"/>
            <w:rPr>
              <w:rFonts w:asciiTheme="minorHAnsi" w:eastAsiaTheme="minorEastAsia" w:hAnsiTheme="minorHAnsi" w:cstheme="minorBidi"/>
              <w:b w:val="0"/>
              <w:szCs w:val="24"/>
              <w:lang w:eastAsia="en-GB"/>
            </w:rPr>
          </w:pPr>
          <w:hyperlink w:anchor="_Toc87543883" w:history="1">
            <w:r w:rsidR="004B3F74" w:rsidRPr="00182A76">
              <w:rPr>
                <w:rStyle w:val="Hyperlink"/>
              </w:rPr>
              <w:t>References</w:t>
            </w:r>
            <w:r w:rsidR="004B3F74">
              <w:rPr>
                <w:webHidden/>
              </w:rPr>
              <w:tab/>
            </w:r>
            <w:r w:rsidR="004B3F74">
              <w:rPr>
                <w:webHidden/>
              </w:rPr>
              <w:fldChar w:fldCharType="begin"/>
            </w:r>
            <w:r w:rsidR="004B3F74">
              <w:rPr>
                <w:webHidden/>
              </w:rPr>
              <w:instrText xml:space="preserve"> PAGEREF _Toc87543883 \h </w:instrText>
            </w:r>
            <w:r w:rsidR="004B3F74">
              <w:rPr>
                <w:webHidden/>
              </w:rPr>
            </w:r>
            <w:r w:rsidR="004B3F74">
              <w:rPr>
                <w:webHidden/>
              </w:rPr>
              <w:fldChar w:fldCharType="separate"/>
            </w:r>
            <w:r w:rsidR="003600BF">
              <w:rPr>
                <w:webHidden/>
              </w:rPr>
              <w:t>41</w:t>
            </w:r>
            <w:r w:rsidR="004B3F74">
              <w:rPr>
                <w:webHidden/>
              </w:rPr>
              <w:fldChar w:fldCharType="end"/>
            </w:r>
          </w:hyperlink>
        </w:p>
        <w:p w14:paraId="59EA3A04" w14:textId="2AC3C698" w:rsidR="00152011" w:rsidRDefault="00AE7070" w:rsidP="00152011">
          <w:pPr>
            <w:rPr>
              <w:noProof/>
            </w:rPr>
          </w:pPr>
          <w:r w:rsidRPr="00595916">
            <w:rPr>
              <w:noProof/>
            </w:rPr>
            <w:fldChar w:fldCharType="end"/>
          </w:r>
        </w:p>
      </w:sdtContent>
    </w:sdt>
    <w:p w14:paraId="01D4E157" w14:textId="77777777" w:rsidR="004B3F74" w:rsidRPr="008763FE" w:rsidRDefault="004B3F74" w:rsidP="004B3F74">
      <w:pPr>
        <w:pStyle w:val="TOCHeading2"/>
        <w:rPr>
          <w:rStyle w:val="Strong"/>
        </w:rPr>
      </w:pPr>
      <w:r w:rsidRPr="008763FE">
        <w:rPr>
          <w:rStyle w:val="Strong"/>
        </w:rPr>
        <w:lastRenderedPageBreak/>
        <w:t>Tables</w:t>
      </w:r>
    </w:p>
    <w:p w14:paraId="4A22DFF6" w14:textId="65082A50" w:rsidR="00540764" w:rsidRDefault="004B3F74">
      <w:pPr>
        <w:pStyle w:val="TableofFigures"/>
        <w:rPr>
          <w:rFonts w:asciiTheme="minorHAnsi" w:eastAsiaTheme="minorEastAsia" w:hAnsiTheme="minorHAnsi" w:cstheme="minorBidi"/>
          <w:noProof/>
          <w:sz w:val="22"/>
          <w:lang w:eastAsia="en-AU"/>
        </w:rPr>
      </w:pPr>
      <w:r w:rsidRPr="00595916">
        <w:fldChar w:fldCharType="begin"/>
      </w:r>
      <w:r w:rsidRPr="00595916">
        <w:instrText xml:space="preserve"> TOC \h \z \c "Table" </w:instrText>
      </w:r>
      <w:r w:rsidRPr="00595916">
        <w:fldChar w:fldCharType="separate"/>
      </w:r>
      <w:hyperlink w:anchor="_Toc88487902" w:history="1">
        <w:r w:rsidR="00540764" w:rsidRPr="006F2262">
          <w:rPr>
            <w:rStyle w:val="Hyperlink"/>
            <w:noProof/>
          </w:rPr>
          <w:t>Table 1 Status summary of Inspectors-General review recommendations, May 2016 and February 2021</w:t>
        </w:r>
        <w:r w:rsidR="00540764">
          <w:rPr>
            <w:noProof/>
            <w:webHidden/>
          </w:rPr>
          <w:tab/>
        </w:r>
        <w:r w:rsidR="00540764">
          <w:rPr>
            <w:noProof/>
            <w:webHidden/>
          </w:rPr>
          <w:fldChar w:fldCharType="begin"/>
        </w:r>
        <w:r w:rsidR="00540764">
          <w:rPr>
            <w:noProof/>
            <w:webHidden/>
          </w:rPr>
          <w:instrText xml:space="preserve"> PAGEREF _Toc88487902 \h </w:instrText>
        </w:r>
        <w:r w:rsidR="00540764">
          <w:rPr>
            <w:noProof/>
            <w:webHidden/>
          </w:rPr>
        </w:r>
        <w:r w:rsidR="00540764">
          <w:rPr>
            <w:noProof/>
            <w:webHidden/>
          </w:rPr>
          <w:fldChar w:fldCharType="separate"/>
        </w:r>
        <w:r w:rsidR="003600BF">
          <w:rPr>
            <w:noProof/>
            <w:webHidden/>
          </w:rPr>
          <w:t>17</w:t>
        </w:r>
        <w:r w:rsidR="00540764">
          <w:rPr>
            <w:noProof/>
            <w:webHidden/>
          </w:rPr>
          <w:fldChar w:fldCharType="end"/>
        </w:r>
      </w:hyperlink>
    </w:p>
    <w:p w14:paraId="36F6AF7E" w14:textId="57E1F3DC" w:rsidR="00540764" w:rsidRDefault="00D60801">
      <w:pPr>
        <w:pStyle w:val="TableofFigures"/>
        <w:rPr>
          <w:rFonts w:asciiTheme="minorHAnsi" w:eastAsiaTheme="minorEastAsia" w:hAnsiTheme="minorHAnsi" w:cstheme="minorBidi"/>
          <w:noProof/>
          <w:sz w:val="22"/>
          <w:lang w:eastAsia="en-AU"/>
        </w:rPr>
      </w:pPr>
      <w:hyperlink w:anchor="_Toc88487903" w:history="1">
        <w:r w:rsidR="00540764" w:rsidRPr="006F2262">
          <w:rPr>
            <w:rStyle w:val="Hyperlink"/>
            <w:noProof/>
          </w:rPr>
          <w:t>Table 2 Themes of Inspectors-General recommendations</w:t>
        </w:r>
        <w:r w:rsidR="00540764">
          <w:rPr>
            <w:noProof/>
            <w:webHidden/>
          </w:rPr>
          <w:tab/>
        </w:r>
        <w:r w:rsidR="00540764">
          <w:rPr>
            <w:noProof/>
            <w:webHidden/>
          </w:rPr>
          <w:fldChar w:fldCharType="begin"/>
        </w:r>
        <w:r w:rsidR="00540764">
          <w:rPr>
            <w:noProof/>
            <w:webHidden/>
          </w:rPr>
          <w:instrText xml:space="preserve"> PAGEREF _Toc88487903 \h </w:instrText>
        </w:r>
        <w:r w:rsidR="00540764">
          <w:rPr>
            <w:noProof/>
            <w:webHidden/>
          </w:rPr>
        </w:r>
        <w:r w:rsidR="00540764">
          <w:rPr>
            <w:noProof/>
            <w:webHidden/>
          </w:rPr>
          <w:fldChar w:fldCharType="separate"/>
        </w:r>
        <w:r w:rsidR="003600BF">
          <w:rPr>
            <w:noProof/>
            <w:webHidden/>
          </w:rPr>
          <w:t>18</w:t>
        </w:r>
        <w:r w:rsidR="00540764">
          <w:rPr>
            <w:noProof/>
            <w:webHidden/>
          </w:rPr>
          <w:fldChar w:fldCharType="end"/>
        </w:r>
      </w:hyperlink>
    </w:p>
    <w:p w14:paraId="30B7476C" w14:textId="65C08137" w:rsidR="00540764" w:rsidRDefault="00D60801">
      <w:pPr>
        <w:pStyle w:val="TableofFigures"/>
        <w:rPr>
          <w:rFonts w:asciiTheme="minorHAnsi" w:eastAsiaTheme="minorEastAsia" w:hAnsiTheme="minorHAnsi" w:cstheme="minorBidi"/>
          <w:noProof/>
          <w:sz w:val="22"/>
          <w:lang w:eastAsia="en-AU"/>
        </w:rPr>
      </w:pPr>
      <w:hyperlink w:anchor="_Toc88487904" w:history="1">
        <w:r w:rsidR="00540764" w:rsidRPr="006F2262">
          <w:rPr>
            <w:rStyle w:val="Hyperlink"/>
            <w:noProof/>
          </w:rPr>
          <w:t>Table 3 Combined feedback from biosecurity division executive managers</w:t>
        </w:r>
        <w:r w:rsidR="00540764">
          <w:rPr>
            <w:noProof/>
            <w:webHidden/>
          </w:rPr>
          <w:tab/>
        </w:r>
        <w:r w:rsidR="00540764">
          <w:rPr>
            <w:noProof/>
            <w:webHidden/>
          </w:rPr>
          <w:fldChar w:fldCharType="begin"/>
        </w:r>
        <w:r w:rsidR="00540764">
          <w:rPr>
            <w:noProof/>
            <w:webHidden/>
          </w:rPr>
          <w:instrText xml:space="preserve"> PAGEREF _Toc88487904 \h </w:instrText>
        </w:r>
        <w:r w:rsidR="00540764">
          <w:rPr>
            <w:noProof/>
            <w:webHidden/>
          </w:rPr>
        </w:r>
        <w:r w:rsidR="00540764">
          <w:rPr>
            <w:noProof/>
            <w:webHidden/>
          </w:rPr>
          <w:fldChar w:fldCharType="separate"/>
        </w:r>
        <w:r w:rsidR="003600BF">
          <w:rPr>
            <w:noProof/>
            <w:webHidden/>
          </w:rPr>
          <w:t>19</w:t>
        </w:r>
        <w:r w:rsidR="00540764">
          <w:rPr>
            <w:noProof/>
            <w:webHidden/>
          </w:rPr>
          <w:fldChar w:fldCharType="end"/>
        </w:r>
      </w:hyperlink>
    </w:p>
    <w:p w14:paraId="023BBB20" w14:textId="5AE3316F" w:rsidR="00540764" w:rsidRDefault="00D60801">
      <w:pPr>
        <w:pStyle w:val="TableofFigures"/>
        <w:rPr>
          <w:rFonts w:asciiTheme="minorHAnsi" w:eastAsiaTheme="minorEastAsia" w:hAnsiTheme="minorHAnsi" w:cstheme="minorBidi"/>
          <w:noProof/>
          <w:sz w:val="22"/>
          <w:lang w:eastAsia="en-AU"/>
        </w:rPr>
      </w:pPr>
      <w:hyperlink w:anchor="_Toc88487905" w:history="1">
        <w:r w:rsidR="00540764" w:rsidRPr="006F2262">
          <w:rPr>
            <w:rStyle w:val="Hyperlink"/>
            <w:noProof/>
          </w:rPr>
          <w:t>Table 4 Outcomes of the audit of review recommendations</w:t>
        </w:r>
        <w:r w:rsidR="00540764">
          <w:rPr>
            <w:noProof/>
            <w:webHidden/>
          </w:rPr>
          <w:tab/>
        </w:r>
        <w:r w:rsidR="00540764">
          <w:rPr>
            <w:noProof/>
            <w:webHidden/>
          </w:rPr>
          <w:fldChar w:fldCharType="begin"/>
        </w:r>
        <w:r w:rsidR="00540764">
          <w:rPr>
            <w:noProof/>
            <w:webHidden/>
          </w:rPr>
          <w:instrText xml:space="preserve"> PAGEREF _Toc88487905 \h </w:instrText>
        </w:r>
        <w:r w:rsidR="00540764">
          <w:rPr>
            <w:noProof/>
            <w:webHidden/>
          </w:rPr>
        </w:r>
        <w:r w:rsidR="00540764">
          <w:rPr>
            <w:noProof/>
            <w:webHidden/>
          </w:rPr>
          <w:fldChar w:fldCharType="separate"/>
        </w:r>
        <w:r w:rsidR="003600BF">
          <w:rPr>
            <w:noProof/>
            <w:webHidden/>
          </w:rPr>
          <w:t>34</w:t>
        </w:r>
        <w:r w:rsidR="00540764">
          <w:rPr>
            <w:noProof/>
            <w:webHidden/>
          </w:rPr>
          <w:fldChar w:fldCharType="end"/>
        </w:r>
      </w:hyperlink>
    </w:p>
    <w:p w14:paraId="3131A312" w14:textId="488679A4" w:rsidR="004B3F74" w:rsidRDefault="004B3F74" w:rsidP="002E55F2">
      <w:pPr>
        <w:pStyle w:val="TableofFigures"/>
        <w:rPr>
          <w:rStyle w:val="Strong"/>
        </w:rPr>
      </w:pPr>
      <w:r w:rsidRPr="00595916">
        <w:rPr>
          <w:noProof/>
        </w:rPr>
        <w:fldChar w:fldCharType="end"/>
      </w:r>
    </w:p>
    <w:p w14:paraId="78E1E968" w14:textId="39FFEF97" w:rsidR="00B75C7D" w:rsidRDefault="00B75C7D" w:rsidP="00152011">
      <w:pPr>
        <w:pStyle w:val="Heading2"/>
        <w:numPr>
          <w:ilvl w:val="0"/>
          <w:numId w:val="0"/>
        </w:numPr>
        <w:ind w:left="567" w:hanging="567"/>
      </w:pPr>
      <w:bookmarkStart w:id="1" w:name="_Toc87543850"/>
      <w:r w:rsidRPr="00347458">
        <w:lastRenderedPageBreak/>
        <w:t>Executive summary</w:t>
      </w:r>
      <w:bookmarkEnd w:id="1"/>
    </w:p>
    <w:p w14:paraId="0A4ED4DF" w14:textId="1DC66759" w:rsidR="00CE7291" w:rsidRDefault="000877B6" w:rsidP="00C75907">
      <w:r w:rsidRPr="00794192">
        <w:t xml:space="preserve">The purpose of this </w:t>
      </w:r>
      <w:r w:rsidR="00C75907" w:rsidRPr="00794192">
        <w:t xml:space="preserve">review </w:t>
      </w:r>
      <w:r w:rsidRPr="00794192">
        <w:t xml:space="preserve">was to </w:t>
      </w:r>
      <w:r w:rsidR="00C75907" w:rsidRPr="00794192">
        <w:t>asses</w:t>
      </w:r>
      <w:r w:rsidRPr="00794192">
        <w:t>s</w:t>
      </w:r>
      <w:r w:rsidR="00C75907" w:rsidRPr="00794192">
        <w:t xml:space="preserve"> the </w:t>
      </w:r>
      <w:r w:rsidR="00C272D0" w:rsidRPr="00794192">
        <w:t xml:space="preserve">Department of Agriculture, Water and the Environment’s </w:t>
      </w:r>
      <w:r w:rsidR="00794192" w:rsidRPr="00794192">
        <w:t>methods for ensuring that Interim Inspector-General and Inspector-General review findings and recommendations are used to strengthen Australia’s biosecurity system.</w:t>
      </w:r>
      <w:r w:rsidR="00794192" w:rsidRPr="002E55F2">
        <w:t xml:space="preserve"> It examined </w:t>
      </w:r>
      <w:r w:rsidR="00C272D0" w:rsidRPr="00794192">
        <w:t xml:space="preserve">progress in implementing </w:t>
      </w:r>
      <w:r w:rsidR="00C75907" w:rsidRPr="00794192">
        <w:t xml:space="preserve">163 </w:t>
      </w:r>
      <w:r w:rsidRPr="00794192">
        <w:t xml:space="preserve">Interim Inspector-General and Inspector-General </w:t>
      </w:r>
      <w:r w:rsidR="00C75907" w:rsidRPr="00794192">
        <w:t>recommendations</w:t>
      </w:r>
      <w:r w:rsidR="00C272D0" w:rsidRPr="00794192">
        <w:t xml:space="preserve"> to the Director of Biosecurity contained </w:t>
      </w:r>
      <w:r w:rsidR="00C75907" w:rsidRPr="00794192">
        <w:t xml:space="preserve">in 15 review reports </w:t>
      </w:r>
      <w:r w:rsidR="002E55F2">
        <w:t>published</w:t>
      </w:r>
      <w:r w:rsidR="00C272D0" w:rsidRPr="00794192">
        <w:t xml:space="preserve"> </w:t>
      </w:r>
      <w:r w:rsidR="00C75907" w:rsidRPr="00794192">
        <w:t>between 3 May 2016 and 28 February 2021.</w:t>
      </w:r>
    </w:p>
    <w:p w14:paraId="5D04B9E7" w14:textId="52A9FEC3" w:rsidR="00C75907" w:rsidRDefault="00657421" w:rsidP="00C75907">
      <w:r>
        <w:t xml:space="preserve">The Inspector-General of Biosecurity is an independent statutory role under the </w:t>
      </w:r>
      <w:r>
        <w:rPr>
          <w:i/>
          <w:iCs/>
        </w:rPr>
        <w:t>Biosecurity Act 2015</w:t>
      </w:r>
      <w:r>
        <w:t xml:space="preserve">. The Inspector-General </w:t>
      </w:r>
      <w:r w:rsidR="00666252" w:rsidRPr="000877B6">
        <w:t>provide</w:t>
      </w:r>
      <w:r>
        <w:t>s</w:t>
      </w:r>
      <w:r w:rsidR="00666252" w:rsidRPr="000877B6">
        <w:t xml:space="preserve"> independent assessment </w:t>
      </w:r>
      <w:r w:rsidR="000877B6" w:rsidRPr="002E55F2">
        <w:t xml:space="preserve">of </w:t>
      </w:r>
      <w:r w:rsidR="00666252" w:rsidRPr="000877B6">
        <w:t xml:space="preserve">and </w:t>
      </w:r>
      <w:r w:rsidR="000877B6">
        <w:t xml:space="preserve">recommendations </w:t>
      </w:r>
      <w:r w:rsidR="00666252" w:rsidRPr="000877B6">
        <w:t xml:space="preserve">to the Director </w:t>
      </w:r>
      <w:r w:rsidR="00C46467" w:rsidRPr="000877B6">
        <w:t xml:space="preserve">of </w:t>
      </w:r>
      <w:r w:rsidR="00666252" w:rsidRPr="000877B6">
        <w:t xml:space="preserve">Biosecurity </w:t>
      </w:r>
      <w:r w:rsidR="00DD6C1F" w:rsidRPr="000877B6">
        <w:t xml:space="preserve">on </w:t>
      </w:r>
      <w:r w:rsidR="00666252" w:rsidRPr="000877B6">
        <w:t xml:space="preserve">the performance of biosecurity functions and exercise of powers. The Secretary of the </w:t>
      </w:r>
      <w:r w:rsidR="00DD6C1F" w:rsidRPr="000877B6">
        <w:t>department</w:t>
      </w:r>
      <w:r w:rsidR="00666252" w:rsidRPr="000877B6">
        <w:t xml:space="preserve"> is the Director of Biosecurity.</w:t>
      </w:r>
    </w:p>
    <w:p w14:paraId="593A4538" w14:textId="1758E189" w:rsidR="00EC557B" w:rsidRDefault="00EF78F0" w:rsidP="00EC557B">
      <w:r>
        <w:t xml:space="preserve">This is the fifth review of </w:t>
      </w:r>
      <w:r w:rsidR="009839AB">
        <w:t>the</w:t>
      </w:r>
      <w:r w:rsidR="00EC557B">
        <w:t xml:space="preserve"> department’s </w:t>
      </w:r>
      <w:r w:rsidR="00C75907">
        <w:t xml:space="preserve">track record in </w:t>
      </w:r>
      <w:r w:rsidR="00EC557B">
        <w:t>implementi</w:t>
      </w:r>
      <w:r w:rsidR="00C75907">
        <w:t>ng</w:t>
      </w:r>
      <w:r w:rsidR="00EC557B">
        <w:t xml:space="preserve"> </w:t>
      </w:r>
      <w:r w:rsidR="00747EA5">
        <w:t xml:space="preserve">Interim Inspector-General and </w:t>
      </w:r>
      <w:r w:rsidR="00EC557B">
        <w:t>Inspectors-General recommendations</w:t>
      </w:r>
      <w:r w:rsidR="00FE7D3E">
        <w:t xml:space="preserve"> since 2015</w:t>
      </w:r>
      <w:r w:rsidR="00EC557B">
        <w:t xml:space="preserve">. None of these reviews </w:t>
      </w:r>
      <w:r w:rsidR="000877B6">
        <w:t>w</w:t>
      </w:r>
      <w:r w:rsidR="00EC557B">
        <w:t xml:space="preserve">ould have been necessary if the department had </w:t>
      </w:r>
      <w:r w:rsidR="00D55ED5">
        <w:t xml:space="preserve">a </w:t>
      </w:r>
      <w:r w:rsidR="000E5BD4">
        <w:t>well-</w:t>
      </w:r>
      <w:r w:rsidR="00EC557B">
        <w:t xml:space="preserve">established commitment </w:t>
      </w:r>
      <w:r w:rsidR="000877B6">
        <w:t xml:space="preserve">to </w:t>
      </w:r>
      <w:r w:rsidR="00EC557B">
        <w:t xml:space="preserve">and </w:t>
      </w:r>
      <w:r w:rsidR="00457C8A">
        <w:t xml:space="preserve">a </w:t>
      </w:r>
      <w:r w:rsidR="00EC557B">
        <w:t>sound process for continuous improveme</w:t>
      </w:r>
      <w:r w:rsidR="00EC557B" w:rsidRPr="00457C8A">
        <w:t>nt</w:t>
      </w:r>
      <w:r w:rsidR="000877B6" w:rsidRPr="00457C8A">
        <w:t>;</w:t>
      </w:r>
      <w:r w:rsidR="00EC557B" w:rsidRPr="00457C8A">
        <w:t xml:space="preserve"> and appropriate </w:t>
      </w:r>
      <w:r w:rsidR="00C272D0" w:rsidRPr="00457C8A">
        <w:t xml:space="preserve">accountability mechanisms </w:t>
      </w:r>
      <w:r w:rsidR="00EC557B" w:rsidRPr="00457C8A">
        <w:t xml:space="preserve">within </w:t>
      </w:r>
      <w:r w:rsidR="00C46467" w:rsidRPr="00457C8A">
        <w:t>b</w:t>
      </w:r>
      <w:r w:rsidR="00EC557B" w:rsidRPr="00457C8A">
        <w:t>iosecurity</w:t>
      </w:r>
      <w:r w:rsidR="00470A91" w:rsidRPr="00457C8A">
        <w:t xml:space="preserve"> </w:t>
      </w:r>
      <w:r w:rsidR="00D97271" w:rsidRPr="00457C8A">
        <w:t>d</w:t>
      </w:r>
      <w:r w:rsidR="00470A91" w:rsidRPr="00457C8A">
        <w:t>ivisions</w:t>
      </w:r>
      <w:r w:rsidR="00EC557B" w:rsidRPr="00457C8A">
        <w:t xml:space="preserve"> and </w:t>
      </w:r>
      <w:r w:rsidR="000877B6" w:rsidRPr="00457C8A">
        <w:t xml:space="preserve">the department </w:t>
      </w:r>
      <w:r w:rsidR="00EC557B" w:rsidRPr="00457C8A">
        <w:t>more broadly.</w:t>
      </w:r>
    </w:p>
    <w:p w14:paraId="2B7E6BBB" w14:textId="432FEB88" w:rsidR="00EC557B" w:rsidRPr="00C272D0" w:rsidRDefault="00EC557B" w:rsidP="00EC557B">
      <w:r>
        <w:t xml:space="preserve">The department has struggled to </w:t>
      </w:r>
      <w:r w:rsidR="000877B6">
        <w:t xml:space="preserve">come to </w:t>
      </w:r>
      <w:r w:rsidR="000E5BD4">
        <w:t>an appropriate understanding</w:t>
      </w:r>
      <w:r>
        <w:t xml:space="preserve"> of </w:t>
      </w:r>
      <w:r w:rsidR="00D97271">
        <w:t xml:space="preserve">the </w:t>
      </w:r>
      <w:r w:rsidR="00457C8A">
        <w:t xml:space="preserve">independent </w:t>
      </w:r>
      <w:r>
        <w:t>Inspector-General role</w:t>
      </w:r>
      <w:r w:rsidR="00C272D0">
        <w:t>.</w:t>
      </w:r>
      <w:r w:rsidR="00C2289F">
        <w:t xml:space="preserve"> </w:t>
      </w:r>
      <w:r w:rsidR="00C272D0">
        <w:t xml:space="preserve">It has therefore not capitalised on the </w:t>
      </w:r>
      <w:r w:rsidR="00C2289F">
        <w:t>benefits</w:t>
      </w:r>
      <w:r w:rsidR="008A74E1">
        <w:t xml:space="preserve"> </w:t>
      </w:r>
      <w:r w:rsidR="000877B6">
        <w:t xml:space="preserve">of </w:t>
      </w:r>
      <w:r w:rsidR="008A74E1">
        <w:t>the</w:t>
      </w:r>
      <w:r w:rsidR="00C2289F">
        <w:t xml:space="preserve"> independent assessment</w:t>
      </w:r>
      <w:r w:rsidR="008A74E1">
        <w:t xml:space="preserve">s </w:t>
      </w:r>
      <w:r w:rsidR="000877B6">
        <w:t xml:space="preserve">that the Inspector-General </w:t>
      </w:r>
      <w:r w:rsidR="008A74E1">
        <w:t>provide</w:t>
      </w:r>
      <w:r w:rsidR="000877B6">
        <w:t>s</w:t>
      </w:r>
      <w:r>
        <w:t xml:space="preserve">. </w:t>
      </w:r>
      <w:r w:rsidR="002C69C9">
        <w:t xml:space="preserve">It appears that the </w:t>
      </w:r>
      <w:r w:rsidR="002C69C9" w:rsidRPr="00C272D0">
        <w:t xml:space="preserve">department has </w:t>
      </w:r>
      <w:r w:rsidR="00647863" w:rsidRPr="00C272D0">
        <w:t>approached</w:t>
      </w:r>
      <w:r w:rsidR="002C69C9" w:rsidRPr="00C272D0">
        <w:t xml:space="preserve"> Inspector-General recommendations </w:t>
      </w:r>
      <w:r w:rsidR="00647863" w:rsidRPr="00C272D0">
        <w:t xml:space="preserve">as </w:t>
      </w:r>
      <w:r w:rsidR="000877B6" w:rsidRPr="00C272D0">
        <w:t xml:space="preserve">an </w:t>
      </w:r>
      <w:r w:rsidR="00647863" w:rsidRPr="00C272D0">
        <w:t>administrative</w:t>
      </w:r>
      <w:r w:rsidR="008A74E1" w:rsidRPr="00C272D0">
        <w:t>, rather than transformative</w:t>
      </w:r>
      <w:r w:rsidR="00C46467" w:rsidRPr="00C272D0">
        <w:t>,</w:t>
      </w:r>
      <w:r w:rsidR="008A74E1" w:rsidRPr="00C272D0">
        <w:t xml:space="preserve"> </w:t>
      </w:r>
      <w:r w:rsidR="00647863" w:rsidRPr="00C272D0">
        <w:t>process</w:t>
      </w:r>
      <w:r w:rsidR="008A74E1" w:rsidRPr="00C272D0">
        <w:t xml:space="preserve"> and </w:t>
      </w:r>
      <w:r w:rsidR="00C272D0" w:rsidRPr="0082640B">
        <w:t xml:space="preserve">not treated them with </w:t>
      </w:r>
      <w:r w:rsidR="00600405" w:rsidRPr="00C272D0">
        <w:t xml:space="preserve">the level of importance that </w:t>
      </w:r>
      <w:r w:rsidR="00657421">
        <w:t xml:space="preserve">seemed to be </w:t>
      </w:r>
      <w:r w:rsidR="00600405" w:rsidRPr="00C272D0">
        <w:t xml:space="preserve">envisaged by the Australian Parliament when </w:t>
      </w:r>
      <w:r w:rsidR="000877B6" w:rsidRPr="00C272D0">
        <w:t xml:space="preserve">it established </w:t>
      </w:r>
      <w:r w:rsidR="00600405" w:rsidRPr="00C272D0">
        <w:t xml:space="preserve">the statutory role in the </w:t>
      </w:r>
      <w:r w:rsidR="00600405" w:rsidRPr="0000112C">
        <w:rPr>
          <w:rStyle w:val="Emphasis"/>
        </w:rPr>
        <w:t>Biosecurity Act 2015</w:t>
      </w:r>
      <w:r w:rsidR="00600405" w:rsidRPr="00C272D0">
        <w:rPr>
          <w:i/>
          <w:iCs/>
        </w:rPr>
        <w:t>.</w:t>
      </w:r>
    </w:p>
    <w:p w14:paraId="2BF7BE79" w14:textId="36135D01" w:rsidR="00EC557B" w:rsidRDefault="00EC557B" w:rsidP="00EC557B">
      <w:r w:rsidRPr="00C272D0">
        <w:t>The Director of Biosecu</w:t>
      </w:r>
      <w:r>
        <w:t xml:space="preserve">rity has, without exception, responded to Inspector-General review reports as required under the </w:t>
      </w:r>
      <w:r w:rsidRPr="00271C3E">
        <w:rPr>
          <w:i/>
          <w:iCs/>
        </w:rPr>
        <w:t>Biosecurity Act 2015</w:t>
      </w:r>
      <w:r>
        <w:rPr>
          <w:i/>
          <w:iCs/>
        </w:rPr>
        <w:t>.</w:t>
      </w:r>
      <w:r w:rsidR="00600405">
        <w:rPr>
          <w:i/>
          <w:iCs/>
        </w:rPr>
        <w:t xml:space="preserve"> </w:t>
      </w:r>
      <w:r w:rsidR="00600405">
        <w:t xml:space="preserve">However, </w:t>
      </w:r>
      <w:r>
        <w:t xml:space="preserve">endemic weaknesses in governance within corporate areas and </w:t>
      </w:r>
      <w:r w:rsidR="000877B6" w:rsidRPr="00FE7D3E">
        <w:t>b</w:t>
      </w:r>
      <w:r w:rsidR="00D55ED5" w:rsidRPr="000877B6">
        <w:t xml:space="preserve">iosecurity </w:t>
      </w:r>
      <w:r w:rsidRPr="000877B6">
        <w:t>divisions has</w:t>
      </w:r>
      <w:r>
        <w:t xml:space="preserve"> led to confusion</w:t>
      </w:r>
      <w:r w:rsidR="00514D0E">
        <w:t xml:space="preserve">, </w:t>
      </w:r>
      <w:r>
        <w:t xml:space="preserve">poor </w:t>
      </w:r>
      <w:r w:rsidR="00D577F9">
        <w:t>accountability</w:t>
      </w:r>
      <w:r>
        <w:t xml:space="preserve"> and inefficiency in the handling of advice to the Director of Biosecurity on Inspectors-General </w:t>
      </w:r>
      <w:r w:rsidR="00D6098D">
        <w:t>recommendations,</w:t>
      </w:r>
      <w:r>
        <w:t xml:space="preserve"> and </w:t>
      </w:r>
      <w:r w:rsidR="000877B6">
        <w:t xml:space="preserve">lack of </w:t>
      </w:r>
      <w:r>
        <w:t>accountable</w:t>
      </w:r>
      <w:r w:rsidR="000877B6">
        <w:t xml:space="preserve"> and </w:t>
      </w:r>
      <w:r>
        <w:t>timely implementation of responses to recommendations.</w:t>
      </w:r>
    </w:p>
    <w:p w14:paraId="6036B969" w14:textId="10AC8A6D" w:rsidR="00600405" w:rsidRDefault="00600405" w:rsidP="00EC557B">
      <w:r>
        <w:t xml:space="preserve">This report makes </w:t>
      </w:r>
      <w:r w:rsidR="00DD0E12">
        <w:t>10</w:t>
      </w:r>
      <w:r>
        <w:t xml:space="preserve"> recommendations </w:t>
      </w:r>
      <w:r w:rsidR="000877B6">
        <w:t xml:space="preserve">for </w:t>
      </w:r>
      <w:r>
        <w:t xml:space="preserve">improvements </w:t>
      </w:r>
      <w:r w:rsidR="000877B6">
        <w:t xml:space="preserve">that need to be made </w:t>
      </w:r>
      <w:r w:rsidR="000877B6" w:rsidRPr="00C272D0">
        <w:t>to department</w:t>
      </w:r>
      <w:r w:rsidR="00C272D0">
        <w:t>al</w:t>
      </w:r>
      <w:r w:rsidR="000877B6" w:rsidRPr="00C272D0">
        <w:t xml:space="preserve"> </w:t>
      </w:r>
      <w:r w:rsidR="00C272D0" w:rsidRPr="00FE7D3E">
        <w:t>processes</w:t>
      </w:r>
      <w:r w:rsidR="000877B6" w:rsidRPr="00457C8A">
        <w:t xml:space="preserve"> </w:t>
      </w:r>
      <w:r w:rsidR="00C272D0" w:rsidRPr="00457C8A">
        <w:t>and systems to</w:t>
      </w:r>
      <w:r w:rsidR="00C272D0">
        <w:t xml:space="preserve"> ensure </w:t>
      </w:r>
      <w:r>
        <w:t xml:space="preserve">Inspector-General recommendations </w:t>
      </w:r>
      <w:r w:rsidR="00C272D0">
        <w:t xml:space="preserve">are addressed </w:t>
      </w:r>
      <w:r>
        <w:t>in a timely</w:t>
      </w:r>
      <w:r w:rsidR="000877B6">
        <w:t xml:space="preserve"> and </w:t>
      </w:r>
      <w:r>
        <w:t xml:space="preserve">accountable manner. </w:t>
      </w:r>
      <w:r w:rsidR="00372068">
        <w:t>T</w:t>
      </w:r>
      <w:r w:rsidR="00F86B8E">
        <w:t>he recommendations address the current weaknesses in clarity of accountability</w:t>
      </w:r>
      <w:r w:rsidR="00C272D0">
        <w:t>;</w:t>
      </w:r>
      <w:r w:rsidR="00F86B8E">
        <w:t xml:space="preserve"> timeliness of action</w:t>
      </w:r>
      <w:r w:rsidR="00C272D0">
        <w:t>;</w:t>
      </w:r>
      <w:r w:rsidR="00F86B8E">
        <w:t xml:space="preserve"> verification of completion</w:t>
      </w:r>
      <w:r w:rsidR="00C272D0">
        <w:t>;</w:t>
      </w:r>
      <w:r w:rsidR="00F86B8E">
        <w:t xml:space="preserve"> reporting of progress</w:t>
      </w:r>
      <w:r w:rsidR="00C272D0">
        <w:t>;</w:t>
      </w:r>
      <w:r w:rsidR="00F86B8E">
        <w:t xml:space="preserve"> and integration of Inspector-General recommend</w:t>
      </w:r>
      <w:r w:rsidR="00372068">
        <w:t xml:space="preserve">ations </w:t>
      </w:r>
      <w:r w:rsidR="00F86B8E">
        <w:t>with</w:t>
      </w:r>
      <w:r w:rsidR="002634C5">
        <w:t>in</w:t>
      </w:r>
      <w:r w:rsidR="00F86B8E">
        <w:t xml:space="preserve"> </w:t>
      </w:r>
      <w:r w:rsidR="002634C5">
        <w:t>an</w:t>
      </w:r>
      <w:r w:rsidR="00F86B8E">
        <w:t xml:space="preserve"> overall improvement program.</w:t>
      </w:r>
    </w:p>
    <w:p w14:paraId="5A53041E" w14:textId="0033FFA9" w:rsidR="00EC557B" w:rsidRDefault="00EC557B" w:rsidP="00EC557B">
      <w:r>
        <w:t>The</w:t>
      </w:r>
      <w:r w:rsidR="00600405">
        <w:t xml:space="preserve"> Inspector-General is pleased to see </w:t>
      </w:r>
      <w:r w:rsidR="00457C8A">
        <w:t xml:space="preserve">the </w:t>
      </w:r>
      <w:r>
        <w:t xml:space="preserve">significant improvements in governance for </w:t>
      </w:r>
      <w:r w:rsidR="000877B6">
        <w:t>b</w:t>
      </w:r>
      <w:r>
        <w:t xml:space="preserve">iosecurity divisions </w:t>
      </w:r>
      <w:r w:rsidR="00C272D0">
        <w:t xml:space="preserve">made </w:t>
      </w:r>
      <w:r w:rsidR="00457C8A">
        <w:t xml:space="preserve">in 2021 </w:t>
      </w:r>
      <w:r>
        <w:t xml:space="preserve">through the establishment and operation of the Biosecurity and Compliance Board. </w:t>
      </w:r>
      <w:r w:rsidR="00600405">
        <w:t>T</w:t>
      </w:r>
      <w:r>
        <w:t>h</w:t>
      </w:r>
      <w:r w:rsidR="002634C5">
        <w:t>ere</w:t>
      </w:r>
      <w:r w:rsidR="00167FB9">
        <w:t xml:space="preserve"> </w:t>
      </w:r>
      <w:r w:rsidR="00C272D0">
        <w:t xml:space="preserve">has been </w:t>
      </w:r>
      <w:r w:rsidR="00167FB9">
        <w:t xml:space="preserve">a welcome </w:t>
      </w:r>
      <w:r>
        <w:t xml:space="preserve">strengthening of project management capability and </w:t>
      </w:r>
      <w:r w:rsidR="002C69C9">
        <w:t xml:space="preserve">a </w:t>
      </w:r>
      <w:r>
        <w:t>more embedded approach to continuous improvement</w:t>
      </w:r>
      <w:r w:rsidR="00167FB9">
        <w:t xml:space="preserve"> that will address </w:t>
      </w:r>
      <w:r>
        <w:t xml:space="preserve">both systemic capability </w:t>
      </w:r>
      <w:r w:rsidR="00167FB9">
        <w:t xml:space="preserve">building </w:t>
      </w:r>
      <w:r>
        <w:t xml:space="preserve">and </w:t>
      </w:r>
      <w:r w:rsidR="00514D0E">
        <w:t xml:space="preserve">issues in </w:t>
      </w:r>
      <w:r>
        <w:t xml:space="preserve">specific </w:t>
      </w:r>
      <w:r w:rsidR="00167FB9">
        <w:t>area</w:t>
      </w:r>
      <w:r w:rsidR="00514D0E">
        <w:t>s</w:t>
      </w:r>
      <w:r>
        <w:t>.</w:t>
      </w:r>
    </w:p>
    <w:p w14:paraId="3DD1DCC6" w14:textId="171C03FC" w:rsidR="00EC557B" w:rsidRDefault="00EC557B" w:rsidP="00EC557B">
      <w:r w:rsidRPr="00457C8A">
        <w:t xml:space="preserve">The department’s corporate areas need to </w:t>
      </w:r>
      <w:r w:rsidR="00167FB9" w:rsidRPr="00457C8A">
        <w:t xml:space="preserve">improve </w:t>
      </w:r>
      <w:r w:rsidR="00514D0E">
        <w:t xml:space="preserve">related </w:t>
      </w:r>
      <w:r w:rsidRPr="00457C8A">
        <w:t>corporate systems</w:t>
      </w:r>
      <w:r w:rsidR="00457C8A" w:rsidRPr="00FE7D3E">
        <w:t xml:space="preserve"> </w:t>
      </w:r>
      <w:r w:rsidR="00457C8A" w:rsidRPr="00FE7D3E">
        <w:sym w:font="Symbol" w:char="F02D"/>
      </w:r>
      <w:r w:rsidR="00457C8A" w:rsidRPr="00FE7D3E">
        <w:t xml:space="preserve"> for example, </w:t>
      </w:r>
      <w:r w:rsidRPr="00457C8A">
        <w:t xml:space="preserve">practical tracking and reporting software, integration of improved biosecurity </w:t>
      </w:r>
      <w:r w:rsidRPr="00457C8A">
        <w:lastRenderedPageBreak/>
        <w:t xml:space="preserve">planning, delivery and monitoring </w:t>
      </w:r>
      <w:r w:rsidR="00EF78F0" w:rsidRPr="00457C8A">
        <w:t>of</w:t>
      </w:r>
      <w:r w:rsidRPr="00457C8A">
        <w:t xml:space="preserve"> corporate improvement</w:t>
      </w:r>
      <w:r w:rsidR="00EF78F0" w:rsidRPr="00457C8A">
        <w:t>s</w:t>
      </w:r>
      <w:r w:rsidRPr="00457C8A">
        <w:t xml:space="preserve">, </w:t>
      </w:r>
      <w:r w:rsidR="00EF78F0" w:rsidRPr="00457C8A">
        <w:t xml:space="preserve">and </w:t>
      </w:r>
      <w:r w:rsidRPr="00457C8A">
        <w:t>timely</w:t>
      </w:r>
      <w:r w:rsidR="00EF78F0" w:rsidRPr="00457C8A">
        <w:t xml:space="preserve"> and actionable</w:t>
      </w:r>
      <w:r w:rsidRPr="00457C8A">
        <w:t xml:space="preserve"> reporting to the Director of Biosecurity</w:t>
      </w:r>
      <w:r w:rsidR="00167FB9" w:rsidRPr="00457C8A">
        <w:t>, directly and via the Portfolio Audit Committee</w:t>
      </w:r>
      <w:r w:rsidR="00594C6C">
        <w:t xml:space="preserve"> (PAC)</w:t>
      </w:r>
      <w:r w:rsidRPr="00457C8A">
        <w:t>.</w:t>
      </w:r>
    </w:p>
    <w:p w14:paraId="498971E3" w14:textId="7FFE3DFE" w:rsidR="0020485F" w:rsidRDefault="00167FB9" w:rsidP="0020485F">
      <w:r>
        <w:t>The improvements</w:t>
      </w:r>
      <w:r w:rsidR="002C69C9">
        <w:t xml:space="preserve"> recommended in this review</w:t>
      </w:r>
      <w:r>
        <w:t xml:space="preserve"> will enable </w:t>
      </w:r>
      <w:r w:rsidR="00EC557B">
        <w:t>the department</w:t>
      </w:r>
      <w:r>
        <w:t>’s</w:t>
      </w:r>
      <w:r w:rsidR="00EC557B">
        <w:t xml:space="preserve"> </w:t>
      </w:r>
      <w:r>
        <w:t xml:space="preserve">committed </w:t>
      </w:r>
      <w:r w:rsidR="00F86B8E">
        <w:t xml:space="preserve">biosecurity </w:t>
      </w:r>
      <w:r>
        <w:t xml:space="preserve">workforce </w:t>
      </w:r>
      <w:r w:rsidR="00EC557B">
        <w:t xml:space="preserve">to </w:t>
      </w:r>
      <w:r>
        <w:t xml:space="preserve">deliver </w:t>
      </w:r>
      <w:r w:rsidR="00EC557B">
        <w:t>biosecurity functions for our nation</w:t>
      </w:r>
      <w:r>
        <w:t xml:space="preserve"> with greater effectiveness, consistency, reliability and efficiency</w:t>
      </w:r>
      <w:r w:rsidR="00EC557B">
        <w:t>.</w:t>
      </w:r>
    </w:p>
    <w:p w14:paraId="51EB0309" w14:textId="579D2AA4" w:rsidR="00E00C1F" w:rsidRDefault="00E43770" w:rsidP="00D55ED5">
      <w:pPr>
        <w:pStyle w:val="Heading2"/>
        <w:numPr>
          <w:ilvl w:val="0"/>
          <w:numId w:val="0"/>
        </w:numPr>
      </w:pPr>
      <w:bookmarkStart w:id="2" w:name="_Toc87543851"/>
      <w:r>
        <w:lastRenderedPageBreak/>
        <w:t>Recommendations</w:t>
      </w:r>
      <w:bookmarkEnd w:id="2"/>
    </w:p>
    <w:p w14:paraId="70B1B4CA" w14:textId="77777777" w:rsidR="002653C1" w:rsidRDefault="002653C1" w:rsidP="0013257E">
      <w:pPr>
        <w:pStyle w:val="BoxHeading"/>
        <w:rPr>
          <w:lang w:eastAsia="ja-JP"/>
        </w:rPr>
      </w:pPr>
      <w:r>
        <w:rPr>
          <w:lang w:eastAsia="ja-JP"/>
        </w:rPr>
        <w:t>Recommendation 1</w:t>
      </w:r>
    </w:p>
    <w:p w14:paraId="6C718B16" w14:textId="77777777" w:rsidR="002653C1" w:rsidRDefault="002653C1" w:rsidP="0013257E">
      <w:pPr>
        <w:pStyle w:val="BoxText"/>
        <w:rPr>
          <w:lang w:eastAsia="ja-JP"/>
        </w:rPr>
      </w:pPr>
      <w:r w:rsidRPr="00914560">
        <w:rPr>
          <w:lang w:eastAsia="ja-JP"/>
        </w:rPr>
        <w:t xml:space="preserve">The department needs to </w:t>
      </w:r>
      <w:r w:rsidRPr="00457C8A">
        <w:rPr>
          <w:lang w:eastAsia="ja-JP"/>
        </w:rPr>
        <w:t>identify the root causes hindering full implementation</w:t>
      </w:r>
      <w:r>
        <w:rPr>
          <w:lang w:eastAsia="ja-JP"/>
        </w:rPr>
        <w:t xml:space="preserve"> of accepted Inspector-General </w:t>
      </w:r>
      <w:r w:rsidRPr="00756C72">
        <w:rPr>
          <w:lang w:eastAsia="ja-JP"/>
        </w:rPr>
        <w:t>recommendations</w:t>
      </w:r>
      <w:r>
        <w:rPr>
          <w:lang w:eastAsia="ja-JP"/>
        </w:rPr>
        <w:t>. The</w:t>
      </w:r>
      <w:r w:rsidRPr="00914560">
        <w:rPr>
          <w:lang w:eastAsia="ja-JP"/>
        </w:rPr>
        <w:t xml:space="preserve"> </w:t>
      </w:r>
      <w:r>
        <w:rPr>
          <w:lang w:eastAsia="ja-JP"/>
        </w:rPr>
        <w:t xml:space="preserve">analysis </w:t>
      </w:r>
      <w:r w:rsidRPr="00914560">
        <w:rPr>
          <w:lang w:eastAsia="ja-JP"/>
        </w:rPr>
        <w:t>process</w:t>
      </w:r>
      <w:r>
        <w:rPr>
          <w:lang w:eastAsia="ja-JP"/>
        </w:rPr>
        <w:t xml:space="preserve"> should look at themes of similar recommendations to identify</w:t>
      </w:r>
      <w:r w:rsidRPr="001B0428">
        <w:rPr>
          <w:lang w:eastAsia="ja-JP"/>
        </w:rPr>
        <w:t xml:space="preserve"> </w:t>
      </w:r>
      <w:r>
        <w:rPr>
          <w:lang w:eastAsia="ja-JP"/>
        </w:rPr>
        <w:t xml:space="preserve">potential systemic issues </w:t>
      </w:r>
      <w:r w:rsidRPr="001B0428">
        <w:rPr>
          <w:lang w:eastAsia="ja-JP"/>
        </w:rPr>
        <w:t xml:space="preserve">and </w:t>
      </w:r>
      <w:r>
        <w:rPr>
          <w:lang w:eastAsia="ja-JP"/>
        </w:rPr>
        <w:t xml:space="preserve">ways to </w:t>
      </w:r>
      <w:r w:rsidRPr="001B0428">
        <w:rPr>
          <w:lang w:eastAsia="ja-JP"/>
        </w:rPr>
        <w:t xml:space="preserve">address </w:t>
      </w:r>
      <w:r>
        <w:rPr>
          <w:lang w:eastAsia="ja-JP"/>
        </w:rPr>
        <w:t>them.</w:t>
      </w:r>
    </w:p>
    <w:p w14:paraId="5AF1C5CC" w14:textId="77777777" w:rsidR="002653C1" w:rsidRDefault="002653C1" w:rsidP="002653C1">
      <w:pPr>
        <w:rPr>
          <w:lang w:eastAsia="ja-JP"/>
        </w:rPr>
      </w:pPr>
    </w:p>
    <w:p w14:paraId="083E183A" w14:textId="77777777" w:rsidR="002653C1" w:rsidRDefault="002653C1" w:rsidP="0013257E">
      <w:pPr>
        <w:pStyle w:val="BoxHeading"/>
      </w:pPr>
      <w:r>
        <w:t>Recommendation 2</w:t>
      </w:r>
    </w:p>
    <w:p w14:paraId="67CF9963" w14:textId="545F3264" w:rsidR="00AC69CE" w:rsidRDefault="00AC69CE" w:rsidP="0013257E">
      <w:pPr>
        <w:pStyle w:val="BoxText"/>
      </w:pPr>
      <w:r>
        <w:t>The department should strengthen governance arrangements that clearly outline the department’s accountability arrangements to implement Inspector-General of Biosecurity review recommendations</w:t>
      </w:r>
      <w:r w:rsidR="000D1692">
        <w:t>,</w:t>
      </w:r>
      <w:r>
        <w:t xml:space="preserve"> as part of normal department governance and accountability, and commitment to continuous improvement.</w:t>
      </w:r>
    </w:p>
    <w:p w14:paraId="56AB1EDE" w14:textId="77777777" w:rsidR="002653C1" w:rsidRDefault="002653C1" w:rsidP="002653C1">
      <w:pPr>
        <w:rPr>
          <w:lang w:eastAsia="ja-JP"/>
        </w:rPr>
      </w:pPr>
    </w:p>
    <w:p w14:paraId="7DCC0E26" w14:textId="77777777" w:rsidR="002653C1" w:rsidRDefault="002653C1" w:rsidP="0013257E">
      <w:pPr>
        <w:pStyle w:val="BoxHeading"/>
      </w:pPr>
      <w:r>
        <w:t>Recommendation 3</w:t>
      </w:r>
    </w:p>
    <w:p w14:paraId="5675C1A5" w14:textId="47A9B7D4" w:rsidR="00AC69CE" w:rsidRPr="00595916" w:rsidRDefault="00AC69CE" w:rsidP="0013257E">
      <w:pPr>
        <w:pStyle w:val="BoxText"/>
      </w:pPr>
      <w:bookmarkStart w:id="3" w:name="_Hlk86217296"/>
      <w:r>
        <w:t xml:space="preserve">The department needs to </w:t>
      </w:r>
      <w:bookmarkStart w:id="4" w:name="_Hlk86217157"/>
      <w:r>
        <w:t>establish a</w:t>
      </w:r>
      <w:r w:rsidR="00F7359A">
        <w:t xml:space="preserve"> more clearly understood </w:t>
      </w:r>
      <w:r>
        <w:t xml:space="preserve">process to assign </w:t>
      </w:r>
      <w:bookmarkEnd w:id="4"/>
      <w:r w:rsidR="00F7359A">
        <w:t>accounta</w:t>
      </w:r>
      <w:r>
        <w:t>bility for, and track, the implementation of the Inspector-General’s recommendations and any other agreed improvements to the</w:t>
      </w:r>
      <w:r w:rsidRPr="003B5822">
        <w:t xml:space="preserve"> </w:t>
      </w:r>
      <w:r>
        <w:t>biosecurity system. As part of the department’s routine response to each Inspector-General review, accountability should be assigned from the time that the advice is provided to the Director of Biosecurity.</w:t>
      </w:r>
    </w:p>
    <w:bookmarkEnd w:id="3"/>
    <w:p w14:paraId="1612B7FE" w14:textId="77777777" w:rsidR="002653C1" w:rsidRDefault="002653C1" w:rsidP="002653C1">
      <w:pPr>
        <w:rPr>
          <w:lang w:eastAsia="ja-JP"/>
        </w:rPr>
      </w:pPr>
    </w:p>
    <w:p w14:paraId="67294411" w14:textId="77777777" w:rsidR="002653C1" w:rsidRPr="00D97271" w:rsidRDefault="002653C1" w:rsidP="0013257E">
      <w:pPr>
        <w:pStyle w:val="BoxHeading"/>
      </w:pPr>
      <w:r w:rsidRPr="00D97271">
        <w:t>Recommendation 4</w:t>
      </w:r>
    </w:p>
    <w:p w14:paraId="10E750F7" w14:textId="2628C1B9" w:rsidR="009839AB" w:rsidRPr="00D97271" w:rsidRDefault="002653C1" w:rsidP="0013257E">
      <w:pPr>
        <w:pStyle w:val="BoxText"/>
      </w:pPr>
      <w:r w:rsidRPr="0098777D">
        <w:t xml:space="preserve">The department should assign accountability to specific positions (not </w:t>
      </w:r>
      <w:r w:rsidR="00514D0E">
        <w:t xml:space="preserve">only to </w:t>
      </w:r>
      <w:r w:rsidRPr="0098777D">
        <w:t>persons) for the implementation of responses to recommendations.</w:t>
      </w:r>
    </w:p>
    <w:p w14:paraId="237F7AFC" w14:textId="77777777" w:rsidR="002653C1" w:rsidRDefault="002653C1">
      <w:pPr>
        <w:rPr>
          <w:lang w:eastAsia="ja-JP"/>
        </w:rPr>
      </w:pPr>
    </w:p>
    <w:p w14:paraId="6C9DDE00" w14:textId="77777777" w:rsidR="002653C1" w:rsidRDefault="002653C1" w:rsidP="0013257E">
      <w:pPr>
        <w:pStyle w:val="BoxHeading"/>
      </w:pPr>
      <w:r>
        <w:t>Recommendation 5</w:t>
      </w:r>
    </w:p>
    <w:p w14:paraId="7F5A98A3" w14:textId="77777777" w:rsidR="002653C1" w:rsidRDefault="002653C1" w:rsidP="0013257E">
      <w:pPr>
        <w:pStyle w:val="BoxText"/>
      </w:pPr>
      <w:r w:rsidRPr="007F1FEB">
        <w:t>An overt commitment to continuous improvement</w:t>
      </w:r>
      <w:r>
        <w:t xml:space="preserve"> should include, and be demonstrated by, the department engaging </w:t>
      </w:r>
      <w:r w:rsidRPr="006241AD">
        <w:t>and collaborat</w:t>
      </w:r>
      <w:r>
        <w:t>ing</w:t>
      </w:r>
      <w:r w:rsidRPr="006241AD">
        <w:t xml:space="preserve"> with relevant industry sectors</w:t>
      </w:r>
      <w:r>
        <w:t xml:space="preserve"> more </w:t>
      </w:r>
      <w:r w:rsidRPr="006241AD">
        <w:t xml:space="preserve">constructively </w:t>
      </w:r>
      <w:r>
        <w:t>and effectively</w:t>
      </w:r>
      <w:r w:rsidRPr="006241AD">
        <w:t>.</w:t>
      </w:r>
    </w:p>
    <w:p w14:paraId="519EA21F" w14:textId="77777777" w:rsidR="002653C1" w:rsidRDefault="002653C1" w:rsidP="002653C1">
      <w:pPr>
        <w:rPr>
          <w:lang w:eastAsia="ja-JP"/>
        </w:rPr>
      </w:pPr>
    </w:p>
    <w:p w14:paraId="4DBE514F" w14:textId="77777777" w:rsidR="002653C1" w:rsidRDefault="002653C1" w:rsidP="0013257E">
      <w:pPr>
        <w:pStyle w:val="BoxHeading"/>
      </w:pPr>
      <w:r>
        <w:t>Recommendation 6</w:t>
      </w:r>
    </w:p>
    <w:p w14:paraId="19421992" w14:textId="2458BAE8" w:rsidR="002653C1" w:rsidRDefault="002653C1" w:rsidP="0013257E">
      <w:pPr>
        <w:pStyle w:val="BoxText"/>
      </w:pPr>
      <w:r>
        <w:t xml:space="preserve">Monitoring and progress reporting against Inspector-General review recommendations should be routinely done, including </w:t>
      </w:r>
      <w:r w:rsidRPr="00457C8A">
        <w:t>reporting to the Portfolio Audit Committee and public</w:t>
      </w:r>
      <w:r>
        <w:t xml:space="preserve"> </w:t>
      </w:r>
      <w:r>
        <w:lastRenderedPageBreak/>
        <w:t xml:space="preserve">annual reporting, </w:t>
      </w:r>
      <w:r w:rsidR="002634C5">
        <w:t xml:space="preserve">in order </w:t>
      </w:r>
      <w:r>
        <w:t>to maintain strong governance processes that provide the Director of Biosecurity with clear line of sight.</w:t>
      </w:r>
    </w:p>
    <w:p w14:paraId="17DBAFA9" w14:textId="77777777" w:rsidR="002653C1" w:rsidRDefault="002653C1" w:rsidP="002653C1">
      <w:pPr>
        <w:rPr>
          <w:lang w:eastAsia="ja-JP"/>
        </w:rPr>
      </w:pPr>
    </w:p>
    <w:p w14:paraId="61EEB405" w14:textId="77777777" w:rsidR="002653C1" w:rsidRDefault="002653C1" w:rsidP="0013257E">
      <w:pPr>
        <w:pStyle w:val="BoxHeading"/>
      </w:pPr>
      <w:r>
        <w:t>Recommendation 7</w:t>
      </w:r>
    </w:p>
    <w:p w14:paraId="1D7D048D" w14:textId="521F838E" w:rsidR="002653C1" w:rsidRDefault="002653C1" w:rsidP="0013257E">
      <w:pPr>
        <w:pStyle w:val="BoxText"/>
      </w:pPr>
      <w:r>
        <w:t>The department’s internal audit functions should include a process to verify appropriate closure of Inspector-General recommendations, including validating evidence.</w:t>
      </w:r>
    </w:p>
    <w:p w14:paraId="60245BCE" w14:textId="26DC86BF" w:rsidR="002653C1" w:rsidRDefault="002653C1" w:rsidP="002653C1">
      <w:pPr>
        <w:rPr>
          <w:lang w:eastAsia="ja-JP"/>
        </w:rPr>
      </w:pPr>
    </w:p>
    <w:p w14:paraId="5F316D55" w14:textId="77777777" w:rsidR="002E2B02" w:rsidRPr="00D97271" w:rsidRDefault="002E2B02" w:rsidP="0013257E">
      <w:pPr>
        <w:pStyle w:val="BoxHeading"/>
      </w:pPr>
      <w:r w:rsidRPr="00D97271">
        <w:t>Recommendation 8</w:t>
      </w:r>
    </w:p>
    <w:p w14:paraId="063C503E" w14:textId="09E3C02D" w:rsidR="002E2B02" w:rsidRPr="009839AB" w:rsidRDefault="002E2B02" w:rsidP="0013257E">
      <w:pPr>
        <w:pStyle w:val="BoxText"/>
      </w:pPr>
      <w:r w:rsidRPr="00D97271">
        <w:t xml:space="preserve">The department should drive and strengthen accountability throughout the department’s </w:t>
      </w:r>
      <w:r w:rsidR="0013257E">
        <w:t>b</w:t>
      </w:r>
      <w:r w:rsidRPr="00D97271">
        <w:t xml:space="preserve">iosecurity divisions by utilising annual progress reporting against the strategy </w:t>
      </w:r>
      <w:r w:rsidRPr="00366D7E">
        <w:t>Commonwealth Biosecurity 2030,</w:t>
      </w:r>
      <w:r w:rsidRPr="00D97271">
        <w:t xml:space="preserve"> and the implementation status of Inspector-General review</w:t>
      </w:r>
      <w:r w:rsidRPr="0098777D">
        <w:t xml:space="preserve"> recommendations.</w:t>
      </w:r>
    </w:p>
    <w:p w14:paraId="5C08F87B" w14:textId="77777777" w:rsidR="002E2B02" w:rsidRDefault="002E2B02" w:rsidP="002653C1">
      <w:pPr>
        <w:rPr>
          <w:lang w:eastAsia="ja-JP"/>
        </w:rPr>
      </w:pPr>
    </w:p>
    <w:p w14:paraId="53E85411" w14:textId="77777777" w:rsidR="002E2B02" w:rsidRDefault="002E2B02" w:rsidP="0013257E">
      <w:pPr>
        <w:pStyle w:val="BoxHeading"/>
      </w:pPr>
      <w:r>
        <w:t>Recommendation 9</w:t>
      </w:r>
    </w:p>
    <w:p w14:paraId="12EDFAA7" w14:textId="2C643E21" w:rsidR="002E2B02" w:rsidRDefault="002E2B02" w:rsidP="0013257E">
      <w:pPr>
        <w:pStyle w:val="BoxText"/>
      </w:pPr>
      <w:r>
        <w:t xml:space="preserve">The department needs to determine how coordinated oversight of implementation of the Inspector-General recommendations by the Biosecurity and Compliance Board will integrate with the department’s overall governance arrangements, including the executive management and corporate governance areas. The </w:t>
      </w:r>
      <w:r w:rsidR="0013257E">
        <w:t>b</w:t>
      </w:r>
      <w:r>
        <w:t xml:space="preserve">oard’s terms of reference should be amended to include this responsibility and the </w:t>
      </w:r>
      <w:r w:rsidR="0013257E">
        <w:t>b</w:t>
      </w:r>
      <w:r>
        <w:t>oard’s accountability to the Director of Biosecurity.</w:t>
      </w:r>
    </w:p>
    <w:p w14:paraId="17255DE4" w14:textId="0F8FA549" w:rsidR="002E2B02" w:rsidRDefault="002E2B02" w:rsidP="002653C1">
      <w:pPr>
        <w:rPr>
          <w:lang w:eastAsia="ja-JP"/>
        </w:rPr>
      </w:pPr>
    </w:p>
    <w:p w14:paraId="4E9D9B66" w14:textId="77777777" w:rsidR="002E2B02" w:rsidRDefault="002E2B02" w:rsidP="0013257E">
      <w:pPr>
        <w:pStyle w:val="BoxHeading"/>
      </w:pPr>
      <w:r>
        <w:t>Recommendation 10</w:t>
      </w:r>
    </w:p>
    <w:p w14:paraId="0F5F87DA" w14:textId="1E06C2C4" w:rsidR="002E2B02" w:rsidRPr="00371210" w:rsidRDefault="002E2B02" w:rsidP="0013257E">
      <w:pPr>
        <w:pStyle w:val="BoxText"/>
      </w:pPr>
      <w:r>
        <w:t>The Portfolio Audit Committee should be appropriately supported to enable it to advise the Director of Biosecurity on risks to the department’s effective delivery of its biosecurity functions as highlighted through Inspector-General reviews and recommendations, and the timeliness and completeness of the implementation of response to recommendations.</w:t>
      </w:r>
    </w:p>
    <w:p w14:paraId="4151752F" w14:textId="77777777" w:rsidR="005E2E73" w:rsidRPr="00AA1B19" w:rsidRDefault="005E2E73" w:rsidP="005E2E73">
      <w:pPr>
        <w:spacing w:before="240" w:after="120"/>
        <w:rPr>
          <w:lang w:eastAsia="ja-JP"/>
        </w:rPr>
      </w:pPr>
      <w:r w:rsidRPr="00AA1B19">
        <w:rPr>
          <w:noProof/>
          <w:lang w:eastAsia="en-AU"/>
        </w:rPr>
        <w:drawing>
          <wp:inline distT="0" distB="0" distL="0" distR="0" wp14:anchorId="572E4164" wp14:editId="248F7D0F">
            <wp:extent cx="1092200" cy="5585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01612" cy="563324"/>
                    </a:xfrm>
                    <a:prstGeom prst="rect">
                      <a:avLst/>
                    </a:prstGeom>
                  </pic:spPr>
                </pic:pic>
              </a:graphicData>
            </a:graphic>
          </wp:inline>
        </w:drawing>
      </w:r>
    </w:p>
    <w:p w14:paraId="3C1186B2" w14:textId="640B12D5" w:rsidR="00EC557B" w:rsidRPr="005E2E73" w:rsidRDefault="00EC557B" w:rsidP="005E2E73">
      <w:pPr>
        <w:spacing w:before="240"/>
        <w:rPr>
          <w:rStyle w:val="Strong"/>
          <w:b w:val="0"/>
          <w:bCs w:val="0"/>
          <w:lang w:eastAsia="ja-JP"/>
        </w:rPr>
      </w:pPr>
      <w:r w:rsidRPr="005468E4">
        <w:rPr>
          <w:rStyle w:val="Strong"/>
        </w:rPr>
        <w:t>Rob Delane</w:t>
      </w:r>
    </w:p>
    <w:p w14:paraId="076920CD" w14:textId="77777777" w:rsidR="00EC557B" w:rsidRPr="005468E4" w:rsidRDefault="00EC557B" w:rsidP="00EC557B">
      <w:pPr>
        <w:contextualSpacing/>
        <w:rPr>
          <w:rStyle w:val="Strong"/>
        </w:rPr>
      </w:pPr>
      <w:r w:rsidRPr="005468E4">
        <w:rPr>
          <w:rStyle w:val="Strong"/>
        </w:rPr>
        <w:t>Inspector-General of Biosecurity</w:t>
      </w:r>
    </w:p>
    <w:p w14:paraId="671C0C8C" w14:textId="5D12B986" w:rsidR="00EC557B" w:rsidRPr="00595916" w:rsidRDefault="005E2E73" w:rsidP="00EC557B">
      <w:pPr>
        <w:contextualSpacing/>
      </w:pPr>
      <w:r w:rsidRPr="005E2E73">
        <w:t>24 November</w:t>
      </w:r>
      <w:r w:rsidR="00EC557B" w:rsidRPr="005E2E73">
        <w:t xml:space="preserve"> 2021</w:t>
      </w:r>
    </w:p>
    <w:p w14:paraId="1F6E3BCE" w14:textId="6312C482" w:rsidR="00FA74A2" w:rsidRDefault="007B7C0C" w:rsidP="00BC6836">
      <w:pPr>
        <w:pStyle w:val="Heading2"/>
      </w:pPr>
      <w:bookmarkStart w:id="5" w:name="_Toc87543852"/>
      <w:r w:rsidRPr="00BC6836">
        <w:lastRenderedPageBreak/>
        <w:t>Background</w:t>
      </w:r>
      <w:bookmarkEnd w:id="5"/>
    </w:p>
    <w:p w14:paraId="61D27CE4" w14:textId="4A2271FE" w:rsidR="005C6920" w:rsidRDefault="005C6920" w:rsidP="00315143">
      <w:pPr>
        <w:pStyle w:val="Heading3"/>
        <w:numPr>
          <w:ilvl w:val="1"/>
          <w:numId w:val="48"/>
        </w:numPr>
      </w:pPr>
      <w:bookmarkStart w:id="6" w:name="_Toc87543853"/>
      <w:r w:rsidRPr="005C6920">
        <w:t>Context</w:t>
      </w:r>
      <w:bookmarkEnd w:id="6"/>
    </w:p>
    <w:p w14:paraId="78091ECA" w14:textId="0C452C89" w:rsidR="006E14EF" w:rsidRDefault="006E14EF" w:rsidP="007B7C0C">
      <w:r w:rsidRPr="006E14EF">
        <w:t>Australia’s pre-border and at-border</w:t>
      </w:r>
      <w:r>
        <w:t xml:space="preserve"> biosecurity controls minimise the risk of exotic pests and diseases </w:t>
      </w:r>
      <w:r w:rsidRPr="00457C8A">
        <w:t xml:space="preserve">entering Australia, </w:t>
      </w:r>
      <w:r w:rsidR="00C272D0" w:rsidRPr="0082640B">
        <w:t xml:space="preserve">thereby </w:t>
      </w:r>
      <w:r w:rsidRPr="00457C8A">
        <w:t>protecting</w:t>
      </w:r>
      <w:r>
        <w:t xml:space="preserve"> the health of the Australian people; our $32 billion agriculture export industries; our unique environment, native flora and fauna; our tourism industries; and our lifestyle. </w:t>
      </w:r>
      <w:r w:rsidR="007B7C0C">
        <w:t xml:space="preserve">The </w:t>
      </w:r>
      <w:r w:rsidR="00C46467">
        <w:t>D</w:t>
      </w:r>
      <w:r w:rsidR="007B7C0C">
        <w:t xml:space="preserve">epartment </w:t>
      </w:r>
      <w:r w:rsidR="00C46467">
        <w:t xml:space="preserve">of Agriculture, Water and the Environment </w:t>
      </w:r>
      <w:r w:rsidR="007B7C0C">
        <w:t>is the lead regulatory agency for managing biosecurity in Australia.</w:t>
      </w:r>
    </w:p>
    <w:p w14:paraId="5527E349" w14:textId="4FEEC524" w:rsidR="007B7C0C" w:rsidRDefault="007B7C0C" w:rsidP="007B7C0C">
      <w:r w:rsidRPr="006E14EF">
        <w:t>Expan</w:t>
      </w:r>
      <w:r w:rsidR="00457C8A">
        <w:t>sion</w:t>
      </w:r>
      <w:r w:rsidRPr="006E14EF">
        <w:t xml:space="preserve"> and </w:t>
      </w:r>
      <w:r w:rsidR="00457C8A">
        <w:t xml:space="preserve">diversification in </w:t>
      </w:r>
      <w:r w:rsidRPr="006E14EF">
        <w:t>trade and travel</w:t>
      </w:r>
      <w:r>
        <w:t xml:space="preserve"> </w:t>
      </w:r>
      <w:r w:rsidR="00457C8A">
        <w:t xml:space="preserve">have </w:t>
      </w:r>
      <w:r>
        <w:t xml:space="preserve">placed significant pressure on the capacity of biosecurity agencies to meet their evolving biosecurity commitments and </w:t>
      </w:r>
      <w:r w:rsidR="00C272D0" w:rsidRPr="00457C8A">
        <w:t xml:space="preserve">their ability to </w:t>
      </w:r>
      <w:r w:rsidRPr="00457C8A">
        <w:t xml:space="preserve">optimise </w:t>
      </w:r>
      <w:r w:rsidR="00C272D0" w:rsidRPr="00F428F5">
        <w:t xml:space="preserve">their </w:t>
      </w:r>
      <w:r w:rsidRPr="00457C8A">
        <w:t xml:space="preserve">risk mitigation </w:t>
      </w:r>
      <w:r w:rsidR="00C272D0" w:rsidRPr="00F428F5">
        <w:t xml:space="preserve">activities </w:t>
      </w:r>
      <w:r w:rsidR="00457C8A">
        <w:t xml:space="preserve">with </w:t>
      </w:r>
      <w:r w:rsidRPr="00457C8A">
        <w:t>available resources (risk</w:t>
      </w:r>
      <w:r>
        <w:t>-return). Biosecurity stakeholders, especially those bearing an increasing share of the costs, want a more efficient delivery of contemporary biosecurity services. In addition, major biosecurity incidents continue to test public confidence in the national biosecurity arrangements.</w:t>
      </w:r>
    </w:p>
    <w:p w14:paraId="4DE684CC" w14:textId="77777777" w:rsidR="000E2944" w:rsidRDefault="000E2944" w:rsidP="000E2944">
      <w:pPr>
        <w:pStyle w:val="Heading4"/>
      </w:pPr>
      <w:r>
        <w:t>Reviews of national biosecurity arrangements</w:t>
      </w:r>
    </w:p>
    <w:p w14:paraId="76475A75" w14:textId="160DDF0E" w:rsidR="007B7C0C" w:rsidRDefault="007B7C0C" w:rsidP="007B7C0C">
      <w:r>
        <w:t>The Australian Government has supported several major independent reviews of Australia’s biosecurity system, including:</w:t>
      </w:r>
    </w:p>
    <w:p w14:paraId="2A662CC5" w14:textId="1411D94D" w:rsidR="007B7C0C" w:rsidRDefault="007B7C0C" w:rsidP="007B7C0C">
      <w:pPr>
        <w:pStyle w:val="ListBullet"/>
      </w:pPr>
      <w:r>
        <w:t xml:space="preserve">Nairn et al (1996) – a significant benchmark review </w:t>
      </w:r>
      <w:r w:rsidR="00C272D0" w:rsidRPr="0082640B">
        <w:t xml:space="preserve">on </w:t>
      </w:r>
      <w:r w:rsidRPr="00C272D0">
        <w:t>transforming Australia’s</w:t>
      </w:r>
      <w:r>
        <w:t xml:space="preserve"> quarantine system</w:t>
      </w:r>
      <w:r w:rsidR="00457C8A">
        <w:t xml:space="preserve"> that </w:t>
      </w:r>
      <w:r>
        <w:t>established the concept of ‘shared responsibility’</w:t>
      </w:r>
    </w:p>
    <w:p w14:paraId="2CD05B8F" w14:textId="67DA7A27" w:rsidR="007B7C0C" w:rsidRDefault="007B7C0C" w:rsidP="007B7C0C">
      <w:pPr>
        <w:pStyle w:val="ListBullet"/>
      </w:pPr>
      <w:r>
        <w:t>Callinan (2008) – an equine influenza inquiry report that examined the circumstances which contributed to the outbreak of equine influenza in Australia in August 2007</w:t>
      </w:r>
    </w:p>
    <w:p w14:paraId="50553632" w14:textId="02AF34B3" w:rsidR="007B7C0C" w:rsidRDefault="007B7C0C" w:rsidP="007B7C0C">
      <w:pPr>
        <w:pStyle w:val="ListBullet"/>
      </w:pPr>
      <w:r>
        <w:t>Beale et al (2008) – a review that introduced the ‘risk-return’ model, which helped guide the department to direct scarce resources towards better management of higher risk imported goods and pathways</w:t>
      </w:r>
    </w:p>
    <w:p w14:paraId="700CED4F" w14:textId="16855FCB" w:rsidR="007B7C0C" w:rsidRPr="00457C8A" w:rsidRDefault="007B7C0C" w:rsidP="007B7C0C">
      <w:pPr>
        <w:pStyle w:val="ListBullet"/>
      </w:pPr>
      <w:r>
        <w:t xml:space="preserve">Craik et </w:t>
      </w:r>
      <w:r w:rsidRPr="00457C8A">
        <w:t>al (2017) ‒ priorities for the Australian biosecurity system – an independent review of the capacity of the national biosecurity system and its underpinning Intergovernmental Agreement on Biosecurity (IGAB).</w:t>
      </w:r>
    </w:p>
    <w:p w14:paraId="3A6EABDC" w14:textId="5D750A9F" w:rsidR="000E2944" w:rsidRDefault="000E2944" w:rsidP="009C363B">
      <w:pPr>
        <w:pStyle w:val="Heading4"/>
      </w:pPr>
      <w:r>
        <w:t xml:space="preserve">Statutory office of the Inspector-General </w:t>
      </w:r>
      <w:r w:rsidR="00C46467">
        <w:t xml:space="preserve">of </w:t>
      </w:r>
      <w:r>
        <w:t>Biosecurity</w:t>
      </w:r>
    </w:p>
    <w:p w14:paraId="3AF8E50A" w14:textId="4D68E915" w:rsidR="007B7C0C" w:rsidRDefault="007B7C0C" w:rsidP="007B7C0C">
      <w:r>
        <w:t xml:space="preserve">As part of its response to the </w:t>
      </w:r>
      <w:r w:rsidRPr="005052E6">
        <w:rPr>
          <w:rStyle w:val="Emphasis"/>
        </w:rPr>
        <w:t xml:space="preserve">One </w:t>
      </w:r>
      <w:r w:rsidR="00C46467">
        <w:rPr>
          <w:rStyle w:val="Emphasis"/>
        </w:rPr>
        <w:t>b</w:t>
      </w:r>
      <w:r w:rsidRPr="005052E6">
        <w:rPr>
          <w:rStyle w:val="Emphasis"/>
        </w:rPr>
        <w:t xml:space="preserve">iosecurity: </w:t>
      </w:r>
      <w:r w:rsidR="00C46467">
        <w:rPr>
          <w:rStyle w:val="Emphasis"/>
        </w:rPr>
        <w:t>a</w:t>
      </w:r>
      <w:r w:rsidRPr="005052E6">
        <w:rPr>
          <w:rStyle w:val="Emphasis"/>
        </w:rPr>
        <w:t xml:space="preserve"> working partnership review</w:t>
      </w:r>
      <w:r>
        <w:t xml:space="preserve"> (the Beale </w:t>
      </w:r>
      <w:r w:rsidR="00C46467">
        <w:t>r</w:t>
      </w:r>
      <w:r>
        <w:t>eview</w:t>
      </w:r>
      <w:r w:rsidR="00C46467">
        <w:t>)</w:t>
      </w:r>
      <w:r>
        <w:t xml:space="preserve"> </w:t>
      </w:r>
      <w:r w:rsidR="00C46467">
        <w:t>(</w:t>
      </w:r>
      <w:r>
        <w:t xml:space="preserve">Beale et al 2008), the Australian Government agreed to establish </w:t>
      </w:r>
      <w:r w:rsidR="00C272D0">
        <w:t xml:space="preserve">the </w:t>
      </w:r>
      <w:r>
        <w:t>statutory office of the Inspector-General of Biosecurity.</w:t>
      </w:r>
    </w:p>
    <w:p w14:paraId="7977757D" w14:textId="6B292287" w:rsidR="007B7C0C" w:rsidRDefault="007B7C0C" w:rsidP="007B7C0C">
      <w:r>
        <w:t xml:space="preserve">In July 2009, </w:t>
      </w:r>
      <w:r w:rsidR="00C272D0">
        <w:t xml:space="preserve">while the </w:t>
      </w:r>
      <w:r>
        <w:t>enabling legislation</w:t>
      </w:r>
      <w:r w:rsidR="00C272D0">
        <w:t xml:space="preserve"> was being </w:t>
      </w:r>
      <w:r w:rsidR="00514D0E">
        <w:t>develop</w:t>
      </w:r>
      <w:r w:rsidR="00C272D0">
        <w:t>ed</w:t>
      </w:r>
      <w:r>
        <w:t>, the Australian Government appointed an Interim Inspector-General</w:t>
      </w:r>
      <w:r w:rsidR="00B362C7">
        <w:t xml:space="preserve"> to </w:t>
      </w:r>
      <w:r w:rsidRPr="00B362C7">
        <w:t>evaluate and verify</w:t>
      </w:r>
      <w:r>
        <w:t xml:space="preserve"> the adequacy of the then Department of Agriculture, Fisheries and Forestry’s pre-border, border and post-border biosecurity risk management programs. This role subsumed the Interim Inspector-General of Horse Importation that was recommended by Commissioner Callinan in the 2008 </w:t>
      </w:r>
      <w:r w:rsidRPr="00315143">
        <w:rPr>
          <w:rStyle w:val="Emphasis"/>
        </w:rPr>
        <w:t>Report of the Equine Influenza Inquiry</w:t>
      </w:r>
      <w:r>
        <w:t xml:space="preserve"> (Callinan 2008).</w:t>
      </w:r>
    </w:p>
    <w:p w14:paraId="76E339D6" w14:textId="2825B9D8" w:rsidR="007B7C0C" w:rsidRDefault="007B7C0C" w:rsidP="007B7C0C">
      <w:r>
        <w:t xml:space="preserve">Between July 2009 and June 2016, </w:t>
      </w:r>
      <w:r w:rsidR="00514D0E">
        <w:t>two</w:t>
      </w:r>
      <w:r w:rsidR="006E14EF">
        <w:t xml:space="preserve"> </w:t>
      </w:r>
      <w:r>
        <w:t xml:space="preserve">independent officers held the </w:t>
      </w:r>
      <w:r w:rsidR="00B362C7">
        <w:t xml:space="preserve">position of </w:t>
      </w:r>
      <w:r>
        <w:t xml:space="preserve">Interim Inspector-General. On 16 June 2016 the Australian Government repealed the </w:t>
      </w:r>
      <w:r w:rsidRPr="009C363B">
        <w:rPr>
          <w:rStyle w:val="Emphasis"/>
        </w:rPr>
        <w:t>Quarantine Act 1908</w:t>
      </w:r>
      <w:r w:rsidR="00B362C7">
        <w:t xml:space="preserve"> and </w:t>
      </w:r>
      <w:r>
        <w:t xml:space="preserve">commenced administering the </w:t>
      </w:r>
      <w:r w:rsidRPr="00490A8D">
        <w:rPr>
          <w:rStyle w:val="Emphasis"/>
        </w:rPr>
        <w:t>Biosecurity Act 2015</w:t>
      </w:r>
      <w:r w:rsidR="00514D0E">
        <w:rPr>
          <w:rStyle w:val="Emphasis"/>
        </w:rPr>
        <w:t xml:space="preserve"> </w:t>
      </w:r>
      <w:r>
        <w:t xml:space="preserve">and appointed </w:t>
      </w:r>
      <w:r w:rsidR="00514D0E">
        <w:t>the</w:t>
      </w:r>
      <w:r>
        <w:t xml:space="preserve"> inaugural </w:t>
      </w:r>
      <w:r>
        <w:lastRenderedPageBreak/>
        <w:t xml:space="preserve">Inspector-General in July 2016. On 25 July 2019 the Australian Government </w:t>
      </w:r>
      <w:r w:rsidR="006E14EF">
        <w:t xml:space="preserve">Minister for Agriculture </w:t>
      </w:r>
      <w:r>
        <w:t>appointed the current Inspector-General.</w:t>
      </w:r>
    </w:p>
    <w:p w14:paraId="062EC9A5" w14:textId="60D7CBBE" w:rsidR="007B7C0C" w:rsidRDefault="006E14EF" w:rsidP="007B7C0C">
      <w:r>
        <w:t>T</w:t>
      </w:r>
      <w:r w:rsidR="007B7C0C">
        <w:t>he Inspector-General is a statutory officer who:</w:t>
      </w:r>
    </w:p>
    <w:p w14:paraId="4BFA7F01" w14:textId="51B033E1" w:rsidR="007B7C0C" w:rsidRDefault="007B7C0C" w:rsidP="00490A8D">
      <w:pPr>
        <w:pStyle w:val="ListNumber"/>
      </w:pPr>
      <w:r>
        <w:t>independently reviews the Director of Biosecurity’s (</w:t>
      </w:r>
      <w:r w:rsidR="001449A7">
        <w:t xml:space="preserve">the </w:t>
      </w:r>
      <w:r>
        <w:t xml:space="preserve">department’s Secretary) functions and exercise of powers under the </w:t>
      </w:r>
      <w:r w:rsidRPr="00315143">
        <w:rPr>
          <w:rStyle w:val="Emphasis"/>
        </w:rPr>
        <w:t>Biosecurity Act 2015</w:t>
      </w:r>
    </w:p>
    <w:p w14:paraId="63E72ED0" w14:textId="18455F41" w:rsidR="007B7C0C" w:rsidRDefault="007B7C0C" w:rsidP="00490A8D">
      <w:pPr>
        <w:pStyle w:val="ListNumber"/>
      </w:pPr>
      <w:r>
        <w:t>provides impartial and transparent scrutiny of our national biosecurity system by making recommendations to improve the systems and processes used in delivering ‘preventative biosecurity’ activities across the biosecurity continuum.</w:t>
      </w:r>
    </w:p>
    <w:p w14:paraId="5460BDF5" w14:textId="576B56B3" w:rsidR="000E2944" w:rsidRDefault="000E2944" w:rsidP="009C363B">
      <w:pPr>
        <w:pStyle w:val="Heading4"/>
      </w:pPr>
      <w:r>
        <w:t>Inspector-General review recommendations</w:t>
      </w:r>
    </w:p>
    <w:p w14:paraId="16671157" w14:textId="4D87DA85" w:rsidR="006D0271" w:rsidRDefault="006D0271" w:rsidP="00DE10BC">
      <w:pPr>
        <w:pStyle w:val="ListNumber"/>
        <w:numPr>
          <w:ilvl w:val="0"/>
          <w:numId w:val="0"/>
        </w:numPr>
      </w:pPr>
      <w:r w:rsidRPr="00B362C7">
        <w:t xml:space="preserve">Over the years, Inspectors-General review recommendations have driven significant reforms (media releases </w:t>
      </w:r>
      <w:hyperlink r:id="rId20" w:history="1">
        <w:r w:rsidRPr="00B362C7">
          <w:rPr>
            <w:rStyle w:val="Hyperlink"/>
          </w:rPr>
          <w:t>2020</w:t>
        </w:r>
      </w:hyperlink>
      <w:r w:rsidRPr="00B362C7">
        <w:t xml:space="preserve">, </w:t>
      </w:r>
      <w:hyperlink r:id="rId21" w:history="1">
        <w:r w:rsidRPr="00B362C7">
          <w:rPr>
            <w:rStyle w:val="Hyperlink"/>
          </w:rPr>
          <w:t>2021a</w:t>
        </w:r>
      </w:hyperlink>
      <w:r w:rsidRPr="00B362C7">
        <w:t xml:space="preserve"> and </w:t>
      </w:r>
      <w:hyperlink r:id="rId22" w:history="1">
        <w:r w:rsidRPr="00B362C7">
          <w:rPr>
            <w:rStyle w:val="Hyperlink"/>
          </w:rPr>
          <w:t>2021b</w:t>
        </w:r>
      </w:hyperlink>
      <w:r w:rsidRPr="00B362C7">
        <w:t xml:space="preserve">) </w:t>
      </w:r>
      <w:r w:rsidR="00DE10BC" w:rsidRPr="00B362C7">
        <w:t>to</w:t>
      </w:r>
      <w:r w:rsidRPr="00B362C7">
        <w:t xml:space="preserve"> the way the department manages biosecurity</w:t>
      </w:r>
      <w:r w:rsidR="009C363B" w:rsidRPr="00B362C7">
        <w:t xml:space="preserve">. The </w:t>
      </w:r>
      <w:r w:rsidR="006E14EF" w:rsidRPr="00C00A66">
        <w:t xml:space="preserve">recommendations </w:t>
      </w:r>
      <w:r w:rsidR="0003615D" w:rsidRPr="00B362C7">
        <w:t xml:space="preserve">have </w:t>
      </w:r>
      <w:r w:rsidR="00D321DF">
        <w:t>catalysed</w:t>
      </w:r>
      <w:r w:rsidR="006E14EF" w:rsidRPr="00C00A66">
        <w:t xml:space="preserve"> the </w:t>
      </w:r>
      <w:r w:rsidR="009C363B" w:rsidRPr="00B362C7">
        <w:t xml:space="preserve">department </w:t>
      </w:r>
      <w:r w:rsidRPr="00B362C7">
        <w:t xml:space="preserve">to develop the capabilities Australia needs to meet the challenges posed by </w:t>
      </w:r>
      <w:r w:rsidR="00DE10BC" w:rsidRPr="00B362C7">
        <w:t>changes in the biosecurity operating environment and the</w:t>
      </w:r>
      <w:r w:rsidRPr="00B362C7">
        <w:t xml:space="preserve"> increasing size and complexity of the biosecurity task</w:t>
      </w:r>
      <w:r w:rsidR="00457C8A">
        <w:t>.</w:t>
      </w:r>
    </w:p>
    <w:p w14:paraId="389B17BD" w14:textId="6FD70D43" w:rsidR="0003615D" w:rsidRDefault="00C46467" w:rsidP="007B7C0C">
      <w:r>
        <w:t xml:space="preserve">Between 1 July 2015 and </w:t>
      </w:r>
      <w:r w:rsidR="00514D0E">
        <w:t>28 February 2021,</w:t>
      </w:r>
      <w:r>
        <w:t xml:space="preserve"> t</w:t>
      </w:r>
      <w:r w:rsidR="000D434B">
        <w:t>he former Interim Inspector-General, the former Inspector-General and the current Inspector-General completed 22 reviews</w:t>
      </w:r>
      <w:r w:rsidR="00324841" w:rsidRPr="00324841">
        <w:t xml:space="preserve"> </w:t>
      </w:r>
      <w:r w:rsidR="0003615D">
        <w:t xml:space="preserve">and made </w:t>
      </w:r>
      <w:r w:rsidR="0003615D" w:rsidRPr="000D434B">
        <w:t>190 recommendations</w:t>
      </w:r>
      <w:r w:rsidR="0003615D">
        <w:t xml:space="preserve"> </w:t>
      </w:r>
      <w:r w:rsidR="00324841">
        <w:t>to the Director of Biosecurity</w:t>
      </w:r>
      <w:r w:rsidR="000D434B">
        <w:t>.</w:t>
      </w:r>
    </w:p>
    <w:p w14:paraId="704508A0" w14:textId="375F2DC6" w:rsidR="00150792" w:rsidRDefault="006D0271" w:rsidP="007B7C0C">
      <w:r>
        <w:t>Th</w:t>
      </w:r>
      <w:r w:rsidR="00150792">
        <w:t>is</w:t>
      </w:r>
      <w:r>
        <w:t xml:space="preserve"> review is </w:t>
      </w:r>
      <w:r w:rsidR="009C363B">
        <w:t xml:space="preserve">focused on </w:t>
      </w:r>
      <w:r>
        <w:t>the department’s track record in implementing</w:t>
      </w:r>
      <w:r w:rsidR="000B2FFE">
        <w:t xml:space="preserve"> </w:t>
      </w:r>
      <w:r w:rsidR="00C15803">
        <w:t xml:space="preserve">163 </w:t>
      </w:r>
      <w:r>
        <w:t xml:space="preserve">recommendations </w:t>
      </w:r>
      <w:r w:rsidR="00150792">
        <w:t>in 15 review reports</w:t>
      </w:r>
      <w:r w:rsidR="000B2FFE">
        <w:t xml:space="preserve"> </w:t>
      </w:r>
      <w:r>
        <w:t xml:space="preserve">between </w:t>
      </w:r>
      <w:r w:rsidR="00FA6296">
        <w:t>3 May 2016</w:t>
      </w:r>
      <w:r>
        <w:t xml:space="preserve"> and 28 February 2021.</w:t>
      </w:r>
      <w:r w:rsidR="000B2FFE">
        <w:t xml:space="preserve"> </w:t>
      </w:r>
      <w:r w:rsidR="000D434B">
        <w:t xml:space="preserve">The Inspector-General has omitted 7 reviews </w:t>
      </w:r>
      <w:r w:rsidR="00324841">
        <w:t>from the current review</w:t>
      </w:r>
      <w:r w:rsidR="00C46467">
        <w:t>,</w:t>
      </w:r>
      <w:r w:rsidR="00324841">
        <w:t xml:space="preserve"> </w:t>
      </w:r>
      <w:r w:rsidR="000D434B">
        <w:t xml:space="preserve">as they describe </w:t>
      </w:r>
      <w:r w:rsidR="00150792">
        <w:t xml:space="preserve">areas for improvement rather than </w:t>
      </w:r>
      <w:r w:rsidR="0063014B">
        <w:t>recommendations or</w:t>
      </w:r>
      <w:r w:rsidR="00150792">
        <w:t xml:space="preserve"> </w:t>
      </w:r>
      <w:r w:rsidR="002254B5">
        <w:t xml:space="preserve">reports that </w:t>
      </w:r>
      <w:r w:rsidR="00150792">
        <w:t>had recommendations closed by the former Inspector-General.</w:t>
      </w:r>
    </w:p>
    <w:p w14:paraId="628B4028" w14:textId="0A34418C" w:rsidR="00D57507" w:rsidRDefault="0003615D" w:rsidP="00CE120A">
      <w:r>
        <w:t>R</w:t>
      </w:r>
      <w:r w:rsidR="000B2FFE">
        <w:t xml:space="preserve">eviews and recommendations made </w:t>
      </w:r>
      <w:r w:rsidR="00C46467">
        <w:t xml:space="preserve">before </w:t>
      </w:r>
      <w:r w:rsidR="000B2FFE">
        <w:t xml:space="preserve">1 July 2015 </w:t>
      </w:r>
      <w:r>
        <w:t xml:space="preserve">were not </w:t>
      </w:r>
      <w:r w:rsidR="006402F4">
        <w:t xml:space="preserve">included in this </w:t>
      </w:r>
      <w:r w:rsidR="000B2FFE">
        <w:t xml:space="preserve">review. </w:t>
      </w:r>
      <w:r>
        <w:t xml:space="preserve">Between April 2009 and </w:t>
      </w:r>
      <w:r w:rsidR="00514D0E">
        <w:t>June 2015,</w:t>
      </w:r>
      <w:r>
        <w:t xml:space="preserve"> the former Interim Inspectors-General </w:t>
      </w:r>
      <w:r w:rsidRPr="0082640B">
        <w:t xml:space="preserve">completed </w:t>
      </w:r>
      <w:r w:rsidR="00522416" w:rsidRPr="00B362C7">
        <w:t>26 review</w:t>
      </w:r>
      <w:r w:rsidRPr="0082640B">
        <w:t>s</w:t>
      </w:r>
      <w:r w:rsidR="00522416" w:rsidRPr="00B362C7">
        <w:t xml:space="preserve"> </w:t>
      </w:r>
      <w:r w:rsidRPr="00B362C7">
        <w:t xml:space="preserve">and made </w:t>
      </w:r>
      <w:r w:rsidR="00522416" w:rsidRPr="00B362C7">
        <w:t>140 recommendations</w:t>
      </w:r>
      <w:r w:rsidR="002254B5" w:rsidRPr="00B362C7">
        <w:t xml:space="preserve"> and areas for improvement</w:t>
      </w:r>
      <w:r w:rsidR="00522416" w:rsidRPr="00B362C7">
        <w:t xml:space="preserve">. </w:t>
      </w:r>
      <w:r w:rsidRPr="00B362C7">
        <w:t>However, t</w:t>
      </w:r>
      <w:r w:rsidR="000B2FFE" w:rsidRPr="00B362C7">
        <w:t>he</w:t>
      </w:r>
      <w:r w:rsidR="000B2FFE">
        <w:t xml:space="preserve"> current Inspector-General note</w:t>
      </w:r>
      <w:r w:rsidR="00B362C7">
        <w:t>s</w:t>
      </w:r>
      <w:r w:rsidR="000B2FFE">
        <w:t xml:space="preserve"> that</w:t>
      </w:r>
      <w:r w:rsidR="00C46467">
        <w:t>,</w:t>
      </w:r>
      <w:r w:rsidR="000B2FFE">
        <w:t xml:space="preserve"> since the publication of the Beale </w:t>
      </w:r>
      <w:r w:rsidR="00C46467">
        <w:t>r</w:t>
      </w:r>
      <w:r w:rsidR="000B2FFE">
        <w:t>eview (Beale et al 2008)</w:t>
      </w:r>
      <w:r w:rsidR="007A6752">
        <w:t xml:space="preserve"> and the entry into force of the </w:t>
      </w:r>
      <w:r w:rsidR="007A6752">
        <w:rPr>
          <w:i/>
          <w:iCs/>
        </w:rPr>
        <w:t>Biosecurity Act 2015</w:t>
      </w:r>
      <w:r w:rsidR="000B2FFE">
        <w:t xml:space="preserve">, the department has undergone considerable legislative, technological, structural and cultural changes. </w:t>
      </w:r>
      <w:r w:rsidR="007B7C0C">
        <w:t>Therefore, the Inspector-General</w:t>
      </w:r>
      <w:r w:rsidR="00522416">
        <w:t xml:space="preserve"> has </w:t>
      </w:r>
      <w:r w:rsidR="007B7C0C">
        <w:t>focused on reviewing the department’s performance in implementing recommendations</w:t>
      </w:r>
      <w:r w:rsidR="00522416">
        <w:t xml:space="preserve"> since 2015</w:t>
      </w:r>
      <w:r w:rsidR="007A6752">
        <w:t>.</w:t>
      </w:r>
    </w:p>
    <w:p w14:paraId="34CEDA01" w14:textId="5706F64C" w:rsidR="003B55FE" w:rsidRDefault="003B55FE" w:rsidP="00A17DBC">
      <w:pPr>
        <w:pStyle w:val="Heading3"/>
      </w:pPr>
      <w:bookmarkStart w:id="7" w:name="_Toc87543854"/>
      <w:r w:rsidRPr="00315143">
        <w:t>Existing governance framework</w:t>
      </w:r>
      <w:bookmarkEnd w:id="7"/>
    </w:p>
    <w:p w14:paraId="597D13F4" w14:textId="487C93D8" w:rsidR="008D7B6F" w:rsidRDefault="00BC770A" w:rsidP="00BC770A">
      <w:r w:rsidRPr="00B362C7">
        <w:t xml:space="preserve">This section describes current </w:t>
      </w:r>
      <w:r w:rsidR="00A63436">
        <w:t>go</w:t>
      </w:r>
      <w:r w:rsidRPr="00B362C7">
        <w:t xml:space="preserve">vernance arrangements for </w:t>
      </w:r>
      <w:bookmarkStart w:id="8" w:name="_Hlk87625755"/>
      <w:r w:rsidR="008D7B6F" w:rsidRPr="00B362C7">
        <w:t xml:space="preserve">performance </w:t>
      </w:r>
      <w:r w:rsidRPr="00B362C7">
        <w:t xml:space="preserve">monitoring and reporting </w:t>
      </w:r>
      <w:r w:rsidR="0003615D" w:rsidRPr="00B362C7">
        <w:t xml:space="preserve">arrangements </w:t>
      </w:r>
      <w:r w:rsidR="00352EC0" w:rsidRPr="00B362C7">
        <w:t xml:space="preserve">and </w:t>
      </w:r>
      <w:bookmarkEnd w:id="8"/>
      <w:r w:rsidR="0003615D" w:rsidRPr="005E7D10">
        <w:t xml:space="preserve">how they relate to </w:t>
      </w:r>
      <w:r w:rsidR="00B362C7" w:rsidRPr="005E7D10">
        <w:t xml:space="preserve">the accountable </w:t>
      </w:r>
      <w:r w:rsidR="0003615D" w:rsidRPr="005E7D10">
        <w:t>implement</w:t>
      </w:r>
      <w:r w:rsidR="00B362C7" w:rsidRPr="005E7D10">
        <w:t>ation of</w:t>
      </w:r>
      <w:r w:rsidR="0003615D" w:rsidRPr="005E7D10">
        <w:t xml:space="preserve"> </w:t>
      </w:r>
      <w:r w:rsidR="00B362C7" w:rsidRPr="005E7D10">
        <w:t xml:space="preserve">the Inspector-General’s </w:t>
      </w:r>
      <w:r w:rsidR="0003615D" w:rsidRPr="005E7D10">
        <w:t xml:space="preserve">recommendations </w:t>
      </w:r>
      <w:r w:rsidR="00EB0549" w:rsidRPr="00B362C7">
        <w:t xml:space="preserve">to the Director </w:t>
      </w:r>
      <w:r w:rsidR="002254B5" w:rsidRPr="00B362C7">
        <w:t xml:space="preserve">of </w:t>
      </w:r>
      <w:r w:rsidR="00EB0549" w:rsidRPr="00B362C7">
        <w:t>Biosecurity</w:t>
      </w:r>
      <w:r w:rsidRPr="00B362C7">
        <w:t>.</w:t>
      </w:r>
    </w:p>
    <w:p w14:paraId="2E3805B0" w14:textId="77777777" w:rsidR="008D7B6F" w:rsidRPr="002254B5" w:rsidRDefault="008D7B6F" w:rsidP="002254B5">
      <w:pPr>
        <w:pStyle w:val="Heading4"/>
      </w:pPr>
      <w:r w:rsidRPr="002254B5">
        <w:rPr>
          <w:rStyle w:val="Emphasis"/>
        </w:rPr>
        <w:t>Biosecurity Act 2015</w:t>
      </w:r>
      <w:r w:rsidRPr="002254B5">
        <w:t xml:space="preserve"> and </w:t>
      </w:r>
      <w:r w:rsidRPr="002254B5">
        <w:rPr>
          <w:rStyle w:val="Emphasis"/>
        </w:rPr>
        <w:t>Biosecurity Regulation 2016</w:t>
      </w:r>
    </w:p>
    <w:p w14:paraId="1CC4E897" w14:textId="10B4518B" w:rsidR="008D7B6F" w:rsidRDefault="008D7B6F" w:rsidP="008D7B6F">
      <w:r>
        <w:t xml:space="preserve">The </w:t>
      </w:r>
      <w:r w:rsidRPr="006F291E">
        <w:rPr>
          <w:rStyle w:val="Emphasis"/>
        </w:rPr>
        <w:t>Biosecurity Act 2015</w:t>
      </w:r>
      <w:r>
        <w:t xml:space="preserve"> and </w:t>
      </w:r>
      <w:r w:rsidRPr="005E7D10">
        <w:rPr>
          <w:rStyle w:val="Emphasis"/>
          <w:i w:val="0"/>
          <w:iCs w:val="0"/>
        </w:rPr>
        <w:t>Biosecurity Regulation 2016</w:t>
      </w:r>
      <w:r>
        <w:t xml:space="preserve"> </w:t>
      </w:r>
      <w:r w:rsidR="0003615D">
        <w:t xml:space="preserve">describe how the Inspector-General should conduct </w:t>
      </w:r>
      <w:r>
        <w:t>reviews</w:t>
      </w:r>
      <w:r w:rsidR="0003615D">
        <w:t xml:space="preserve">, but they do not allocate responsibility for managing and monitoring </w:t>
      </w:r>
      <w:r w:rsidRPr="008D7B6F">
        <w:t xml:space="preserve">the department’s implementation of </w:t>
      </w:r>
      <w:r w:rsidR="0003615D">
        <w:t xml:space="preserve">the Inspector-General’s </w:t>
      </w:r>
      <w:r w:rsidRPr="008D7B6F">
        <w:t>recommendations.</w:t>
      </w:r>
    </w:p>
    <w:p w14:paraId="0E797191" w14:textId="62006E4F" w:rsidR="00352EC0" w:rsidRDefault="0003615D" w:rsidP="008D7B6F">
      <w:r>
        <w:t>T</w:t>
      </w:r>
      <w:r w:rsidR="008D7B6F">
        <w:t xml:space="preserve">he Inspector-General must </w:t>
      </w:r>
      <w:r w:rsidR="00352EC0">
        <w:t xml:space="preserve">provide </w:t>
      </w:r>
      <w:r w:rsidR="008D7B6F">
        <w:t xml:space="preserve">a draft review report </w:t>
      </w:r>
      <w:r w:rsidR="00352EC0">
        <w:t xml:space="preserve">to the </w:t>
      </w:r>
      <w:r w:rsidR="008D7B6F">
        <w:t>Director of Biosecurity</w:t>
      </w:r>
      <w:r w:rsidR="00352EC0">
        <w:t xml:space="preserve"> </w:t>
      </w:r>
      <w:r>
        <w:t xml:space="preserve">when </w:t>
      </w:r>
      <w:r w:rsidR="00352EC0">
        <w:t>a review</w:t>
      </w:r>
      <w:r>
        <w:t xml:space="preserve"> is completed</w:t>
      </w:r>
      <w:r w:rsidR="008D7B6F">
        <w:t xml:space="preserve">. </w:t>
      </w:r>
      <w:r>
        <w:t>The Director of Biosecurity must then give the Inspector-</w:t>
      </w:r>
      <w:r>
        <w:lastRenderedPageBreak/>
        <w:t xml:space="preserve">General comments on the </w:t>
      </w:r>
      <w:r w:rsidR="005E7D10">
        <w:t xml:space="preserve">draft </w:t>
      </w:r>
      <w:r>
        <w:t>review w</w:t>
      </w:r>
      <w:r w:rsidR="008D7B6F">
        <w:t xml:space="preserve">ithin 28 days. The Director of Biosecurity may also give the Inspector-General further information </w:t>
      </w:r>
      <w:r>
        <w:t xml:space="preserve">on </w:t>
      </w:r>
      <w:r w:rsidR="008D7B6F">
        <w:t xml:space="preserve">the </w:t>
      </w:r>
      <w:r w:rsidR="007A3763">
        <w:t xml:space="preserve">matters covered in </w:t>
      </w:r>
      <w:r w:rsidR="008D7B6F">
        <w:t>the review.</w:t>
      </w:r>
    </w:p>
    <w:p w14:paraId="363EECF5" w14:textId="11B4C9D2" w:rsidR="008D7B6F" w:rsidRDefault="008D7B6F" w:rsidP="008D7B6F">
      <w:r>
        <w:t xml:space="preserve">The Inspector-General must prepare a final review report and provide it to the Director of Biosecurity and the Minister for </w:t>
      </w:r>
      <w:r w:rsidRPr="004649AA">
        <w:t xml:space="preserve">Agriculture. </w:t>
      </w:r>
      <w:r w:rsidR="004649AA">
        <w:t>If the Director of Biosecurity requests it, t</w:t>
      </w:r>
      <w:r w:rsidRPr="004649AA">
        <w:t>he Minister for Agriculture may</w:t>
      </w:r>
      <w:r w:rsidR="004649AA">
        <w:t xml:space="preserve"> </w:t>
      </w:r>
      <w:r w:rsidRPr="004649AA">
        <w:t xml:space="preserve">direct that information </w:t>
      </w:r>
      <w:r w:rsidR="004649AA">
        <w:t xml:space="preserve">on </w:t>
      </w:r>
      <w:r w:rsidRPr="004649AA">
        <w:t>a specified matter connected with a</w:t>
      </w:r>
      <w:r w:rsidR="004649AA">
        <w:t>n Inspector-General</w:t>
      </w:r>
      <w:r w:rsidRPr="004649AA">
        <w:t xml:space="preserve"> review </w:t>
      </w:r>
      <w:r>
        <w:t xml:space="preserve">should not be made publicly available on grounds set out in the </w:t>
      </w:r>
      <w:r w:rsidR="002254B5">
        <w:t>r</w:t>
      </w:r>
      <w:r>
        <w:t>egulations.</w:t>
      </w:r>
    </w:p>
    <w:p w14:paraId="442FC7E8" w14:textId="33E2F4B5" w:rsidR="008D7B6F" w:rsidRPr="00F82794" w:rsidRDefault="004649AA" w:rsidP="00BC770A">
      <w:r>
        <w:t>T</w:t>
      </w:r>
      <w:r w:rsidR="008D7B6F">
        <w:t>he Director of Biosecurity</w:t>
      </w:r>
      <w:r>
        <w:t>’s</w:t>
      </w:r>
      <w:r w:rsidR="008D7B6F">
        <w:t xml:space="preserve"> formal management response </w:t>
      </w:r>
      <w:r>
        <w:t xml:space="preserve">to the report </w:t>
      </w:r>
      <w:r w:rsidR="008D7B6F">
        <w:t xml:space="preserve">may include full acceptance, partial acceptance, noting or non-acceptance of recommendations. The Inspector-General </w:t>
      </w:r>
      <w:r>
        <w:t xml:space="preserve">cannot </w:t>
      </w:r>
      <w:r w:rsidR="008D7B6F">
        <w:t>further argu</w:t>
      </w:r>
      <w:r>
        <w:t>e</w:t>
      </w:r>
      <w:r w:rsidR="008D7B6F">
        <w:t xml:space="preserve"> </w:t>
      </w:r>
      <w:r w:rsidR="008D7B6F" w:rsidRPr="00F82794">
        <w:t xml:space="preserve">for recommendations or </w:t>
      </w:r>
      <w:r w:rsidR="00457C8A">
        <w:t xml:space="preserve">dispute </w:t>
      </w:r>
      <w:r w:rsidR="008D7B6F" w:rsidRPr="00F82794">
        <w:t>the department’s response to them.</w:t>
      </w:r>
    </w:p>
    <w:p w14:paraId="4123B73F" w14:textId="05F7AC1A" w:rsidR="00BC770A" w:rsidRDefault="004649AA" w:rsidP="00F82794">
      <w:r>
        <w:t xml:space="preserve">Once </w:t>
      </w:r>
      <w:r w:rsidR="00C62824">
        <w:t xml:space="preserve">the </w:t>
      </w:r>
      <w:r w:rsidR="00C62824" w:rsidRPr="00F82794">
        <w:t xml:space="preserve">Director of Biosecurity </w:t>
      </w:r>
      <w:r w:rsidR="008D7B6F" w:rsidRPr="00F82794">
        <w:t>sign</w:t>
      </w:r>
      <w:r w:rsidR="00C62824">
        <w:t>s</w:t>
      </w:r>
      <w:r w:rsidR="008D7B6F" w:rsidRPr="00F82794">
        <w:t xml:space="preserve"> off o</w:t>
      </w:r>
      <w:r w:rsidR="00C04548">
        <w:t>n</w:t>
      </w:r>
      <w:r w:rsidR="008D7B6F" w:rsidRPr="00F82794">
        <w:t xml:space="preserve"> the department’s response to the Inspector-General’s recommendations, </w:t>
      </w:r>
      <w:r>
        <w:t>the department’s normal governance and accountability mechanism</w:t>
      </w:r>
      <w:r w:rsidR="00A63436">
        <w:t>s</w:t>
      </w:r>
      <w:r>
        <w:t xml:space="preserve"> becomes responsible </w:t>
      </w:r>
      <w:r w:rsidR="008D7B6F" w:rsidRPr="00F82794">
        <w:t xml:space="preserve">for </w:t>
      </w:r>
      <w:r>
        <w:t xml:space="preserve">implementing </w:t>
      </w:r>
      <w:r w:rsidRPr="0063071F">
        <w:t xml:space="preserve">them </w:t>
      </w:r>
      <w:r w:rsidR="008D7B6F" w:rsidRPr="00457C8A">
        <w:t>(and any other actions that the Director of Biosecurity may otherwise direct)</w:t>
      </w:r>
      <w:r w:rsidR="009920E1" w:rsidRPr="00457C8A">
        <w:t>.</w:t>
      </w:r>
    </w:p>
    <w:p w14:paraId="78DB8A2F" w14:textId="77777777" w:rsidR="00641720" w:rsidRDefault="00641720" w:rsidP="00990DC2">
      <w:pPr>
        <w:pStyle w:val="Heading4"/>
      </w:pPr>
      <w:r>
        <w:t xml:space="preserve">Australian </w:t>
      </w:r>
      <w:r w:rsidRPr="000635CF">
        <w:t>National</w:t>
      </w:r>
      <w:r>
        <w:t xml:space="preserve"> Audit Office</w:t>
      </w:r>
    </w:p>
    <w:p w14:paraId="1951245D" w14:textId="42B9FACF" w:rsidR="00641720" w:rsidRDefault="00641720" w:rsidP="00641720">
      <w:r w:rsidRPr="004649AA">
        <w:t xml:space="preserve">The department’s annual report </w:t>
      </w:r>
      <w:r w:rsidR="004649AA" w:rsidRPr="004649AA">
        <w:t xml:space="preserve">lists </w:t>
      </w:r>
      <w:r w:rsidRPr="004649AA">
        <w:t>all Australian National Audit Office (ANAO) reports related to the department that the Auditor-General</w:t>
      </w:r>
      <w:r w:rsidR="007A1471" w:rsidRPr="004649AA">
        <w:t xml:space="preserve"> </w:t>
      </w:r>
      <w:r w:rsidR="004649AA" w:rsidRPr="004649AA">
        <w:t xml:space="preserve">has tabled </w:t>
      </w:r>
      <w:r w:rsidR="007A1471" w:rsidRPr="004649AA">
        <w:t>(DAWE 202</w:t>
      </w:r>
      <w:r w:rsidR="0020169D">
        <w:t>1a</w:t>
      </w:r>
      <w:r w:rsidR="007A1471" w:rsidRPr="004649AA">
        <w:t>)</w:t>
      </w:r>
      <w:r w:rsidRPr="004649AA">
        <w:t xml:space="preserve">. </w:t>
      </w:r>
      <w:r w:rsidR="00B362C7">
        <w:t>While t</w:t>
      </w:r>
      <w:r w:rsidR="004649AA" w:rsidRPr="004649AA">
        <w:t xml:space="preserve">he annual report summarises </w:t>
      </w:r>
      <w:r w:rsidRPr="004649AA">
        <w:t>the department’s relationship with the Inspector-General</w:t>
      </w:r>
      <w:r w:rsidR="00C04548" w:rsidRPr="004649AA">
        <w:t>,</w:t>
      </w:r>
      <w:r w:rsidRPr="004649AA">
        <w:t xml:space="preserve"> </w:t>
      </w:r>
      <w:r w:rsidR="004649AA" w:rsidRPr="004649AA">
        <w:t xml:space="preserve">it does not </w:t>
      </w:r>
      <w:r w:rsidR="004649AA" w:rsidRPr="001A7F38">
        <w:t xml:space="preserve">list the reports that the </w:t>
      </w:r>
      <w:r w:rsidRPr="004649AA">
        <w:t xml:space="preserve">Inspector-General </w:t>
      </w:r>
      <w:r w:rsidR="004649AA" w:rsidRPr="001A7F38">
        <w:t>has</w:t>
      </w:r>
      <w:r w:rsidR="00D6506E">
        <w:t xml:space="preserve"> published and</w:t>
      </w:r>
      <w:r w:rsidR="004649AA" w:rsidRPr="001A7F38">
        <w:t xml:space="preserve"> provided </w:t>
      </w:r>
      <w:r w:rsidR="004649AA" w:rsidRPr="004649AA">
        <w:t>to the department</w:t>
      </w:r>
      <w:r w:rsidRPr="004649AA">
        <w:t>.</w:t>
      </w:r>
    </w:p>
    <w:p w14:paraId="58ECBDDA" w14:textId="70951765" w:rsidR="00641720" w:rsidRDefault="004649AA" w:rsidP="00641720">
      <w:r>
        <w:t xml:space="preserve">During the period being examined by </w:t>
      </w:r>
      <w:r w:rsidRPr="00B362C7">
        <w:t xml:space="preserve">this </w:t>
      </w:r>
      <w:r w:rsidRPr="001A7F38">
        <w:t xml:space="preserve">review, </w:t>
      </w:r>
      <w:r>
        <w:t>t</w:t>
      </w:r>
      <w:r w:rsidR="00641720">
        <w:t>he Auditor</w:t>
      </w:r>
      <w:r>
        <w:t>-</w:t>
      </w:r>
      <w:r w:rsidR="00641720">
        <w:t xml:space="preserve">General tabled </w:t>
      </w:r>
      <w:r>
        <w:t xml:space="preserve">several </w:t>
      </w:r>
      <w:r w:rsidR="00641720">
        <w:t>relevant reports</w:t>
      </w:r>
      <w:r w:rsidRPr="00B362C7">
        <w:t>,</w:t>
      </w:r>
      <w:r w:rsidR="00641720" w:rsidRPr="00B362C7">
        <w:t xml:space="preserve"> includ</w:t>
      </w:r>
      <w:r w:rsidRPr="001A7F38">
        <w:t>ing</w:t>
      </w:r>
      <w:r w:rsidR="00641720" w:rsidRPr="00B362C7">
        <w:t>:</w:t>
      </w:r>
    </w:p>
    <w:p w14:paraId="0D3C4BA2" w14:textId="4D455E9E" w:rsidR="00641720" w:rsidRPr="001B143F" w:rsidRDefault="00641720" w:rsidP="00641720">
      <w:pPr>
        <w:pStyle w:val="ListBullet"/>
      </w:pPr>
      <w:r w:rsidRPr="001B143F">
        <w:rPr>
          <w:rStyle w:val="Emphasis"/>
        </w:rPr>
        <w:t xml:space="preserve">Implementation of the </w:t>
      </w:r>
      <w:r w:rsidR="00C04548" w:rsidRPr="001B143F">
        <w:rPr>
          <w:rStyle w:val="Emphasis"/>
        </w:rPr>
        <w:t>b</w:t>
      </w:r>
      <w:r w:rsidRPr="001B143F">
        <w:rPr>
          <w:rStyle w:val="Emphasis"/>
        </w:rPr>
        <w:t xml:space="preserve">iosecurity </w:t>
      </w:r>
      <w:r w:rsidR="00C04548" w:rsidRPr="001B143F">
        <w:rPr>
          <w:rStyle w:val="Emphasis"/>
        </w:rPr>
        <w:t>l</w:t>
      </w:r>
      <w:r w:rsidRPr="001B143F">
        <w:rPr>
          <w:rStyle w:val="Emphasis"/>
        </w:rPr>
        <w:t xml:space="preserve">egislative </w:t>
      </w:r>
      <w:r w:rsidR="00C04548" w:rsidRPr="001B143F">
        <w:rPr>
          <w:rStyle w:val="Emphasis"/>
        </w:rPr>
        <w:t>f</w:t>
      </w:r>
      <w:r w:rsidRPr="001B143F">
        <w:rPr>
          <w:rStyle w:val="Emphasis"/>
        </w:rPr>
        <w:t>ramework</w:t>
      </w:r>
      <w:r w:rsidRPr="001B143F">
        <w:t xml:space="preserve"> (2017) Auditor-General Report No</w:t>
      </w:r>
      <w:r w:rsidR="00C04548" w:rsidRPr="001B143F">
        <w:t xml:space="preserve"> </w:t>
      </w:r>
      <w:r w:rsidRPr="001B143F">
        <w:t>34 2016–17</w:t>
      </w:r>
    </w:p>
    <w:p w14:paraId="5D2E4DDB" w14:textId="0C479650" w:rsidR="00641720" w:rsidRPr="001B143F" w:rsidRDefault="00641720" w:rsidP="00641720">
      <w:pPr>
        <w:pStyle w:val="ListBullet"/>
      </w:pPr>
      <w:r w:rsidRPr="001B143F">
        <w:rPr>
          <w:rStyle w:val="Emphasis"/>
        </w:rPr>
        <w:t xml:space="preserve">Northern Australia Quarantine Strategy – </w:t>
      </w:r>
      <w:r w:rsidR="00C04548" w:rsidRPr="001B143F">
        <w:rPr>
          <w:rStyle w:val="Emphasis"/>
        </w:rPr>
        <w:t>f</w:t>
      </w:r>
      <w:r w:rsidRPr="001B143F">
        <w:rPr>
          <w:rStyle w:val="Emphasis"/>
        </w:rPr>
        <w:t xml:space="preserve">ollow-on </w:t>
      </w:r>
      <w:r w:rsidR="00C04548" w:rsidRPr="001B143F">
        <w:rPr>
          <w:rStyle w:val="Emphasis"/>
        </w:rPr>
        <w:t>a</w:t>
      </w:r>
      <w:r w:rsidRPr="001B143F">
        <w:rPr>
          <w:rStyle w:val="Emphasis"/>
        </w:rPr>
        <w:t>udit</w:t>
      </w:r>
      <w:r w:rsidRPr="001B143F">
        <w:t xml:space="preserve"> (2019) Auditor-General Report No</w:t>
      </w:r>
      <w:r w:rsidR="00C04548" w:rsidRPr="001B143F">
        <w:t xml:space="preserve"> </w:t>
      </w:r>
      <w:r w:rsidRPr="001B143F">
        <w:t>23 2018–19</w:t>
      </w:r>
    </w:p>
    <w:p w14:paraId="546DB9C0" w14:textId="7B847564" w:rsidR="00641720" w:rsidRPr="001B143F" w:rsidRDefault="00641720" w:rsidP="00641720">
      <w:pPr>
        <w:pStyle w:val="ListBullet"/>
      </w:pPr>
      <w:r w:rsidRPr="001B143F">
        <w:rPr>
          <w:rStyle w:val="Emphasis"/>
        </w:rPr>
        <w:t xml:space="preserve">Implementation of ANAO and </w:t>
      </w:r>
      <w:r w:rsidR="00C04548" w:rsidRPr="001B143F">
        <w:rPr>
          <w:rStyle w:val="Emphasis"/>
        </w:rPr>
        <w:t>p</w:t>
      </w:r>
      <w:r w:rsidRPr="001B143F">
        <w:rPr>
          <w:rStyle w:val="Emphasis"/>
        </w:rPr>
        <w:t xml:space="preserve">arliamentary </w:t>
      </w:r>
      <w:r w:rsidR="00C04548" w:rsidRPr="001B143F">
        <w:rPr>
          <w:rStyle w:val="Emphasis"/>
        </w:rPr>
        <w:t>c</w:t>
      </w:r>
      <w:r w:rsidRPr="001B143F">
        <w:rPr>
          <w:rStyle w:val="Emphasis"/>
        </w:rPr>
        <w:t xml:space="preserve">ommittee </w:t>
      </w:r>
      <w:r w:rsidR="00C04548" w:rsidRPr="001B143F">
        <w:rPr>
          <w:rStyle w:val="Emphasis"/>
        </w:rPr>
        <w:t>r</w:t>
      </w:r>
      <w:r w:rsidRPr="001B143F">
        <w:rPr>
          <w:rStyle w:val="Emphasis"/>
        </w:rPr>
        <w:t>ecommendations</w:t>
      </w:r>
      <w:r w:rsidRPr="001B143F">
        <w:t xml:space="preserve"> (2019) Auditor-General Report No</w:t>
      </w:r>
      <w:r w:rsidR="00C04548" w:rsidRPr="001B143F">
        <w:t xml:space="preserve"> </w:t>
      </w:r>
      <w:r w:rsidRPr="001B143F">
        <w:t>6 of 2019–20</w:t>
      </w:r>
    </w:p>
    <w:p w14:paraId="107BE9DF" w14:textId="624E2CA3" w:rsidR="00641720" w:rsidRPr="001B143F" w:rsidRDefault="00641720" w:rsidP="00641720">
      <w:pPr>
        <w:pStyle w:val="ListBullet"/>
      </w:pPr>
      <w:r w:rsidRPr="001B143F">
        <w:rPr>
          <w:rStyle w:val="Emphasis"/>
        </w:rPr>
        <w:t xml:space="preserve">Implementation of ANAO and </w:t>
      </w:r>
      <w:r w:rsidR="00C04548" w:rsidRPr="001B143F">
        <w:rPr>
          <w:rStyle w:val="Emphasis"/>
        </w:rPr>
        <w:t>p</w:t>
      </w:r>
      <w:r w:rsidRPr="001B143F">
        <w:rPr>
          <w:rStyle w:val="Emphasis"/>
        </w:rPr>
        <w:t xml:space="preserve">arliamentary </w:t>
      </w:r>
      <w:r w:rsidR="00C04548" w:rsidRPr="001B143F">
        <w:rPr>
          <w:rStyle w:val="Emphasis"/>
        </w:rPr>
        <w:t>c</w:t>
      </w:r>
      <w:r w:rsidRPr="001B143F">
        <w:rPr>
          <w:rStyle w:val="Emphasis"/>
        </w:rPr>
        <w:t xml:space="preserve">ommittee </w:t>
      </w:r>
      <w:r w:rsidR="00C04548" w:rsidRPr="001B143F">
        <w:rPr>
          <w:rStyle w:val="Emphasis"/>
        </w:rPr>
        <w:t>r</w:t>
      </w:r>
      <w:r w:rsidRPr="001B143F">
        <w:rPr>
          <w:rStyle w:val="Emphasis"/>
        </w:rPr>
        <w:t xml:space="preserve">ecommendations: </w:t>
      </w:r>
      <w:r w:rsidR="00C04548" w:rsidRPr="001B143F">
        <w:rPr>
          <w:rStyle w:val="Emphasis"/>
        </w:rPr>
        <w:t>a</w:t>
      </w:r>
      <w:r w:rsidRPr="001B143F">
        <w:rPr>
          <w:rStyle w:val="Emphasis"/>
        </w:rPr>
        <w:t xml:space="preserve">cross </w:t>
      </w:r>
      <w:r w:rsidR="00C04548" w:rsidRPr="001B143F">
        <w:rPr>
          <w:rStyle w:val="Emphasis"/>
        </w:rPr>
        <w:t>e</w:t>
      </w:r>
      <w:r w:rsidRPr="001B143F">
        <w:rPr>
          <w:rStyle w:val="Emphasis"/>
        </w:rPr>
        <w:t xml:space="preserve">ntities </w:t>
      </w:r>
      <w:r w:rsidRPr="001B143F">
        <w:t>(2019) Auditor-General Report No</w:t>
      </w:r>
      <w:r w:rsidR="00C04548" w:rsidRPr="001B143F">
        <w:t xml:space="preserve"> </w:t>
      </w:r>
      <w:r w:rsidRPr="001B143F">
        <w:t>6 2019–20</w:t>
      </w:r>
    </w:p>
    <w:p w14:paraId="7CC7D1CC" w14:textId="4834ACD2" w:rsidR="00641720" w:rsidRPr="001B143F" w:rsidRDefault="00641720" w:rsidP="00641720">
      <w:pPr>
        <w:pStyle w:val="ListBullet"/>
      </w:pPr>
      <w:r w:rsidRPr="001B143F">
        <w:rPr>
          <w:rStyle w:val="Emphasis"/>
        </w:rPr>
        <w:t xml:space="preserve">Responding to </w:t>
      </w:r>
      <w:r w:rsidR="00C04548" w:rsidRPr="001B143F">
        <w:rPr>
          <w:rStyle w:val="Emphasis"/>
        </w:rPr>
        <w:t>n</w:t>
      </w:r>
      <w:r w:rsidRPr="001B143F">
        <w:rPr>
          <w:rStyle w:val="Emphasis"/>
        </w:rPr>
        <w:t>on-</w:t>
      </w:r>
      <w:r w:rsidR="00C04548" w:rsidRPr="001B143F">
        <w:rPr>
          <w:rStyle w:val="Emphasis"/>
        </w:rPr>
        <w:t>c</w:t>
      </w:r>
      <w:r w:rsidRPr="001B143F">
        <w:rPr>
          <w:rStyle w:val="Emphasis"/>
        </w:rPr>
        <w:t xml:space="preserve">ompliance with </w:t>
      </w:r>
      <w:r w:rsidR="00C04548" w:rsidRPr="001B143F">
        <w:rPr>
          <w:rStyle w:val="Emphasis"/>
        </w:rPr>
        <w:t>b</w:t>
      </w:r>
      <w:r w:rsidRPr="001B143F">
        <w:rPr>
          <w:rStyle w:val="Emphasis"/>
        </w:rPr>
        <w:t xml:space="preserve">iosecurity </w:t>
      </w:r>
      <w:r w:rsidR="00C04548" w:rsidRPr="001B143F">
        <w:rPr>
          <w:rStyle w:val="Emphasis"/>
        </w:rPr>
        <w:t>r</w:t>
      </w:r>
      <w:r w:rsidRPr="001B143F">
        <w:rPr>
          <w:rStyle w:val="Emphasis"/>
        </w:rPr>
        <w:t>equirements: Department of Agriculture, Water and the Environment</w:t>
      </w:r>
      <w:r w:rsidRPr="001B143F">
        <w:t xml:space="preserve"> (2021) Auditor-General Report No 42 2020–21</w:t>
      </w:r>
    </w:p>
    <w:p w14:paraId="18C86B62" w14:textId="49BFDED7" w:rsidR="00641720" w:rsidRPr="001B143F" w:rsidRDefault="00D75EA7" w:rsidP="00641720">
      <w:pPr>
        <w:pStyle w:val="ListBullet"/>
      </w:pPr>
      <w:r w:rsidRPr="00D75EA7">
        <w:rPr>
          <w:rStyle w:val="Emphasis"/>
        </w:rPr>
        <w:t xml:space="preserve">Audit insights: implementation of recommendations </w:t>
      </w:r>
      <w:r>
        <w:rPr>
          <w:rStyle w:val="Emphasis"/>
          <w:i w:val="0"/>
          <w:iCs w:val="0"/>
        </w:rPr>
        <w:t>(2021)</w:t>
      </w:r>
      <w:r w:rsidR="00641720" w:rsidRPr="001B143F">
        <w:rPr>
          <w:rStyle w:val="Emphasis"/>
          <w:i w:val="0"/>
          <w:iCs w:val="0"/>
        </w:rPr>
        <w:t xml:space="preserve"> </w:t>
      </w:r>
      <w:r w:rsidR="00641720" w:rsidRPr="001B143F">
        <w:t>Auditor-General publication.</w:t>
      </w:r>
    </w:p>
    <w:p w14:paraId="5BCC5435" w14:textId="20F310B2" w:rsidR="00641720" w:rsidRDefault="00641720" w:rsidP="00641720">
      <w:r w:rsidRPr="00B362C7">
        <w:t>The Auditor</w:t>
      </w:r>
      <w:r w:rsidR="00C04548" w:rsidRPr="00B362C7">
        <w:t>-</w:t>
      </w:r>
      <w:r w:rsidRPr="00B362C7">
        <w:t xml:space="preserve">General has observed that there is a strong correlation between </w:t>
      </w:r>
      <w:r w:rsidR="00B362C7" w:rsidRPr="00D6506E">
        <w:t xml:space="preserve">the </w:t>
      </w:r>
      <w:r w:rsidRPr="00B362C7">
        <w:t xml:space="preserve">governance arrangements established to oversee the implementation of recommendations and the successful implementation of recommendations (ANAO </w:t>
      </w:r>
      <w:r w:rsidR="00D75EA7">
        <w:t>2021</w:t>
      </w:r>
      <w:r w:rsidRPr="00B362C7">
        <w:t>). Similarly, in 2015 the former Interim Inspector-General (IIGB 2015) advised:</w:t>
      </w:r>
    </w:p>
    <w:p w14:paraId="48C76BA4" w14:textId="42B8D884" w:rsidR="00641720" w:rsidRDefault="00C04548" w:rsidP="00641720">
      <w:pPr>
        <w:pStyle w:val="Quote"/>
      </w:pPr>
      <w:r>
        <w:t xml:space="preserve">[The] </w:t>
      </w:r>
      <w:r w:rsidR="00641720">
        <w:t xml:space="preserve">effective implementation of IIGB [Interim Inspector-General and now Inspector-General] audit recommendations requires strong management oversight and monitoring, together with clear responsibilities and timely actions. </w:t>
      </w:r>
    </w:p>
    <w:p w14:paraId="74E3A9A9" w14:textId="27D4475F" w:rsidR="00641720" w:rsidRDefault="00641720" w:rsidP="00A44487">
      <w:r>
        <w:lastRenderedPageBreak/>
        <w:t>The Inspector-General has not seen any clear evidence that</w:t>
      </w:r>
      <w:r w:rsidR="009F061E">
        <w:t>, within existing departmental processes,</w:t>
      </w:r>
      <w:r>
        <w:t xml:space="preserve"> </w:t>
      </w:r>
      <w:r w:rsidR="009F061E">
        <w:t xml:space="preserve">there is </w:t>
      </w:r>
      <w:r w:rsidR="009F061E" w:rsidRPr="00B362C7">
        <w:t xml:space="preserve">appropriate </w:t>
      </w:r>
      <w:r w:rsidRPr="00B362C7">
        <w:t>accountability for</w:t>
      </w:r>
      <w:r>
        <w:t xml:space="preserve"> </w:t>
      </w:r>
      <w:r w:rsidR="009F061E">
        <w:t xml:space="preserve">managing and driving Inspector-General (and sometimes also ANAO) recommendations </w:t>
      </w:r>
      <w:r w:rsidR="004C49F0">
        <w:t>for</w:t>
      </w:r>
      <w:r w:rsidR="00D6506E">
        <w:t xml:space="preserve"> remediation and</w:t>
      </w:r>
      <w:r w:rsidR="004C49F0">
        <w:t xml:space="preserve"> improvement of </w:t>
      </w:r>
      <w:r w:rsidR="009F061E">
        <w:t>biosecurity delivery</w:t>
      </w:r>
      <w:r>
        <w:t xml:space="preserve">. </w:t>
      </w:r>
      <w:r w:rsidRPr="00794192">
        <w:t xml:space="preserve">Improved governance arrangements would </w:t>
      </w:r>
      <w:r w:rsidR="00794192" w:rsidRPr="00794192">
        <w:t xml:space="preserve">assist the </w:t>
      </w:r>
      <w:r w:rsidR="00D6506E">
        <w:t>department</w:t>
      </w:r>
      <w:r w:rsidR="00794192" w:rsidRPr="00794192">
        <w:t xml:space="preserve"> to </w:t>
      </w:r>
      <w:r w:rsidRPr="00794192">
        <w:t xml:space="preserve">implement </w:t>
      </w:r>
      <w:r w:rsidR="00B362C7" w:rsidRPr="00794192">
        <w:t xml:space="preserve">the </w:t>
      </w:r>
      <w:r w:rsidRPr="00794192">
        <w:t xml:space="preserve">recommendations detailed in </w:t>
      </w:r>
      <w:r w:rsidR="00B362C7" w:rsidRPr="00D6506E">
        <w:t xml:space="preserve">the </w:t>
      </w:r>
      <w:r w:rsidRPr="00794192">
        <w:t xml:space="preserve">formal management response to an Inspector-General review and </w:t>
      </w:r>
      <w:r w:rsidR="00794192" w:rsidRPr="00D6506E">
        <w:t xml:space="preserve">thereby </w:t>
      </w:r>
      <w:r w:rsidRPr="00794192">
        <w:t xml:space="preserve">achieve the full benefit of the review (ANAO </w:t>
      </w:r>
      <w:r w:rsidR="00BB4E10" w:rsidRPr="00794192">
        <w:t>2019</w:t>
      </w:r>
      <w:r w:rsidRPr="00794192">
        <w:t>).</w:t>
      </w:r>
    </w:p>
    <w:p w14:paraId="303CD596" w14:textId="785B78E7" w:rsidR="00BC770A" w:rsidRDefault="00BC770A" w:rsidP="00B31CBA">
      <w:pPr>
        <w:pStyle w:val="Heading4"/>
      </w:pPr>
      <w:r>
        <w:t>Portfolio Audit Commi</w:t>
      </w:r>
      <w:r w:rsidR="00724400">
        <w:t>t</w:t>
      </w:r>
      <w:r>
        <w:t>tee</w:t>
      </w:r>
    </w:p>
    <w:p w14:paraId="7E8E1B7F" w14:textId="73D79E87" w:rsidR="003B55FE" w:rsidRDefault="003B55FE" w:rsidP="003B55FE">
      <w:r>
        <w:t>The department’s 2019</w:t>
      </w:r>
      <w:r w:rsidR="00C04548">
        <w:sym w:font="Symbol" w:char="F02D"/>
      </w:r>
      <w:r>
        <w:t xml:space="preserve">20 </w:t>
      </w:r>
      <w:r w:rsidR="00C04548">
        <w:t>a</w:t>
      </w:r>
      <w:r>
        <w:t xml:space="preserve">nnual </w:t>
      </w:r>
      <w:r w:rsidR="00C04548">
        <w:t>r</w:t>
      </w:r>
      <w:r>
        <w:t xml:space="preserve">eport </w:t>
      </w:r>
      <w:r w:rsidR="009F061E">
        <w:t>describes the</w:t>
      </w:r>
      <w:r>
        <w:t xml:space="preserve"> department’s governance framework</w:t>
      </w:r>
      <w:r w:rsidR="007A1471">
        <w:t xml:space="preserve"> (DAWE 202</w:t>
      </w:r>
      <w:r w:rsidR="0020169D">
        <w:t>1a</w:t>
      </w:r>
      <w:r w:rsidR="007A1471">
        <w:t>)</w:t>
      </w:r>
      <w:r>
        <w:t xml:space="preserve">. The role of the </w:t>
      </w:r>
      <w:r w:rsidR="00537C85">
        <w:t>PAC</w:t>
      </w:r>
      <w:r>
        <w:t xml:space="preserve"> is described</w:t>
      </w:r>
      <w:r w:rsidR="009F061E">
        <w:t xml:space="preserve"> as follows</w:t>
      </w:r>
      <w:r>
        <w:t>:</w:t>
      </w:r>
    </w:p>
    <w:p w14:paraId="2CC1CDC0" w14:textId="52206910" w:rsidR="003B55FE" w:rsidRPr="00587A44" w:rsidRDefault="00C04548" w:rsidP="003B55FE">
      <w:pPr>
        <w:pStyle w:val="Quote"/>
        <w:rPr>
          <w:sz w:val="22"/>
          <w:szCs w:val="22"/>
        </w:rPr>
      </w:pPr>
      <w:r>
        <w:rPr>
          <w:sz w:val="22"/>
          <w:szCs w:val="22"/>
        </w:rPr>
        <w:t xml:space="preserve">[The PAC] </w:t>
      </w:r>
      <w:r w:rsidR="003B55FE" w:rsidRPr="00587A44">
        <w:rPr>
          <w:sz w:val="22"/>
          <w:szCs w:val="22"/>
        </w:rPr>
        <w:t>provides independent advice to the Secretary (as the accountable authority) on the department’s risk, finance, control and compliance frameworks and its external accountability responsibilities.</w:t>
      </w:r>
    </w:p>
    <w:p w14:paraId="21FF06E8" w14:textId="77777777" w:rsidR="003B55FE" w:rsidRPr="00587A44" w:rsidRDefault="003B55FE" w:rsidP="003B55FE">
      <w:pPr>
        <w:pStyle w:val="Quote"/>
        <w:rPr>
          <w:sz w:val="22"/>
          <w:szCs w:val="22"/>
        </w:rPr>
      </w:pPr>
      <w:r w:rsidRPr="00587A44">
        <w:rPr>
          <w:sz w:val="22"/>
          <w:szCs w:val="22"/>
        </w:rPr>
        <w:t>The committee oversees an annual internal audit work program, undertaken by an internal audit team and contracted service providers. The work program is developed in consultation with senior management and is reviewed regularly to ensure that it is relevant and responsive to changes and business risks. The Secretary approves the work program.</w:t>
      </w:r>
    </w:p>
    <w:p w14:paraId="4FB8C90C" w14:textId="4361FB64" w:rsidR="003B55FE" w:rsidRDefault="003B55FE" w:rsidP="003B55FE">
      <w:r>
        <w:t xml:space="preserve">The department’s PAC supports the department to meet its duties and responsibilities under the </w:t>
      </w:r>
      <w:r w:rsidRPr="006F291E">
        <w:rPr>
          <w:rStyle w:val="Emphasis"/>
        </w:rPr>
        <w:t>Public Governance, Performance and Accountability Act 2013</w:t>
      </w:r>
      <w:r>
        <w:t>. The PAC is authorised, within the scope of its role and responsibility, to:</w:t>
      </w:r>
    </w:p>
    <w:p w14:paraId="7F05B83B" w14:textId="77777777" w:rsidR="003B55FE" w:rsidRDefault="003B55FE" w:rsidP="003B55FE">
      <w:pPr>
        <w:pStyle w:val="ListBullet"/>
      </w:pPr>
      <w:r>
        <w:t>obtain information from any official, employee or external party (subject to legal obligation to protect information)</w:t>
      </w:r>
    </w:p>
    <w:p w14:paraId="1979BEB3" w14:textId="77777777" w:rsidR="003B55FE" w:rsidRDefault="003B55FE" w:rsidP="003B55FE">
      <w:pPr>
        <w:pStyle w:val="ListBullet"/>
      </w:pPr>
      <w:r>
        <w:t>discuss any matters with internal or external auditors (subject to confidentiality considerations)</w:t>
      </w:r>
    </w:p>
    <w:p w14:paraId="6E9597E4" w14:textId="77777777" w:rsidR="003B55FE" w:rsidRDefault="003B55FE" w:rsidP="003B55FE">
      <w:pPr>
        <w:pStyle w:val="ListBullet"/>
      </w:pPr>
      <w:r>
        <w:t>refer audit reports or other information to management committees or boards of the entities as required</w:t>
      </w:r>
    </w:p>
    <w:p w14:paraId="7BF0EEE0" w14:textId="19255E7C" w:rsidR="003B55FE" w:rsidRDefault="003B55FE" w:rsidP="003B55FE">
      <w:pPr>
        <w:pStyle w:val="ListBullet"/>
      </w:pPr>
      <w:r>
        <w:t xml:space="preserve">request the attendance of any official, employee, including an </w:t>
      </w:r>
      <w:r w:rsidR="00990DC2">
        <w:t>accountable authority</w:t>
      </w:r>
      <w:r>
        <w:t>, or external party at meetings</w:t>
      </w:r>
    </w:p>
    <w:p w14:paraId="6508FAB0" w14:textId="20F60578" w:rsidR="003B55FE" w:rsidRDefault="003B55FE" w:rsidP="003B55FE">
      <w:pPr>
        <w:pStyle w:val="ListBullet"/>
      </w:pPr>
      <w:r>
        <w:t>obtain independent legal or other professional advice to meet its responsibilities, if necessary, at the department</w:t>
      </w:r>
      <w:r w:rsidR="00C04548">
        <w:t>’</w:t>
      </w:r>
      <w:r>
        <w:t>s expense and approved by the Secretary or delegate.</w:t>
      </w:r>
    </w:p>
    <w:p w14:paraId="00A1D4A8" w14:textId="7191E0E8" w:rsidR="004C49F0" w:rsidRDefault="003B55FE" w:rsidP="003B55FE">
      <w:r>
        <w:t xml:space="preserve">The department has advised that the PAC regularly </w:t>
      </w:r>
      <w:r w:rsidRPr="00794192">
        <w:t xml:space="preserve">receives reports </w:t>
      </w:r>
      <w:r w:rsidR="00CE1D58">
        <w:t xml:space="preserve">for noting related to </w:t>
      </w:r>
      <w:r w:rsidR="004C49F0" w:rsidRPr="00CE1D58">
        <w:t xml:space="preserve">the Inspector-General’s </w:t>
      </w:r>
      <w:r w:rsidRPr="00794192">
        <w:t>recommendations.</w:t>
      </w:r>
    </w:p>
    <w:p w14:paraId="548939DC" w14:textId="66C31E53" w:rsidR="004C49F0" w:rsidRDefault="003B55FE" w:rsidP="001F4CE1">
      <w:r w:rsidRPr="00794192">
        <w:t xml:space="preserve">A substantial number of </w:t>
      </w:r>
      <w:r w:rsidR="00180118">
        <w:t xml:space="preserve">similar </w:t>
      </w:r>
      <w:r w:rsidRPr="00794192">
        <w:t>Inspector-General</w:t>
      </w:r>
      <w:r w:rsidR="004C49F0" w:rsidRPr="00794192">
        <w:t>’s</w:t>
      </w:r>
      <w:r w:rsidRPr="00794192">
        <w:t xml:space="preserve"> recommendations </w:t>
      </w:r>
      <w:r w:rsidR="00794192" w:rsidRPr="00794192">
        <w:t xml:space="preserve">dealing with </w:t>
      </w:r>
      <w:r w:rsidRPr="00794192">
        <w:t xml:space="preserve">significant deficiencies in the department’s biosecurity delivery </w:t>
      </w:r>
      <w:r w:rsidR="004C49F0" w:rsidRPr="00794192">
        <w:t>have been made multiple times</w:t>
      </w:r>
      <w:r w:rsidRPr="00794192">
        <w:t>.</w:t>
      </w:r>
      <w:r w:rsidR="00794192" w:rsidRPr="00794192">
        <w:t xml:space="preserve"> </w:t>
      </w:r>
      <w:r w:rsidR="004C49F0" w:rsidRPr="00794192">
        <w:t>I</w:t>
      </w:r>
      <w:r w:rsidR="00EA2E17" w:rsidRPr="00794192">
        <w:t xml:space="preserve">n December 2020 the PAC noted </w:t>
      </w:r>
      <w:r w:rsidR="004C49F0" w:rsidRPr="00CE1D58">
        <w:t xml:space="preserve">that </w:t>
      </w:r>
      <w:r w:rsidR="00794192" w:rsidRPr="00CE1D58">
        <w:t xml:space="preserve">the </w:t>
      </w:r>
      <w:r w:rsidR="004C49F0" w:rsidRPr="00CE1D58">
        <w:t xml:space="preserve">implementation of </w:t>
      </w:r>
      <w:r w:rsidR="00EA2E17" w:rsidRPr="00794192">
        <w:t>some I</w:t>
      </w:r>
      <w:r w:rsidR="00D17731" w:rsidRPr="00794192">
        <w:t>nspector-General</w:t>
      </w:r>
      <w:r w:rsidR="00EA2E17" w:rsidRPr="00794192">
        <w:t xml:space="preserve"> recommendations</w:t>
      </w:r>
      <w:r w:rsidR="00635DE0" w:rsidRPr="00794192">
        <w:t xml:space="preserve"> </w:t>
      </w:r>
      <w:r w:rsidR="004C49F0" w:rsidRPr="00CE1D58">
        <w:t xml:space="preserve">had </w:t>
      </w:r>
      <w:r w:rsidR="00635DE0" w:rsidRPr="00794192">
        <w:t xml:space="preserve">been </w:t>
      </w:r>
      <w:r w:rsidR="004C49F0" w:rsidRPr="00CE1D58">
        <w:t>outstanding for a</w:t>
      </w:r>
      <w:r w:rsidR="00CE1D58">
        <w:t>n</w:t>
      </w:r>
      <w:r w:rsidR="004C49F0" w:rsidRPr="00CE1D58">
        <w:t xml:space="preserve"> </w:t>
      </w:r>
      <w:r w:rsidR="00CE1D58">
        <w:t>extended</w:t>
      </w:r>
      <w:r w:rsidR="004C49F0" w:rsidRPr="00CE1D58">
        <w:t xml:space="preserve"> period of time</w:t>
      </w:r>
      <w:r w:rsidR="004C49F0" w:rsidRPr="00794192">
        <w:t>.</w:t>
      </w:r>
      <w:r w:rsidR="00EA2E17" w:rsidRPr="00794192">
        <w:t xml:space="preserve"> </w:t>
      </w:r>
      <w:r w:rsidR="004C49F0" w:rsidRPr="00794192">
        <w:t xml:space="preserve">It </w:t>
      </w:r>
      <w:r w:rsidR="00EA2E17" w:rsidRPr="00794192">
        <w:t>requested information on</w:t>
      </w:r>
      <w:r w:rsidR="008634F0" w:rsidRPr="00794192">
        <w:t xml:space="preserve"> the</w:t>
      </w:r>
      <w:r w:rsidR="00EA2E17" w:rsidRPr="00794192">
        <w:t xml:space="preserve"> processes used </w:t>
      </w:r>
      <w:r w:rsidR="00D17731" w:rsidRPr="00794192">
        <w:t>to</w:t>
      </w:r>
      <w:r w:rsidR="00EA2E17" w:rsidRPr="00794192">
        <w:t xml:space="preserve"> track and manage outstanding and overdue </w:t>
      </w:r>
      <w:r w:rsidR="008634F0" w:rsidRPr="00794192">
        <w:t>Inspector</w:t>
      </w:r>
      <w:r w:rsidR="00D17731" w:rsidRPr="00794192">
        <w:t>-General</w:t>
      </w:r>
      <w:r w:rsidR="00EA2E17" w:rsidRPr="00794192">
        <w:t xml:space="preserve"> recommendations.</w:t>
      </w:r>
    </w:p>
    <w:p w14:paraId="300B87C0" w14:textId="542CE6E2" w:rsidR="00EA2E17" w:rsidRPr="001E7D68" w:rsidRDefault="00EA2E17" w:rsidP="001F4CE1">
      <w:pPr>
        <w:rPr>
          <w:sz w:val="22"/>
        </w:rPr>
      </w:pPr>
      <w:r w:rsidRPr="001F4CE1">
        <w:t xml:space="preserve">At its September 2021 meeting, </w:t>
      </w:r>
      <w:r w:rsidR="008634F0" w:rsidRPr="001F4CE1">
        <w:t xml:space="preserve">the </w:t>
      </w:r>
      <w:r w:rsidRPr="001F4CE1">
        <w:t xml:space="preserve">PAC resolved </w:t>
      </w:r>
      <w:r w:rsidR="004C49F0">
        <w:t xml:space="preserve">that </w:t>
      </w:r>
      <w:r w:rsidR="008634F0" w:rsidRPr="001F4CE1">
        <w:t>the</w:t>
      </w:r>
      <w:r w:rsidRPr="001F4CE1">
        <w:t xml:space="preserve"> </w:t>
      </w:r>
      <w:r w:rsidR="00635DE0" w:rsidRPr="001E7D68">
        <w:t>Biosecurity Strategy and Reform Division</w:t>
      </w:r>
      <w:r w:rsidR="00635DE0" w:rsidRPr="00346AF8" w:rsidDel="00635DE0">
        <w:t xml:space="preserve"> </w:t>
      </w:r>
      <w:r w:rsidR="004C49F0">
        <w:t xml:space="preserve">would </w:t>
      </w:r>
      <w:r w:rsidRPr="001F4CE1">
        <w:t xml:space="preserve">report </w:t>
      </w:r>
      <w:r w:rsidR="004C49F0" w:rsidRPr="001E7D68">
        <w:t>to the next PAC meeting</w:t>
      </w:r>
      <w:r w:rsidR="004C49F0">
        <w:t>,</w:t>
      </w:r>
      <w:r w:rsidR="004C49F0" w:rsidRPr="001E7D68">
        <w:t xml:space="preserve"> in December 2021</w:t>
      </w:r>
      <w:r w:rsidR="004C49F0">
        <w:t xml:space="preserve">, </w:t>
      </w:r>
      <w:r w:rsidRPr="001F4CE1">
        <w:t xml:space="preserve">on </w:t>
      </w:r>
      <w:r w:rsidR="00635DE0" w:rsidRPr="001F4CE1">
        <w:t xml:space="preserve">the </w:t>
      </w:r>
      <w:r w:rsidRPr="001F4CE1">
        <w:t xml:space="preserve">progress </w:t>
      </w:r>
      <w:r w:rsidR="004C49F0">
        <w:t xml:space="preserve">in </w:t>
      </w:r>
      <w:r w:rsidRPr="001F4CE1">
        <w:t xml:space="preserve">implementing recommendations </w:t>
      </w:r>
      <w:r w:rsidR="004C49F0">
        <w:t xml:space="preserve">of </w:t>
      </w:r>
      <w:r w:rsidRPr="001F4CE1">
        <w:t xml:space="preserve">the </w:t>
      </w:r>
      <w:r w:rsidR="00794192">
        <w:t xml:space="preserve">Inspector-General and those of the </w:t>
      </w:r>
      <w:r w:rsidRPr="001F4CE1">
        <w:t xml:space="preserve">ANAO performance audit </w:t>
      </w:r>
      <w:r w:rsidR="008634F0">
        <w:t xml:space="preserve">report </w:t>
      </w:r>
      <w:r w:rsidRPr="001F4CE1">
        <w:rPr>
          <w:rStyle w:val="Emphasis"/>
        </w:rPr>
        <w:t xml:space="preserve">Responding to </w:t>
      </w:r>
      <w:r w:rsidR="00C04548">
        <w:rPr>
          <w:rStyle w:val="Emphasis"/>
        </w:rPr>
        <w:t>n</w:t>
      </w:r>
      <w:r w:rsidRPr="001F4CE1">
        <w:rPr>
          <w:rStyle w:val="Emphasis"/>
        </w:rPr>
        <w:t>on-</w:t>
      </w:r>
      <w:r w:rsidR="00C04548">
        <w:rPr>
          <w:rStyle w:val="Emphasis"/>
        </w:rPr>
        <w:t>c</w:t>
      </w:r>
      <w:r w:rsidRPr="001F4CE1">
        <w:rPr>
          <w:rStyle w:val="Emphasis"/>
        </w:rPr>
        <w:t xml:space="preserve">ompliance with </w:t>
      </w:r>
      <w:r w:rsidR="00C04548">
        <w:rPr>
          <w:rStyle w:val="Emphasis"/>
        </w:rPr>
        <w:t>b</w:t>
      </w:r>
      <w:r w:rsidRPr="001F4CE1">
        <w:rPr>
          <w:rStyle w:val="Emphasis"/>
        </w:rPr>
        <w:t xml:space="preserve">iosecurity </w:t>
      </w:r>
      <w:r w:rsidR="00C04548">
        <w:rPr>
          <w:rStyle w:val="Emphasis"/>
        </w:rPr>
        <w:t>r</w:t>
      </w:r>
      <w:r w:rsidRPr="001F4CE1">
        <w:rPr>
          <w:rStyle w:val="Emphasis"/>
        </w:rPr>
        <w:t>equirements</w:t>
      </w:r>
      <w:r w:rsidRPr="001F4CE1">
        <w:t>.</w:t>
      </w:r>
    </w:p>
    <w:p w14:paraId="3E7222B0" w14:textId="77777777" w:rsidR="000F0CDB" w:rsidRPr="00595916" w:rsidRDefault="000F0CDB" w:rsidP="000F0CDB">
      <w:pPr>
        <w:pStyle w:val="Heading3"/>
        <w:rPr>
          <w:lang w:eastAsia="ja-JP"/>
        </w:rPr>
      </w:pPr>
      <w:bookmarkStart w:id="9" w:name="_Toc87543855"/>
      <w:r w:rsidRPr="00490A8D">
        <w:rPr>
          <w:lang w:eastAsia="ja-JP"/>
        </w:rPr>
        <w:lastRenderedPageBreak/>
        <w:t>Previous Inspectors-General reviews of the implementation of recommendations</w:t>
      </w:r>
      <w:bookmarkEnd w:id="9"/>
    </w:p>
    <w:p w14:paraId="50BCE1F5" w14:textId="45F945A4" w:rsidR="00257442" w:rsidRDefault="00257442" w:rsidP="00257442">
      <w:r>
        <w:t xml:space="preserve">It has been clear for some time that the department’s governance arrangements </w:t>
      </w:r>
      <w:r w:rsidR="00471CC5">
        <w:t xml:space="preserve">must </w:t>
      </w:r>
      <w:r>
        <w:t xml:space="preserve">be strengthened </w:t>
      </w:r>
      <w:r w:rsidR="00471CC5">
        <w:t xml:space="preserve">so that Inspector-General review recommendations can be implemented in an </w:t>
      </w:r>
      <w:r>
        <w:t xml:space="preserve">effective and timely </w:t>
      </w:r>
      <w:r w:rsidR="00471CC5">
        <w:t>way</w:t>
      </w:r>
      <w:r>
        <w:t>.</w:t>
      </w:r>
    </w:p>
    <w:p w14:paraId="724F70B5" w14:textId="2C0E3C1E" w:rsidR="000F0CDB" w:rsidRDefault="004C49F0" w:rsidP="000F0CDB">
      <w:r>
        <w:t>The former Interim Inspector-General and the former Inspector-General conducted 4 reviews on t</w:t>
      </w:r>
      <w:r w:rsidR="000F0CDB">
        <w:t>he</w:t>
      </w:r>
      <w:r w:rsidR="009920E1">
        <w:t xml:space="preserve"> implementation status</w:t>
      </w:r>
      <w:r w:rsidR="009920E1" w:rsidRPr="009920E1">
        <w:t xml:space="preserve"> of Inspectors-General recommendations</w:t>
      </w:r>
      <w:r>
        <w:t xml:space="preserve"> </w:t>
      </w:r>
      <w:r>
        <w:sym w:font="Symbol" w:char="F02D"/>
      </w:r>
      <w:r>
        <w:t xml:space="preserve"> </w:t>
      </w:r>
      <w:r w:rsidR="000F0CDB">
        <w:t>in 2019, 2018, 2016 and 2015 (IGB 2019; IGB 2018; IIGB 2016</w:t>
      </w:r>
      <w:r w:rsidR="0094484F">
        <w:t>;</w:t>
      </w:r>
      <w:r w:rsidR="000F0CDB">
        <w:t xml:space="preserve"> IIGB 2015).</w:t>
      </w:r>
      <w:r w:rsidR="00257442">
        <w:t xml:space="preserve"> </w:t>
      </w:r>
      <w:r w:rsidR="000F0CDB">
        <w:t>The former Inspector-General (IGB 2018</w:t>
      </w:r>
      <w:r w:rsidR="0094484F">
        <w:t>;</w:t>
      </w:r>
      <w:r w:rsidR="000F0CDB">
        <w:t xml:space="preserve"> IGB 2019) identified the need to streamline the department’s internal processes to better track the implementation of recommendations. The 2018 review (IGB 2018) recommended that:</w:t>
      </w:r>
    </w:p>
    <w:p w14:paraId="6CA3CFE1" w14:textId="7DABDD3F" w:rsidR="000F0CDB" w:rsidRPr="000D1692" w:rsidRDefault="000F0CDB" w:rsidP="000D1692">
      <w:pPr>
        <w:pStyle w:val="Quote"/>
      </w:pPr>
      <w:r w:rsidRPr="000D1692">
        <w:t>The department should streamline and improve internal transparency of processes for short- and long-term tracking of implementation of decisions and actions arising from IIGB [Interim Inspector-General] and IGB [Inspector-General] audits and reviews. It should also integrate them with processes for tracking responses to internal audits and ANAO [Australian National Audit Office] reviews.</w:t>
      </w:r>
      <w:r w:rsidRPr="00E43770">
        <w:t xml:space="preserve"> Risk owners should be responsible for entering and tracking actions against IGB review recommendations in departmental tracking systems. Progress should be visible to senior departmental risk managers, the IGB</w:t>
      </w:r>
      <w:r w:rsidRPr="000D1692">
        <w:t xml:space="preserve"> and other audit bodies as appropriate.</w:t>
      </w:r>
    </w:p>
    <w:p w14:paraId="636ADBF4" w14:textId="77777777" w:rsidR="000F0CDB" w:rsidRDefault="000F0CDB" w:rsidP="000F0CDB">
      <w:r>
        <w:t>The 2019 review (IGB 2019) recommended that:</w:t>
      </w:r>
    </w:p>
    <w:p w14:paraId="15850B2A" w14:textId="7348469B" w:rsidR="000F0CDB" w:rsidRPr="00E43770" w:rsidRDefault="000F0CDB" w:rsidP="000D1692">
      <w:pPr>
        <w:pStyle w:val="Quote"/>
      </w:pPr>
      <w:r w:rsidRPr="000D1692">
        <w:t>For each IGB [Inspector-General] review, the department should assign responsibility for oversight of outcomes, and documenting progress with implementation, to a specific position or section, with access to these records by other relevant sections, as well as periodic overall review by sen</w:t>
      </w:r>
      <w:r w:rsidRPr="00E43770">
        <w:t>ior management, IGB and other auditors.</w:t>
      </w:r>
    </w:p>
    <w:p w14:paraId="2C0A16D6" w14:textId="77777777" w:rsidR="000F0CDB" w:rsidRDefault="000F0CDB" w:rsidP="000F0CDB">
      <w:r>
        <w:t>As recently as 29 April 2021, the Inspector-General (IGB 2021) made a directly relevant recommendation:</w:t>
      </w:r>
    </w:p>
    <w:p w14:paraId="1A1ADBA6" w14:textId="77777777" w:rsidR="000F0CDB" w:rsidRPr="00E43770" w:rsidRDefault="000F0CDB" w:rsidP="000D1692">
      <w:pPr>
        <w:pStyle w:val="Quote"/>
      </w:pPr>
      <w:r w:rsidRPr="000D1692">
        <w:t>Agriculture should streamline and improve internal transparency of processes for short- and long-term tracking of implementation of decisions and actions arising from other audit and review processes (such as internal audits and Australian National Audit Office and Inspector-General of Biosecurity reviews).</w:t>
      </w:r>
    </w:p>
    <w:p w14:paraId="136922DC" w14:textId="39BD3F29" w:rsidR="000F0CDB" w:rsidRDefault="00257442" w:rsidP="000F0CDB">
      <w:r>
        <w:t xml:space="preserve">The 2021, 2019 and 2018 </w:t>
      </w:r>
      <w:r w:rsidR="000F0CDB">
        <w:t xml:space="preserve">reviews demonstrated </w:t>
      </w:r>
      <w:r w:rsidR="00471CC5">
        <w:t xml:space="preserve">the need </w:t>
      </w:r>
      <w:r w:rsidR="00794192">
        <w:t xml:space="preserve">to strengthen </w:t>
      </w:r>
      <w:r w:rsidR="000F0CDB">
        <w:t>the department’s governance arrangements for implementation of recommendations</w:t>
      </w:r>
      <w:r>
        <w:t xml:space="preserve">, and </w:t>
      </w:r>
      <w:r w:rsidR="000F0CDB">
        <w:t xml:space="preserve">identified ways to </w:t>
      </w:r>
      <w:r w:rsidR="00471CC5">
        <w:t>do this</w:t>
      </w:r>
      <w:r>
        <w:t xml:space="preserve">. </w:t>
      </w:r>
      <w:r w:rsidR="00392F26">
        <w:t xml:space="preserve">The reviews found </w:t>
      </w:r>
      <w:r>
        <w:t>that the department</w:t>
      </w:r>
      <w:r w:rsidR="00392F26">
        <w:t xml:space="preserve"> should</w:t>
      </w:r>
      <w:r>
        <w:t>:</w:t>
      </w:r>
    </w:p>
    <w:p w14:paraId="436B0433" w14:textId="2A041665" w:rsidR="000F0CDB" w:rsidRDefault="00257442" w:rsidP="000F0CDB">
      <w:pPr>
        <w:pStyle w:val="ListBullet"/>
        <w:numPr>
          <w:ilvl w:val="0"/>
          <w:numId w:val="1"/>
        </w:numPr>
      </w:pPr>
      <w:r>
        <w:t xml:space="preserve">create </w:t>
      </w:r>
      <w:r w:rsidR="000F0CDB">
        <w:t>clear responsibilities for implementing recommendations</w:t>
      </w:r>
      <w:r w:rsidR="00471CC5">
        <w:t xml:space="preserve"> </w:t>
      </w:r>
      <w:r w:rsidR="00471CC5">
        <w:sym w:font="Symbol" w:char="F02D"/>
      </w:r>
      <w:r w:rsidR="00471CC5">
        <w:t xml:space="preserve"> for example, responsibilities for </w:t>
      </w:r>
      <w:r w:rsidR="000F0CDB">
        <w:t>recording</w:t>
      </w:r>
      <w:r w:rsidR="00392F26">
        <w:t xml:space="preserve"> and progressing</w:t>
      </w:r>
      <w:r w:rsidR="000F0CDB">
        <w:t xml:space="preserve"> agreed decisions and actions related to recommendations and reviewing and oversight of the progress of implementation</w:t>
      </w:r>
    </w:p>
    <w:p w14:paraId="7B8CEDCB" w14:textId="79DBF090" w:rsidR="000F0CDB" w:rsidRDefault="000F0CDB" w:rsidP="000F0CDB">
      <w:pPr>
        <w:pStyle w:val="ListBullet"/>
        <w:numPr>
          <w:ilvl w:val="0"/>
          <w:numId w:val="1"/>
        </w:numPr>
      </w:pPr>
      <w:r>
        <w:t>manag</w:t>
      </w:r>
      <w:r w:rsidR="00257442">
        <w:t>e</w:t>
      </w:r>
      <w:r>
        <w:t xml:space="preserve"> the impact of departmental restructures and staff changes to ensure the division/section/position responsible for implementing recommendations and corporate knowledge is not lost</w:t>
      </w:r>
    </w:p>
    <w:p w14:paraId="688B79B5" w14:textId="3465A646" w:rsidR="000F0CDB" w:rsidRDefault="000F0CDB" w:rsidP="000F0CDB">
      <w:pPr>
        <w:pStyle w:val="ListBullet"/>
        <w:numPr>
          <w:ilvl w:val="0"/>
          <w:numId w:val="1"/>
        </w:numPr>
      </w:pPr>
      <w:r>
        <w:t>consider recommendations by review</w:t>
      </w:r>
      <w:r w:rsidR="00C04548">
        <w:t>,</w:t>
      </w:r>
      <w:r>
        <w:t xml:space="preserve"> rather than individually, to ensure that staff know how their individual actions contribute to the overall biosecurity outcomes</w:t>
      </w:r>
    </w:p>
    <w:p w14:paraId="49C9036C" w14:textId="53A676D1" w:rsidR="000F0CDB" w:rsidRDefault="00392F26" w:rsidP="000F0CDB">
      <w:pPr>
        <w:pStyle w:val="ListBullet"/>
        <w:numPr>
          <w:ilvl w:val="0"/>
          <w:numId w:val="1"/>
        </w:numPr>
      </w:pPr>
      <w:r>
        <w:t xml:space="preserve">establish </w:t>
      </w:r>
      <w:r w:rsidR="000F0CDB">
        <w:t>Planning Hub</w:t>
      </w:r>
      <w:r>
        <w:t xml:space="preserve"> as a</w:t>
      </w:r>
      <w:r w:rsidR="00762469">
        <w:t>n</w:t>
      </w:r>
      <w:r>
        <w:t xml:space="preserve"> </w:t>
      </w:r>
      <w:r w:rsidR="00180118">
        <w:t xml:space="preserve">easier-to-use </w:t>
      </w:r>
      <w:r>
        <w:t>tool that would</w:t>
      </w:r>
      <w:r w:rsidR="000F0CDB">
        <w:t xml:space="preserve"> provide governance support and performance oversight</w:t>
      </w:r>
    </w:p>
    <w:p w14:paraId="3F952AF0" w14:textId="1D9A3636" w:rsidR="000F0CDB" w:rsidRPr="00794192" w:rsidRDefault="000F0CDB" w:rsidP="000F0CDB">
      <w:pPr>
        <w:pStyle w:val="ListBullet"/>
        <w:numPr>
          <w:ilvl w:val="0"/>
          <w:numId w:val="1"/>
        </w:numPr>
      </w:pPr>
      <w:r w:rsidRPr="00794192">
        <w:t>integrat</w:t>
      </w:r>
      <w:r w:rsidR="00257442" w:rsidRPr="00794192">
        <w:t>e</w:t>
      </w:r>
      <w:r w:rsidRPr="00794192">
        <w:t xml:space="preserve"> the oversight of the implementation of Inspectors-General recommendations with other departmental audit and review processes (such as ANAO and internal audits)</w:t>
      </w:r>
    </w:p>
    <w:p w14:paraId="589D17D2" w14:textId="33E78F89" w:rsidR="000F0CDB" w:rsidRDefault="000F0CDB" w:rsidP="000F0CDB">
      <w:pPr>
        <w:pStyle w:val="ListBullet"/>
        <w:numPr>
          <w:ilvl w:val="0"/>
          <w:numId w:val="1"/>
        </w:numPr>
      </w:pPr>
      <w:r>
        <w:lastRenderedPageBreak/>
        <w:t>improv</w:t>
      </w:r>
      <w:r w:rsidR="00257442">
        <w:t>e</w:t>
      </w:r>
      <w:r>
        <w:t xml:space="preserve"> the department’s processes </w:t>
      </w:r>
      <w:r w:rsidR="00257442">
        <w:t xml:space="preserve">so that </w:t>
      </w:r>
      <w:r>
        <w:t xml:space="preserve">the implementation of review recommendations </w:t>
      </w:r>
      <w:r w:rsidR="00471CC5">
        <w:t xml:space="preserve">can </w:t>
      </w:r>
      <w:r w:rsidR="00257442">
        <w:t xml:space="preserve">be tracked </w:t>
      </w:r>
      <w:r>
        <w:t>over time</w:t>
      </w:r>
    </w:p>
    <w:p w14:paraId="1DA7BCF1" w14:textId="506755E9" w:rsidR="000F0CDB" w:rsidRPr="0094484F" w:rsidRDefault="000A5890" w:rsidP="000F0CDB">
      <w:pPr>
        <w:pStyle w:val="ListBullet"/>
        <w:numPr>
          <w:ilvl w:val="0"/>
          <w:numId w:val="1"/>
        </w:numPr>
      </w:pPr>
      <w:r>
        <w:t xml:space="preserve">ensure that </w:t>
      </w:r>
      <w:r w:rsidR="00257442" w:rsidRPr="0094484F">
        <w:t xml:space="preserve">where several </w:t>
      </w:r>
      <w:r w:rsidR="000F0CDB" w:rsidRPr="0094484F">
        <w:t xml:space="preserve">divisions </w:t>
      </w:r>
      <w:r w:rsidR="00257442" w:rsidRPr="0094484F">
        <w:t xml:space="preserve">are </w:t>
      </w:r>
      <w:r w:rsidR="00C227D0">
        <w:t>responsible for</w:t>
      </w:r>
      <w:r w:rsidR="00257442" w:rsidRPr="0094484F">
        <w:t xml:space="preserve"> implementing recommendations </w:t>
      </w:r>
      <w:r w:rsidR="000F0CDB" w:rsidRPr="0094484F">
        <w:t xml:space="preserve">from the same review, </w:t>
      </w:r>
      <w:r w:rsidR="0094484F" w:rsidRPr="0094484F">
        <w:t>create</w:t>
      </w:r>
      <w:r>
        <w:t xml:space="preserve"> </w:t>
      </w:r>
      <w:r w:rsidR="00C227D0">
        <w:t>increase</w:t>
      </w:r>
      <w:r w:rsidR="0094484F" w:rsidRPr="0094484F">
        <w:t xml:space="preserve"> visibility so that </w:t>
      </w:r>
      <w:r w:rsidR="000F0CDB" w:rsidRPr="0094484F">
        <w:t>each division is aware of what other divisions are doing</w:t>
      </w:r>
    </w:p>
    <w:p w14:paraId="4708215F" w14:textId="6EE3D3A7" w:rsidR="000F0CDB" w:rsidRDefault="00257442" w:rsidP="000F0CDB">
      <w:pPr>
        <w:pStyle w:val="ListBullet"/>
        <w:numPr>
          <w:ilvl w:val="0"/>
          <w:numId w:val="1"/>
        </w:numPr>
      </w:pPr>
      <w:r>
        <w:t xml:space="preserve">ensure that </w:t>
      </w:r>
      <w:r w:rsidR="000F0CDB">
        <w:t xml:space="preserve">one division/section/position </w:t>
      </w:r>
      <w:r>
        <w:t xml:space="preserve">is responsible for overseeing </w:t>
      </w:r>
      <w:r w:rsidR="000F0CDB">
        <w:t>progress of the implementation of recommendations from a specific review</w:t>
      </w:r>
    </w:p>
    <w:p w14:paraId="1DF51FB7" w14:textId="12B5BC65" w:rsidR="000F0CDB" w:rsidRPr="00794192" w:rsidRDefault="000F0CDB" w:rsidP="000F0CDB">
      <w:pPr>
        <w:pStyle w:val="ListBullet"/>
        <w:numPr>
          <w:ilvl w:val="0"/>
          <w:numId w:val="1"/>
        </w:numPr>
      </w:pPr>
      <w:r w:rsidRPr="00794192">
        <w:t xml:space="preserve">record recommendations as ‘closed’ only when the department has evidence that </w:t>
      </w:r>
      <w:r w:rsidR="00257442" w:rsidRPr="00794192">
        <w:t xml:space="preserve">the recommendation has been </w:t>
      </w:r>
      <w:r w:rsidRPr="00794192">
        <w:t>implement</w:t>
      </w:r>
      <w:r w:rsidR="00257442" w:rsidRPr="00794192">
        <w:t>ed</w:t>
      </w:r>
      <w:r w:rsidRPr="00794192">
        <w:t xml:space="preserve"> </w:t>
      </w:r>
      <w:r w:rsidR="00257442" w:rsidRPr="00794192">
        <w:t xml:space="preserve">in line with </w:t>
      </w:r>
      <w:r w:rsidRPr="00794192">
        <w:t>the envisaged outcomes</w:t>
      </w:r>
      <w:r w:rsidR="00257442" w:rsidRPr="00794192">
        <w:t xml:space="preserve"> </w:t>
      </w:r>
      <w:r w:rsidR="00471CC5" w:rsidRPr="00794192">
        <w:sym w:font="Symbol" w:char="F02D"/>
      </w:r>
      <w:r w:rsidR="00471CC5" w:rsidRPr="00794192">
        <w:t xml:space="preserve"> not </w:t>
      </w:r>
      <w:r w:rsidRPr="00794192">
        <w:t>when an intent or process to implement them has been proposed</w:t>
      </w:r>
    </w:p>
    <w:p w14:paraId="5FCE8007" w14:textId="2EA095B5" w:rsidR="000F0CDB" w:rsidRPr="00794192" w:rsidRDefault="000F0CDB" w:rsidP="000F0CDB">
      <w:pPr>
        <w:pStyle w:val="ListBullet"/>
        <w:numPr>
          <w:ilvl w:val="0"/>
          <w:numId w:val="1"/>
        </w:numPr>
      </w:pPr>
      <w:r w:rsidRPr="00794192">
        <w:t>periodic</w:t>
      </w:r>
      <w:r w:rsidR="00257442" w:rsidRPr="00794192">
        <w:t>ally</w:t>
      </w:r>
      <w:r w:rsidRPr="00794192">
        <w:t xml:space="preserve"> review the implementation of recommendations</w:t>
      </w:r>
      <w:r w:rsidR="00257442" w:rsidRPr="00794192">
        <w:t>,</w:t>
      </w:r>
      <w:r w:rsidRPr="00794192">
        <w:t xml:space="preserve"> including those that need to be implemented </w:t>
      </w:r>
      <w:r w:rsidR="00257442" w:rsidRPr="00D112DD">
        <w:t xml:space="preserve">in stages or over a longer </w:t>
      </w:r>
      <w:r w:rsidRPr="00794192">
        <w:t xml:space="preserve">term or </w:t>
      </w:r>
      <w:r w:rsidR="00257442" w:rsidRPr="00D112DD">
        <w:t xml:space="preserve">that need to be </w:t>
      </w:r>
      <w:r w:rsidRPr="00794192">
        <w:t>modified over time.</w:t>
      </w:r>
    </w:p>
    <w:p w14:paraId="10127080" w14:textId="6951ADC2" w:rsidR="000F0CDB" w:rsidRDefault="000F0CDB" w:rsidP="000F0CDB">
      <w:r>
        <w:t xml:space="preserve">The Inspector-General concurs with predecessors’ </w:t>
      </w:r>
      <w:r w:rsidR="00F14A75">
        <w:t>sugges</w:t>
      </w:r>
      <w:r>
        <w:t>tions</w:t>
      </w:r>
      <w:r w:rsidR="001E705A">
        <w:t>, which would have strengthened the department’s governance arrangements if they were implemented. The Inspector-General</w:t>
      </w:r>
      <w:r>
        <w:t xml:space="preserve"> has expressed frustration to departmental senior managers that it has been necessary to produce </w:t>
      </w:r>
      <w:r w:rsidR="0094484F">
        <w:t>a</w:t>
      </w:r>
      <w:r w:rsidR="001E705A">
        <w:t xml:space="preserve"> fifth</w:t>
      </w:r>
      <w:r>
        <w:t xml:space="preserve"> review report </w:t>
      </w:r>
      <w:r w:rsidR="00471CC5">
        <w:t>on this subject</w:t>
      </w:r>
      <w:r>
        <w:t>.</w:t>
      </w:r>
    </w:p>
    <w:p w14:paraId="02D181F1" w14:textId="06786D5D" w:rsidR="000F0CDB" w:rsidRPr="00595916" w:rsidRDefault="00471CC5" w:rsidP="00CE120A">
      <w:r>
        <w:t xml:space="preserve">To improve </w:t>
      </w:r>
      <w:r w:rsidR="00794192">
        <w:t>management of implementation</w:t>
      </w:r>
      <w:r>
        <w:t xml:space="preserve">, </w:t>
      </w:r>
      <w:r w:rsidR="000F0CDB">
        <w:t>oversight of</w:t>
      </w:r>
      <w:r w:rsidR="00C227D0">
        <w:t xml:space="preserve"> Inspector-General</w:t>
      </w:r>
      <w:r w:rsidR="000F0CDB">
        <w:t xml:space="preserve"> recommendations </w:t>
      </w:r>
      <w:r>
        <w:t xml:space="preserve">must be integrated </w:t>
      </w:r>
      <w:r w:rsidR="000F0CDB">
        <w:t>into the department’s existing</w:t>
      </w:r>
      <w:r w:rsidR="001E705A">
        <w:t xml:space="preserve"> governance</w:t>
      </w:r>
      <w:r w:rsidR="000F0CDB">
        <w:t xml:space="preserve"> processes. </w:t>
      </w:r>
      <w:r>
        <w:t>M</w:t>
      </w:r>
      <w:r w:rsidR="000F0CDB">
        <w:t xml:space="preserve">anagers and staff </w:t>
      </w:r>
      <w:r>
        <w:t xml:space="preserve">who are </w:t>
      </w:r>
      <w:r w:rsidR="000F0CDB">
        <w:t xml:space="preserve">responsible for implementing recommendations </w:t>
      </w:r>
      <w:r>
        <w:t xml:space="preserve">must </w:t>
      </w:r>
      <w:r w:rsidR="00C227D0">
        <w:t>provide assurance</w:t>
      </w:r>
      <w:r>
        <w:t xml:space="preserve"> </w:t>
      </w:r>
      <w:r w:rsidR="000F0CDB">
        <w:t xml:space="preserve">that recommendations are closed </w:t>
      </w:r>
      <w:r>
        <w:t xml:space="preserve">only after </w:t>
      </w:r>
      <w:r w:rsidR="000F0CDB">
        <w:t>they have been implemented, the issues identified in the review have been addressed and evidence of the implementation has been provided to the responsible First Assistant Secretary.</w:t>
      </w:r>
    </w:p>
    <w:p w14:paraId="4F5A22ED" w14:textId="2A206259" w:rsidR="00D57507" w:rsidRPr="00595916" w:rsidRDefault="000F0CDB" w:rsidP="00037A8F">
      <w:pPr>
        <w:pStyle w:val="Heading2"/>
      </w:pPr>
      <w:bookmarkStart w:id="10" w:name="_Toc80800475"/>
      <w:bookmarkStart w:id="11" w:name="_Toc87543856"/>
      <w:r>
        <w:lastRenderedPageBreak/>
        <w:t>Current review: an</w:t>
      </w:r>
      <w:r w:rsidR="00315143">
        <w:t xml:space="preserve"> </w:t>
      </w:r>
      <w:r>
        <w:t>a</w:t>
      </w:r>
      <w:r w:rsidR="00A45505">
        <w:t>udit</w:t>
      </w:r>
      <w:r w:rsidR="00490A8D" w:rsidRPr="00490A8D">
        <w:t xml:space="preserve"> of implementation of </w:t>
      </w:r>
      <w:r w:rsidR="00A45505">
        <w:t xml:space="preserve">past </w:t>
      </w:r>
      <w:r w:rsidR="00490A8D" w:rsidRPr="00490A8D">
        <w:t>Inspectors-General recommendations</w:t>
      </w:r>
      <w:bookmarkEnd w:id="10"/>
      <w:bookmarkEnd w:id="11"/>
    </w:p>
    <w:p w14:paraId="7C567B6D" w14:textId="77777777" w:rsidR="000F0CDB" w:rsidRPr="00595916" w:rsidRDefault="000F0CDB" w:rsidP="000F0CDB">
      <w:pPr>
        <w:pStyle w:val="Heading3"/>
      </w:pPr>
      <w:bookmarkStart w:id="12" w:name="_Toc87543857"/>
      <w:r w:rsidRPr="00595916">
        <w:t>Purpose</w:t>
      </w:r>
      <w:bookmarkEnd w:id="12"/>
    </w:p>
    <w:p w14:paraId="1CC9F179" w14:textId="0E1A61A3" w:rsidR="000F0CDB" w:rsidRPr="00595916" w:rsidRDefault="000F0CDB" w:rsidP="000F0CDB">
      <w:r w:rsidRPr="00D6291B">
        <w:t>The purpose of this review</w:t>
      </w:r>
      <w:r w:rsidR="006D5474">
        <w:t xml:space="preserve"> was to</w:t>
      </w:r>
      <w:r w:rsidRPr="00D6291B">
        <w:t xml:space="preserve"> assess how the </w:t>
      </w:r>
      <w:r w:rsidR="006D5474">
        <w:t>department</w:t>
      </w:r>
      <w:r w:rsidRPr="00D6291B">
        <w:t xml:space="preserve"> ensures that Interim Inspector-General and Inspector-General review findings and recommendations are used to strengthen Australia’s biosecurity system</w:t>
      </w:r>
      <w:r>
        <w:t>.</w:t>
      </w:r>
    </w:p>
    <w:p w14:paraId="0A415F97" w14:textId="77777777" w:rsidR="000F0CDB" w:rsidRPr="00595916" w:rsidRDefault="000F0CDB" w:rsidP="000F0CDB">
      <w:pPr>
        <w:pStyle w:val="Heading3"/>
      </w:pPr>
      <w:bookmarkStart w:id="13" w:name="_Toc87543858"/>
      <w:r w:rsidRPr="00595916">
        <w:t>Scope</w:t>
      </w:r>
      <w:bookmarkEnd w:id="13"/>
    </w:p>
    <w:p w14:paraId="08FCD2EA" w14:textId="4885FEC2" w:rsidR="000F0CDB" w:rsidRDefault="000F0CDB" w:rsidP="000F0CDB">
      <w:r>
        <w:t>The</w:t>
      </w:r>
      <w:r w:rsidR="009920E1">
        <w:t xml:space="preserve"> current</w:t>
      </w:r>
      <w:r>
        <w:t xml:space="preserve"> review examined the department’s performance in implementing recommendations </w:t>
      </w:r>
      <w:r w:rsidR="006635C6">
        <w:t xml:space="preserve">of </w:t>
      </w:r>
      <w:r w:rsidR="00231CCB">
        <w:t>15</w:t>
      </w:r>
      <w:r>
        <w:t xml:space="preserve"> Inspectors-General reviews completed between</w:t>
      </w:r>
      <w:r w:rsidR="0063014B">
        <w:t xml:space="preserve"> </w:t>
      </w:r>
      <w:r w:rsidR="00A74E6F" w:rsidRPr="00A74E6F">
        <w:t>3 May 2016 and 28 February 2021</w:t>
      </w:r>
      <w:r>
        <w:t>.</w:t>
      </w:r>
    </w:p>
    <w:p w14:paraId="6634112E" w14:textId="77777777" w:rsidR="000F0CDB" w:rsidRDefault="000F0CDB" w:rsidP="000F0CDB">
      <w:r>
        <w:t>The review considered:</w:t>
      </w:r>
    </w:p>
    <w:p w14:paraId="7683F80F" w14:textId="068D51A6" w:rsidR="000F0CDB" w:rsidRDefault="000F0CDB" w:rsidP="000F0CDB">
      <w:pPr>
        <w:pStyle w:val="ListBullet"/>
        <w:numPr>
          <w:ilvl w:val="0"/>
          <w:numId w:val="1"/>
        </w:numPr>
      </w:pPr>
      <w:r>
        <w:t>the department</w:t>
      </w:r>
      <w:r w:rsidR="00835C5C">
        <w:t>’s</w:t>
      </w:r>
      <w:r>
        <w:t xml:space="preserve"> </w:t>
      </w:r>
      <w:r w:rsidRPr="0094484F">
        <w:t xml:space="preserve">governance </w:t>
      </w:r>
      <w:r w:rsidR="00835C5C" w:rsidRPr="0094484F">
        <w:t xml:space="preserve">systems </w:t>
      </w:r>
      <w:r w:rsidRPr="0094484F">
        <w:t>and processes</w:t>
      </w:r>
      <w:r>
        <w:t xml:space="preserve"> for ensuring that Inspectors-General review recommendations </w:t>
      </w:r>
      <w:r w:rsidR="00835C5C">
        <w:t>have been implemented appropriately</w:t>
      </w:r>
    </w:p>
    <w:p w14:paraId="3FD05C4C" w14:textId="77777777" w:rsidR="000F0CDB" w:rsidRPr="0094484F" w:rsidRDefault="000F0CDB" w:rsidP="000F0CDB">
      <w:pPr>
        <w:pStyle w:val="ListBullet"/>
        <w:numPr>
          <w:ilvl w:val="0"/>
          <w:numId w:val="1"/>
        </w:numPr>
      </w:pPr>
      <w:r w:rsidRPr="0094484F">
        <w:t>the completed and open review recommendations</w:t>
      </w:r>
    </w:p>
    <w:p w14:paraId="3771AB66" w14:textId="7681EFFE" w:rsidR="000F0CDB" w:rsidRDefault="000F0CDB" w:rsidP="000F0CDB">
      <w:pPr>
        <w:pStyle w:val="ListBullet"/>
        <w:numPr>
          <w:ilvl w:val="0"/>
          <w:numId w:val="1"/>
        </w:numPr>
      </w:pPr>
      <w:r>
        <w:t>how the department ensures that wider lessons from</w:t>
      </w:r>
      <w:r w:rsidR="0063014B">
        <w:t xml:space="preserve"> </w:t>
      </w:r>
      <w:r w:rsidR="005C3E74">
        <w:t>the</w:t>
      </w:r>
      <w:r>
        <w:t xml:space="preserve"> reviews inform ongoing reform and improvements of Australia’s biosecurity system.</w:t>
      </w:r>
    </w:p>
    <w:p w14:paraId="1EC92F17" w14:textId="77777777" w:rsidR="000F0CDB" w:rsidRDefault="000F0CDB" w:rsidP="000F0CDB">
      <w:r>
        <w:t>The review did not examine:</w:t>
      </w:r>
    </w:p>
    <w:p w14:paraId="27204053" w14:textId="5C162A8C" w:rsidR="000F0CDB" w:rsidRDefault="000F0CDB" w:rsidP="000F0CDB">
      <w:pPr>
        <w:pStyle w:val="ListBullet"/>
        <w:numPr>
          <w:ilvl w:val="0"/>
          <w:numId w:val="1"/>
        </w:numPr>
      </w:pPr>
      <w:r>
        <w:t xml:space="preserve">implementation of recommendations in Interim Inspectors-General </w:t>
      </w:r>
      <w:r w:rsidR="00794192">
        <w:t xml:space="preserve">review </w:t>
      </w:r>
      <w:r>
        <w:t>reports completed between April 2009 and June 2015</w:t>
      </w:r>
    </w:p>
    <w:p w14:paraId="1B50881F" w14:textId="596B11E7" w:rsidR="000F0CDB" w:rsidRDefault="000F0CDB" w:rsidP="000F0CDB">
      <w:pPr>
        <w:pStyle w:val="ListBullet"/>
        <w:numPr>
          <w:ilvl w:val="0"/>
          <w:numId w:val="1"/>
        </w:numPr>
      </w:pPr>
      <w:r>
        <w:t>government policies that may have affected implementation of recommendations</w:t>
      </w:r>
    </w:p>
    <w:p w14:paraId="3FCF61AD" w14:textId="05757833" w:rsidR="000D2727" w:rsidRDefault="000D2727" w:rsidP="000D2727">
      <w:pPr>
        <w:pStyle w:val="ListBullet"/>
      </w:pPr>
      <w:r>
        <w:t xml:space="preserve">former Interim Inspector-General review reports that described areas for improvement </w:t>
      </w:r>
      <w:r w:rsidR="00835C5C">
        <w:t xml:space="preserve">but </w:t>
      </w:r>
      <w:r>
        <w:t>had no specific recommendations:</w:t>
      </w:r>
    </w:p>
    <w:p w14:paraId="11E310CD" w14:textId="77777777" w:rsidR="000D2727" w:rsidRPr="00490A8D" w:rsidRDefault="000D2727" w:rsidP="000D2727">
      <w:pPr>
        <w:pStyle w:val="ListBullet2"/>
        <w:rPr>
          <w:rStyle w:val="Emphasis"/>
        </w:rPr>
      </w:pPr>
      <w:r w:rsidRPr="00490A8D">
        <w:rPr>
          <w:rStyle w:val="Emphasis"/>
        </w:rPr>
        <w:t>Management of biosecurity risks associated with transhipped ships stores</w:t>
      </w:r>
    </w:p>
    <w:p w14:paraId="4F0851FA" w14:textId="7F8DFC77" w:rsidR="000D2727" w:rsidRPr="00490A8D" w:rsidRDefault="000D2727" w:rsidP="000D2727">
      <w:pPr>
        <w:pStyle w:val="ListBullet2"/>
        <w:rPr>
          <w:rStyle w:val="Emphasis"/>
        </w:rPr>
      </w:pPr>
      <w:r w:rsidRPr="00490A8D">
        <w:rPr>
          <w:rStyle w:val="Emphasis"/>
        </w:rPr>
        <w:t>Implementation of previous Interim Inspector-General of Biosecurity recommendations</w:t>
      </w:r>
      <w:r w:rsidR="00C04548">
        <w:rPr>
          <w:rStyle w:val="Emphasis"/>
        </w:rPr>
        <w:t xml:space="preserve"> </w:t>
      </w:r>
      <w:r w:rsidR="00835C5C">
        <w:rPr>
          <w:rStyle w:val="Emphasis"/>
        </w:rPr>
        <w:sym w:font="Symbol" w:char="F02D"/>
      </w:r>
      <w:r w:rsidR="00C04548">
        <w:rPr>
          <w:rStyle w:val="Emphasis"/>
        </w:rPr>
        <w:t xml:space="preserve"> r</w:t>
      </w:r>
      <w:r w:rsidRPr="00490A8D">
        <w:rPr>
          <w:rStyle w:val="Emphasis"/>
        </w:rPr>
        <w:t>eview April 2016</w:t>
      </w:r>
    </w:p>
    <w:p w14:paraId="0D3DC4EE" w14:textId="77777777" w:rsidR="000D2727" w:rsidRPr="00490A8D" w:rsidRDefault="000D2727" w:rsidP="000D2727">
      <w:pPr>
        <w:pStyle w:val="ListBullet2"/>
        <w:rPr>
          <w:rStyle w:val="Emphasis"/>
        </w:rPr>
      </w:pPr>
      <w:r w:rsidRPr="00490A8D">
        <w:rPr>
          <w:rStyle w:val="Emphasis"/>
        </w:rPr>
        <w:t>Horse imports: management of biosecurity risks July to December 2015</w:t>
      </w:r>
    </w:p>
    <w:p w14:paraId="15B8A186" w14:textId="77777777" w:rsidR="000D2727" w:rsidRPr="00490A8D" w:rsidRDefault="000D2727" w:rsidP="000D2727">
      <w:pPr>
        <w:pStyle w:val="ListBullet2"/>
        <w:rPr>
          <w:rStyle w:val="Emphasis"/>
        </w:rPr>
      </w:pPr>
      <w:r w:rsidRPr="00490A8D">
        <w:rPr>
          <w:rStyle w:val="Emphasis"/>
        </w:rPr>
        <w:t>Horse imports: management of biosecurity risks January to June 2015</w:t>
      </w:r>
    </w:p>
    <w:p w14:paraId="67195AF5" w14:textId="77777777" w:rsidR="000D2727" w:rsidRDefault="000D2727" w:rsidP="000D2727">
      <w:pPr>
        <w:pStyle w:val="ListBullet2"/>
      </w:pPr>
      <w:r w:rsidRPr="00490A8D">
        <w:rPr>
          <w:rStyle w:val="Emphasis"/>
        </w:rPr>
        <w:t>Implementation of previous Interim Inspector-General of Biosecurity recommendations (2014‒15)</w:t>
      </w:r>
      <w:r>
        <w:t>.</w:t>
      </w:r>
    </w:p>
    <w:p w14:paraId="52C35B92" w14:textId="051B5FF0" w:rsidR="000D2727" w:rsidRDefault="000D2727" w:rsidP="000D2727">
      <w:pPr>
        <w:pStyle w:val="ListBullet"/>
      </w:pPr>
      <w:r>
        <w:t>former Interim Inspector-General review report recommendations that were closed by the former Inspector-General:</w:t>
      </w:r>
    </w:p>
    <w:p w14:paraId="2B9CBF77" w14:textId="77777777" w:rsidR="000D2727" w:rsidRPr="00490A8D" w:rsidRDefault="000D2727" w:rsidP="000D2727">
      <w:pPr>
        <w:pStyle w:val="ListBullet2"/>
        <w:rPr>
          <w:rStyle w:val="Emphasis"/>
        </w:rPr>
      </w:pPr>
      <w:r w:rsidRPr="00490A8D">
        <w:rPr>
          <w:rStyle w:val="Emphasis"/>
        </w:rPr>
        <w:t>Management of biosecurity risks associated with timber packaging and dunnage</w:t>
      </w:r>
    </w:p>
    <w:p w14:paraId="376A0063" w14:textId="77777777" w:rsidR="000D2727" w:rsidRDefault="000D2727" w:rsidP="000D2727">
      <w:pPr>
        <w:pStyle w:val="ListBullet2"/>
      </w:pPr>
      <w:r w:rsidRPr="00490A8D">
        <w:rPr>
          <w:rStyle w:val="Emphasis"/>
        </w:rPr>
        <w:t>Effectiveness of biosecurity controls for importation of natural sausage casings</w:t>
      </w:r>
      <w:r>
        <w:t>.</w:t>
      </w:r>
    </w:p>
    <w:p w14:paraId="7B82CA2D" w14:textId="77777777" w:rsidR="000F0CDB" w:rsidRPr="00595916" w:rsidRDefault="000F0CDB" w:rsidP="000F0CDB">
      <w:pPr>
        <w:pStyle w:val="Heading3"/>
      </w:pPr>
      <w:bookmarkStart w:id="14" w:name="_Toc87543859"/>
      <w:r w:rsidRPr="00595916">
        <w:lastRenderedPageBreak/>
        <w:t>Review methodology</w:t>
      </w:r>
      <w:bookmarkEnd w:id="14"/>
    </w:p>
    <w:p w14:paraId="63931409" w14:textId="4E969A15" w:rsidR="000F0CDB" w:rsidRDefault="000F0CDB" w:rsidP="000F0CDB">
      <w:r>
        <w:t>During the review, the Inspector-General consulted extensively within the department</w:t>
      </w:r>
      <w:r w:rsidR="00835C5C">
        <w:t>.</w:t>
      </w:r>
      <w:r>
        <w:t xml:space="preserve"> </w:t>
      </w:r>
      <w:r w:rsidR="00835C5C">
        <w:t>The Inspector-General also</w:t>
      </w:r>
      <w:r>
        <w:t>:</w:t>
      </w:r>
    </w:p>
    <w:p w14:paraId="4707BB18" w14:textId="580E2293" w:rsidR="002D719E" w:rsidRPr="00A45D86" w:rsidRDefault="00835C5C" w:rsidP="00A45D86">
      <w:pPr>
        <w:pStyle w:val="ListBullet"/>
      </w:pPr>
      <w:r>
        <w:t xml:space="preserve">met </w:t>
      </w:r>
      <w:r w:rsidR="002D719E" w:rsidRPr="00A45D86">
        <w:t xml:space="preserve">with </w:t>
      </w:r>
      <w:r w:rsidR="0094484F">
        <w:t>b</w:t>
      </w:r>
      <w:r w:rsidR="002D719E" w:rsidRPr="00A45D86">
        <w:t xml:space="preserve">iosecurity division executives in June 2021 to </w:t>
      </w:r>
      <w:r w:rsidR="00641720" w:rsidRPr="00A45D86">
        <w:t xml:space="preserve">discuss the implementation status of review </w:t>
      </w:r>
      <w:r w:rsidR="002D719E" w:rsidRPr="00A45D86">
        <w:t>recommendations</w:t>
      </w:r>
      <w:r w:rsidR="00C04548">
        <w:t xml:space="preserve"> and </w:t>
      </w:r>
      <w:r w:rsidR="002D719E" w:rsidRPr="00A45D86">
        <w:t xml:space="preserve">identify impediments and </w:t>
      </w:r>
      <w:r w:rsidR="00683E4C" w:rsidRPr="00A45D86">
        <w:t xml:space="preserve">areas requiring </w:t>
      </w:r>
      <w:r w:rsidR="002D719E" w:rsidRPr="00A45D86">
        <w:t>improvement</w:t>
      </w:r>
    </w:p>
    <w:p w14:paraId="0EA1703F" w14:textId="7E7086A0" w:rsidR="002D719E" w:rsidRPr="0094484F" w:rsidRDefault="002D719E" w:rsidP="00A45D86">
      <w:pPr>
        <w:pStyle w:val="ListBullet"/>
      </w:pPr>
      <w:r w:rsidRPr="00A45D86">
        <w:t>analys</w:t>
      </w:r>
      <w:r w:rsidR="00835C5C">
        <w:t>ed</w:t>
      </w:r>
      <w:r w:rsidRPr="00A45D86">
        <w:t xml:space="preserve"> the previous Inspectors-General reviews o</w:t>
      </w:r>
      <w:r w:rsidR="00683E4C" w:rsidRPr="00A45D86">
        <w:t>n</w:t>
      </w:r>
      <w:r w:rsidRPr="00A45D86">
        <w:t xml:space="preserve"> the implementation of recommendations </w:t>
      </w:r>
      <w:r w:rsidR="00794192">
        <w:t xml:space="preserve">so that </w:t>
      </w:r>
      <w:r w:rsidRPr="0094484F">
        <w:t>common</w:t>
      </w:r>
      <w:r w:rsidR="00683E4C" w:rsidRPr="0094484F">
        <w:t xml:space="preserve">alities in </w:t>
      </w:r>
      <w:r w:rsidR="00794192" w:rsidRPr="0021111A">
        <w:t xml:space="preserve">the </w:t>
      </w:r>
      <w:r w:rsidRPr="0094484F">
        <w:t xml:space="preserve">department’s performance </w:t>
      </w:r>
      <w:r w:rsidR="00794192" w:rsidRPr="0021111A">
        <w:t xml:space="preserve">in </w:t>
      </w:r>
      <w:r w:rsidRPr="0094484F">
        <w:t>implement</w:t>
      </w:r>
      <w:r w:rsidR="00794192" w:rsidRPr="0021111A">
        <w:t>ing</w:t>
      </w:r>
      <w:r w:rsidRPr="0094484F">
        <w:t xml:space="preserve"> recommendations</w:t>
      </w:r>
      <w:r w:rsidR="00794192" w:rsidRPr="0094484F">
        <w:t xml:space="preserve"> could be identified</w:t>
      </w:r>
    </w:p>
    <w:p w14:paraId="625BE345" w14:textId="45730CB7" w:rsidR="002D719E" w:rsidRPr="00A45D86" w:rsidRDefault="002D719E" w:rsidP="00A45D86">
      <w:pPr>
        <w:pStyle w:val="ListBullet"/>
      </w:pPr>
      <w:r w:rsidRPr="00A45D86">
        <w:t>review</w:t>
      </w:r>
      <w:r w:rsidR="00835C5C">
        <w:t>ed</w:t>
      </w:r>
      <w:r w:rsidRPr="00A45D86">
        <w:t xml:space="preserve"> the governance and performance oversight </w:t>
      </w:r>
      <w:r w:rsidR="00835C5C">
        <w:t xml:space="preserve">arrangements for </w:t>
      </w:r>
      <w:r w:rsidRPr="00A45D86">
        <w:t>the implementation of recommendations</w:t>
      </w:r>
    </w:p>
    <w:p w14:paraId="7A2ACBB8" w14:textId="2885ECCF" w:rsidR="002D719E" w:rsidRPr="00A45D86" w:rsidRDefault="002D719E" w:rsidP="00A45D86">
      <w:pPr>
        <w:pStyle w:val="ListBullet"/>
      </w:pPr>
      <w:r w:rsidRPr="00A45D86">
        <w:t>review</w:t>
      </w:r>
      <w:r w:rsidR="00835C5C">
        <w:t>ed</w:t>
      </w:r>
      <w:r w:rsidRPr="00A45D86">
        <w:t xml:space="preserve"> the current governance processes </w:t>
      </w:r>
      <w:r w:rsidR="00835C5C">
        <w:t xml:space="preserve">that departmental staff use to </w:t>
      </w:r>
      <w:r w:rsidRPr="00A45D86">
        <w:t>manag</w:t>
      </w:r>
      <w:r w:rsidR="00835C5C">
        <w:t>e</w:t>
      </w:r>
      <w:r w:rsidRPr="00A45D86">
        <w:t xml:space="preserve"> recommendations</w:t>
      </w:r>
    </w:p>
    <w:p w14:paraId="63996345" w14:textId="3D8C8D92" w:rsidR="002D719E" w:rsidRPr="00A45D86" w:rsidRDefault="002D719E" w:rsidP="00A45D86">
      <w:pPr>
        <w:pStyle w:val="ListBullet"/>
      </w:pPr>
      <w:r w:rsidRPr="00A45D86">
        <w:t>review</w:t>
      </w:r>
      <w:r w:rsidR="00835C5C">
        <w:t>ed</w:t>
      </w:r>
      <w:r w:rsidR="00D577F9">
        <w:t xml:space="preserve"> directly relevant</w:t>
      </w:r>
      <w:r w:rsidRPr="00A45D86">
        <w:t xml:space="preserve"> literature that examines how departments and organisations implement recommendations from reviews (such as ANAO)</w:t>
      </w:r>
    </w:p>
    <w:p w14:paraId="348C4D22" w14:textId="541FE3FE" w:rsidR="002D719E" w:rsidRDefault="00A44487" w:rsidP="00A45D86">
      <w:pPr>
        <w:pStyle w:val="ListBullet"/>
      </w:pPr>
      <w:r>
        <w:t>group</w:t>
      </w:r>
      <w:r w:rsidR="00835C5C">
        <w:t>ed</w:t>
      </w:r>
      <w:r w:rsidR="002D719E">
        <w:t xml:space="preserve"> the recommendations into ‘themes’</w:t>
      </w:r>
      <w:r w:rsidR="00683E4C">
        <w:t xml:space="preserve"> to </w:t>
      </w:r>
      <w:r>
        <w:t>obtain an overview and identify any reoccurring topics</w:t>
      </w:r>
    </w:p>
    <w:p w14:paraId="1C74887F" w14:textId="44955C02" w:rsidR="000F0CDB" w:rsidRDefault="00C04548" w:rsidP="000F0CDB">
      <w:pPr>
        <w:pStyle w:val="ListBullet"/>
        <w:numPr>
          <w:ilvl w:val="0"/>
          <w:numId w:val="1"/>
        </w:numPr>
      </w:pPr>
      <w:r>
        <w:t>perform</w:t>
      </w:r>
      <w:r w:rsidR="00835C5C">
        <w:t>ed</w:t>
      </w:r>
      <w:r>
        <w:t xml:space="preserve"> </w:t>
      </w:r>
      <w:r w:rsidR="000F0CDB">
        <w:t>a</w:t>
      </w:r>
      <w:r w:rsidR="0079396D">
        <w:t>n</w:t>
      </w:r>
      <w:r w:rsidR="000F0CDB">
        <w:t xml:space="preserve"> audit of </w:t>
      </w:r>
      <w:r>
        <w:t xml:space="preserve">9 </w:t>
      </w:r>
      <w:r w:rsidR="00A45D86">
        <w:t xml:space="preserve">closed </w:t>
      </w:r>
      <w:r w:rsidR="006635C6">
        <w:t>recommendations</w:t>
      </w:r>
      <w:r w:rsidR="000F0CDB">
        <w:t xml:space="preserve"> to assess the records and evidence of actions and decisions taken to address individual recommendations by recording:</w:t>
      </w:r>
    </w:p>
    <w:p w14:paraId="02E9B47F" w14:textId="25489B9B" w:rsidR="000F0CDB" w:rsidRDefault="000F0CDB" w:rsidP="000F0CDB">
      <w:pPr>
        <w:pStyle w:val="ListBullet2"/>
        <w:numPr>
          <w:ilvl w:val="1"/>
          <w:numId w:val="1"/>
        </w:numPr>
      </w:pPr>
      <w:r>
        <w:t xml:space="preserve">the departmental responses to </w:t>
      </w:r>
      <w:r w:rsidR="002D719E">
        <w:t xml:space="preserve">the </w:t>
      </w:r>
      <w:r w:rsidR="00835C5C">
        <w:t xml:space="preserve">9 </w:t>
      </w:r>
      <w:r>
        <w:t>recommendation</w:t>
      </w:r>
      <w:r w:rsidR="002D719E">
        <w:t>s</w:t>
      </w:r>
      <w:r>
        <w:t xml:space="preserve"> at the time of publication</w:t>
      </w:r>
    </w:p>
    <w:p w14:paraId="5ABE1E30" w14:textId="6D8654AF" w:rsidR="000F0CDB" w:rsidRDefault="00835C5C" w:rsidP="000F0CDB">
      <w:pPr>
        <w:pStyle w:val="ListBullet2"/>
        <w:numPr>
          <w:ilvl w:val="1"/>
          <w:numId w:val="1"/>
        </w:numPr>
      </w:pPr>
      <w:r>
        <w:t xml:space="preserve">what </w:t>
      </w:r>
      <w:r w:rsidR="000F0CDB">
        <w:t xml:space="preserve">subsequent actions and decisions </w:t>
      </w:r>
      <w:r>
        <w:t xml:space="preserve">were taken </w:t>
      </w:r>
      <w:r w:rsidR="000F0CDB">
        <w:t>to address each recommendation</w:t>
      </w:r>
    </w:p>
    <w:p w14:paraId="4A98FE2B" w14:textId="153E7064" w:rsidR="000F0CDB" w:rsidRDefault="000F0CDB" w:rsidP="000F0CDB">
      <w:pPr>
        <w:pStyle w:val="ListBullet2"/>
        <w:numPr>
          <w:ilvl w:val="1"/>
          <w:numId w:val="1"/>
        </w:numPr>
      </w:pPr>
      <w:r>
        <w:t xml:space="preserve">the Inspector-General’s assessment of whether </w:t>
      </w:r>
      <w:r w:rsidR="002D719E">
        <w:t xml:space="preserve">the </w:t>
      </w:r>
      <w:r w:rsidR="00C04548">
        <w:t xml:space="preserve">9 </w:t>
      </w:r>
      <w:r>
        <w:t>recommendation</w:t>
      </w:r>
      <w:r w:rsidR="002D719E">
        <w:t>s</w:t>
      </w:r>
      <w:r>
        <w:t xml:space="preserve"> </w:t>
      </w:r>
      <w:r w:rsidR="00835C5C">
        <w:t xml:space="preserve">had </w:t>
      </w:r>
      <w:r>
        <w:t>been effectively implemented and the biosecurity system</w:t>
      </w:r>
      <w:r w:rsidR="00835C5C">
        <w:t xml:space="preserve"> improved</w:t>
      </w:r>
      <w:r w:rsidR="00C04548">
        <w:t>.</w:t>
      </w:r>
    </w:p>
    <w:p w14:paraId="2B485ED7" w14:textId="3AB82311" w:rsidR="000F0CDB" w:rsidRPr="00595916" w:rsidRDefault="000F0CDB" w:rsidP="000F0CDB">
      <w:r>
        <w:t xml:space="preserve">As required by the </w:t>
      </w:r>
      <w:r w:rsidRPr="00035C7A">
        <w:rPr>
          <w:rStyle w:val="Emphasis"/>
        </w:rPr>
        <w:t>Biosecurity Act 2015</w:t>
      </w:r>
      <w:r>
        <w:t xml:space="preserve">, </w:t>
      </w:r>
      <w:r w:rsidR="00835C5C">
        <w:t xml:space="preserve">the Inspector-General </w:t>
      </w:r>
      <w:r>
        <w:t xml:space="preserve">presented </w:t>
      </w:r>
      <w:r w:rsidR="00762469">
        <w:t>the final</w:t>
      </w:r>
      <w:r>
        <w:t xml:space="preserve"> report to the Director of Biosecurity. </w:t>
      </w:r>
      <w:r w:rsidR="00835C5C">
        <w:t xml:space="preserve">This </w:t>
      </w:r>
      <w:r w:rsidR="00762469">
        <w:t>published</w:t>
      </w:r>
      <w:r w:rsidR="00835C5C">
        <w:t xml:space="preserve"> report contains the </w:t>
      </w:r>
      <w:r>
        <w:t xml:space="preserve">department’s </w:t>
      </w:r>
      <w:r w:rsidRPr="00794192">
        <w:t xml:space="preserve">response to </w:t>
      </w:r>
      <w:r w:rsidR="00835C5C" w:rsidRPr="00794192">
        <w:t xml:space="preserve">the </w:t>
      </w:r>
      <w:r w:rsidR="00F14A75">
        <w:t xml:space="preserve">final </w:t>
      </w:r>
      <w:r w:rsidRPr="00794192">
        <w:t xml:space="preserve">recommendations. </w:t>
      </w:r>
      <w:r w:rsidR="00835C5C" w:rsidRPr="00794192">
        <w:t>The</w:t>
      </w:r>
      <w:r w:rsidR="00835C5C" w:rsidRPr="0021769C">
        <w:t xml:space="preserve"> final </w:t>
      </w:r>
      <w:r w:rsidRPr="00794192">
        <w:t xml:space="preserve">report </w:t>
      </w:r>
      <w:r w:rsidR="00F14A75">
        <w:t xml:space="preserve">is published on the Inspector-General’s website, a copy provided to </w:t>
      </w:r>
      <w:r w:rsidRPr="00794192">
        <w:t>the Minister for Agriculture</w:t>
      </w:r>
      <w:r w:rsidR="00F14A75">
        <w:t xml:space="preserve">, and key stakeholders </w:t>
      </w:r>
      <w:r w:rsidR="00762469">
        <w:t xml:space="preserve">are </w:t>
      </w:r>
      <w:r w:rsidR="00F14A75">
        <w:t>informed of its publication</w:t>
      </w:r>
      <w:r w:rsidRPr="00794192">
        <w:t>.</w:t>
      </w:r>
    </w:p>
    <w:p w14:paraId="2060AD23" w14:textId="5F910E45" w:rsidR="00D57507" w:rsidRPr="00595916" w:rsidRDefault="00E042E4" w:rsidP="00D57507">
      <w:pPr>
        <w:pStyle w:val="Heading3"/>
        <w:rPr>
          <w:lang w:eastAsia="ja-JP"/>
        </w:rPr>
      </w:pPr>
      <w:bookmarkStart w:id="15" w:name="_Toc87543860"/>
      <w:r>
        <w:rPr>
          <w:lang w:eastAsia="ja-JP"/>
        </w:rPr>
        <w:t>Reviews within</w:t>
      </w:r>
      <w:r w:rsidR="00490A8D" w:rsidRPr="00490A8D">
        <w:rPr>
          <w:lang w:eastAsia="ja-JP"/>
        </w:rPr>
        <w:t xml:space="preserve"> the current audit</w:t>
      </w:r>
      <w:bookmarkEnd w:id="15"/>
    </w:p>
    <w:p w14:paraId="119EE922" w14:textId="0E3FC2E0" w:rsidR="00490A8D" w:rsidRDefault="00F262E0" w:rsidP="00490A8D">
      <w:r>
        <w:fldChar w:fldCharType="begin"/>
      </w:r>
      <w:r>
        <w:instrText xml:space="preserve"> REF _Ref82169975 \h </w:instrText>
      </w:r>
      <w:r>
        <w:fldChar w:fldCharType="separate"/>
      </w:r>
      <w:r>
        <w:t xml:space="preserve">Table </w:t>
      </w:r>
      <w:r>
        <w:rPr>
          <w:noProof/>
        </w:rPr>
        <w:t>1</w:t>
      </w:r>
      <w:r>
        <w:fldChar w:fldCharType="end"/>
      </w:r>
      <w:r>
        <w:t xml:space="preserve"> </w:t>
      </w:r>
      <w:r w:rsidR="00835C5C">
        <w:t xml:space="preserve">summarises </w:t>
      </w:r>
      <w:r w:rsidR="00F928EA">
        <w:t xml:space="preserve">the implementation status </w:t>
      </w:r>
      <w:r w:rsidR="00683E4C">
        <w:t xml:space="preserve">of </w:t>
      </w:r>
      <w:r w:rsidR="008774C4">
        <w:t xml:space="preserve">163 </w:t>
      </w:r>
      <w:r w:rsidR="00512E7D">
        <w:t>recommendations by</w:t>
      </w:r>
      <w:r w:rsidR="0021769C">
        <w:t xml:space="preserve"> the</w:t>
      </w:r>
      <w:r w:rsidR="00512E7D">
        <w:t xml:space="preserve"> interim, former and current Inspectors-General, </w:t>
      </w:r>
      <w:r w:rsidR="00683E4C">
        <w:t xml:space="preserve">published in </w:t>
      </w:r>
      <w:r w:rsidR="008774C4">
        <w:t xml:space="preserve">15 </w:t>
      </w:r>
      <w:r w:rsidR="00683E4C">
        <w:t xml:space="preserve">reviews between </w:t>
      </w:r>
      <w:r w:rsidR="008774C4" w:rsidRPr="008774C4">
        <w:t>3 May 2016 and 28 February 2021</w:t>
      </w:r>
      <w:r w:rsidR="00C04548">
        <w:t>.</w:t>
      </w:r>
      <w:r w:rsidR="00490A8D">
        <w:t xml:space="preserve"> </w:t>
      </w:r>
      <w:r w:rsidR="00512E7D">
        <w:t xml:space="preserve">For this review the </w:t>
      </w:r>
      <w:r w:rsidR="00490A8D" w:rsidRPr="008774C4">
        <w:t xml:space="preserve">Inspector-General </w:t>
      </w:r>
      <w:r w:rsidR="00512E7D">
        <w:t xml:space="preserve">also </w:t>
      </w:r>
      <w:r w:rsidR="00490A8D" w:rsidRPr="008774C4">
        <w:t xml:space="preserve">conducted </w:t>
      </w:r>
      <w:r w:rsidR="00EA6F7F" w:rsidRPr="008774C4">
        <w:t>a</w:t>
      </w:r>
      <w:r w:rsidR="008774C4" w:rsidRPr="008774C4">
        <w:t>n</w:t>
      </w:r>
      <w:r w:rsidR="009E3976" w:rsidRPr="008774C4">
        <w:t xml:space="preserve"> </w:t>
      </w:r>
      <w:r w:rsidR="00490A8D" w:rsidRPr="008774C4">
        <w:t xml:space="preserve">audit of </w:t>
      </w:r>
      <w:r w:rsidR="00794192">
        <w:t xml:space="preserve">implementation of </w:t>
      </w:r>
      <w:r w:rsidR="00BD3DA9" w:rsidRPr="008774C4">
        <w:t>a sample of</w:t>
      </w:r>
      <w:r w:rsidR="009E3976" w:rsidRPr="008774C4">
        <w:t xml:space="preserve"> </w:t>
      </w:r>
      <w:r w:rsidR="00C04548">
        <w:t xml:space="preserve">9 </w:t>
      </w:r>
      <w:r w:rsidR="0094484F">
        <w:t xml:space="preserve">closed </w:t>
      </w:r>
      <w:r w:rsidR="00490A8D" w:rsidRPr="008774C4">
        <w:t xml:space="preserve">recommendations </w:t>
      </w:r>
      <w:r w:rsidR="008774C4" w:rsidRPr="008774C4">
        <w:t>(</w:t>
      </w:r>
      <w:r w:rsidR="00512E7D">
        <w:t xml:space="preserve">see </w:t>
      </w:r>
      <w:r w:rsidR="008774C4" w:rsidRPr="008774C4">
        <w:t xml:space="preserve">section </w:t>
      </w:r>
      <w:r w:rsidR="008D7FB3">
        <w:fldChar w:fldCharType="begin"/>
      </w:r>
      <w:r w:rsidR="008D7FB3">
        <w:instrText xml:space="preserve"> REF _Ref87867615 \r \h </w:instrText>
      </w:r>
      <w:r w:rsidR="008D7FB3">
        <w:fldChar w:fldCharType="separate"/>
      </w:r>
      <w:r w:rsidR="008D7FB3">
        <w:t>4.2</w:t>
      </w:r>
      <w:r w:rsidR="008D7FB3">
        <w:fldChar w:fldCharType="end"/>
      </w:r>
      <w:r w:rsidR="008774C4" w:rsidRPr="008774C4">
        <w:t>)</w:t>
      </w:r>
      <w:r w:rsidR="00490A8D" w:rsidRPr="008774C4">
        <w:t>.</w:t>
      </w:r>
    </w:p>
    <w:p w14:paraId="18626CC9" w14:textId="69D10E1F" w:rsidR="00490A8D" w:rsidRDefault="00512E7D" w:rsidP="00490A8D">
      <w:r>
        <w:t xml:space="preserve">Of the 163 recommendations, </w:t>
      </w:r>
      <w:r w:rsidR="00D577F9">
        <w:t xml:space="preserve">14 recommendations </w:t>
      </w:r>
      <w:r w:rsidR="0028668F">
        <w:t xml:space="preserve">have </w:t>
      </w:r>
      <w:r w:rsidR="00D577F9">
        <w:t>remain</w:t>
      </w:r>
      <w:r w:rsidR="0028668F">
        <w:t>ed</w:t>
      </w:r>
      <w:r w:rsidR="00D577F9">
        <w:t xml:space="preserve"> open (</w:t>
      </w:r>
      <w:r>
        <w:t xml:space="preserve">and </w:t>
      </w:r>
      <w:r w:rsidR="00D577F9">
        <w:t>outstanding) for at least 2 years. A further 31 recommendations have been open for at least 12 months.</w:t>
      </w:r>
    </w:p>
    <w:p w14:paraId="32AB072A" w14:textId="12C695E6" w:rsidR="00963882" w:rsidRDefault="00E97940" w:rsidP="00E97940">
      <w:pPr>
        <w:pStyle w:val="Caption"/>
      </w:pPr>
      <w:bookmarkStart w:id="16" w:name="_Ref82169975"/>
      <w:bookmarkStart w:id="17" w:name="_Toc87543889"/>
      <w:bookmarkStart w:id="18" w:name="_Toc88487902"/>
      <w:r>
        <w:lastRenderedPageBreak/>
        <w:t xml:space="preserve">Table </w:t>
      </w:r>
      <w:r w:rsidR="00D60801">
        <w:fldChar w:fldCharType="begin"/>
      </w:r>
      <w:r w:rsidR="00D60801">
        <w:instrText xml:space="preserve"> SEQ Table \* ARABIC </w:instrText>
      </w:r>
      <w:r w:rsidR="00D60801">
        <w:fldChar w:fldCharType="separate"/>
      </w:r>
      <w:r w:rsidR="006C4664">
        <w:rPr>
          <w:noProof/>
        </w:rPr>
        <w:t>1</w:t>
      </w:r>
      <w:r w:rsidR="00D60801">
        <w:rPr>
          <w:noProof/>
        </w:rPr>
        <w:fldChar w:fldCharType="end"/>
      </w:r>
      <w:bookmarkEnd w:id="16"/>
      <w:r>
        <w:t xml:space="preserve"> </w:t>
      </w:r>
      <w:r w:rsidR="00F928EA">
        <w:t xml:space="preserve">Status summary of </w:t>
      </w:r>
      <w:r w:rsidR="00963882" w:rsidRPr="007E34D9">
        <w:t>Inspectors-General review recommendations</w:t>
      </w:r>
      <w:r w:rsidR="00F928EA">
        <w:t>,</w:t>
      </w:r>
      <w:r w:rsidR="00963882" w:rsidRPr="007E34D9">
        <w:t xml:space="preserve"> May 2016 and February 2021</w:t>
      </w:r>
      <w:bookmarkEnd w:id="17"/>
      <w:bookmarkEnd w:id="18"/>
    </w:p>
    <w:tbl>
      <w:tblPr>
        <w:tblStyle w:val="TableGrid"/>
        <w:tblW w:w="4222" w:type="pct"/>
        <w:tblLayout w:type="fixed"/>
        <w:tblLook w:val="04A0" w:firstRow="1" w:lastRow="0" w:firstColumn="1" w:lastColumn="0" w:noHBand="0" w:noVBand="1"/>
      </w:tblPr>
      <w:tblGrid>
        <w:gridCol w:w="3963"/>
        <w:gridCol w:w="1135"/>
        <w:gridCol w:w="852"/>
        <w:gridCol w:w="849"/>
        <w:gridCol w:w="851"/>
      </w:tblGrid>
      <w:tr w:rsidR="00963882" w14:paraId="504F153E" w14:textId="77777777" w:rsidTr="00315143">
        <w:trPr>
          <w:tblHeader/>
        </w:trPr>
        <w:tc>
          <w:tcPr>
            <w:tcW w:w="2590" w:type="pct"/>
          </w:tcPr>
          <w:p w14:paraId="663EB005" w14:textId="77777777" w:rsidR="00963882" w:rsidRDefault="00963882" w:rsidP="00D77EC5">
            <w:pPr>
              <w:pStyle w:val="TableHeading"/>
            </w:pPr>
            <w:r w:rsidRPr="00C757EB">
              <w:t>Inspector-General review title</w:t>
            </w:r>
          </w:p>
        </w:tc>
        <w:tc>
          <w:tcPr>
            <w:tcW w:w="742" w:type="pct"/>
          </w:tcPr>
          <w:p w14:paraId="0DF3A0E3" w14:textId="77777777" w:rsidR="00963882" w:rsidRDefault="00963882" w:rsidP="00D77EC5">
            <w:pPr>
              <w:pStyle w:val="TableHeading"/>
            </w:pPr>
            <w:r w:rsidRPr="00C757EB">
              <w:t>Publication date</w:t>
            </w:r>
          </w:p>
        </w:tc>
        <w:tc>
          <w:tcPr>
            <w:tcW w:w="557" w:type="pct"/>
          </w:tcPr>
          <w:p w14:paraId="566FDB9C" w14:textId="7EE72D1D" w:rsidR="00963882" w:rsidRDefault="00963882" w:rsidP="00D77EC5">
            <w:pPr>
              <w:pStyle w:val="TableHeading"/>
            </w:pPr>
            <w:r w:rsidRPr="00C757EB">
              <w:t xml:space="preserve">Total number </w:t>
            </w:r>
          </w:p>
        </w:tc>
        <w:tc>
          <w:tcPr>
            <w:tcW w:w="555" w:type="pct"/>
          </w:tcPr>
          <w:p w14:paraId="1C48E3E3" w14:textId="33E70C3E" w:rsidR="00963882" w:rsidRDefault="00963882" w:rsidP="00D77EC5">
            <w:pPr>
              <w:pStyle w:val="TableHeading"/>
            </w:pPr>
            <w:r w:rsidRPr="00C757EB">
              <w:t>Number closed</w:t>
            </w:r>
          </w:p>
        </w:tc>
        <w:tc>
          <w:tcPr>
            <w:tcW w:w="556" w:type="pct"/>
          </w:tcPr>
          <w:p w14:paraId="335B4ABD" w14:textId="43C05678" w:rsidR="00963882" w:rsidRDefault="00963882" w:rsidP="00D77EC5">
            <w:pPr>
              <w:pStyle w:val="TableHeading"/>
            </w:pPr>
            <w:r w:rsidRPr="00C757EB">
              <w:t>Number open</w:t>
            </w:r>
          </w:p>
        </w:tc>
      </w:tr>
      <w:tr w:rsidR="00963882" w14:paraId="0D1F00A6" w14:textId="77777777" w:rsidTr="00106F50">
        <w:tc>
          <w:tcPr>
            <w:tcW w:w="2590" w:type="pct"/>
          </w:tcPr>
          <w:p w14:paraId="04EECA89" w14:textId="77777777" w:rsidR="00963882" w:rsidRDefault="00963882" w:rsidP="00D77EC5">
            <w:pPr>
              <w:pStyle w:val="TableText"/>
            </w:pPr>
            <w:r w:rsidRPr="00C757EB">
              <w:t>Adequacy of department’s operational model to effectively mitigate biosecurity risks in evolving risk and business environments</w:t>
            </w:r>
          </w:p>
        </w:tc>
        <w:tc>
          <w:tcPr>
            <w:tcW w:w="742" w:type="pct"/>
          </w:tcPr>
          <w:p w14:paraId="57DCA988" w14:textId="77777777" w:rsidR="00963882" w:rsidRDefault="00963882" w:rsidP="00D77EC5">
            <w:pPr>
              <w:pStyle w:val="TableText"/>
            </w:pPr>
            <w:r w:rsidRPr="00C757EB">
              <w:t>February 2021</w:t>
            </w:r>
          </w:p>
        </w:tc>
        <w:tc>
          <w:tcPr>
            <w:tcW w:w="557" w:type="pct"/>
          </w:tcPr>
          <w:p w14:paraId="4760B659" w14:textId="77777777" w:rsidR="00963882" w:rsidRDefault="00963882" w:rsidP="00D77EC5">
            <w:pPr>
              <w:pStyle w:val="TableText"/>
            </w:pPr>
            <w:r w:rsidRPr="00C757EB">
              <w:t>19</w:t>
            </w:r>
          </w:p>
        </w:tc>
        <w:tc>
          <w:tcPr>
            <w:tcW w:w="555" w:type="pct"/>
          </w:tcPr>
          <w:p w14:paraId="64405C68" w14:textId="77777777" w:rsidR="00963882" w:rsidRDefault="00963882" w:rsidP="00D77EC5">
            <w:pPr>
              <w:pStyle w:val="TableText"/>
            </w:pPr>
            <w:r w:rsidRPr="00C757EB">
              <w:t>0</w:t>
            </w:r>
          </w:p>
        </w:tc>
        <w:tc>
          <w:tcPr>
            <w:tcW w:w="556" w:type="pct"/>
          </w:tcPr>
          <w:p w14:paraId="1425E716" w14:textId="77777777" w:rsidR="00963882" w:rsidRDefault="00963882" w:rsidP="00D77EC5">
            <w:pPr>
              <w:pStyle w:val="TableText"/>
            </w:pPr>
            <w:r w:rsidRPr="00C757EB">
              <w:t>19</w:t>
            </w:r>
          </w:p>
        </w:tc>
      </w:tr>
      <w:tr w:rsidR="00963882" w14:paraId="55FBEBE3" w14:textId="77777777" w:rsidTr="00106F50">
        <w:tc>
          <w:tcPr>
            <w:tcW w:w="2590" w:type="pct"/>
          </w:tcPr>
          <w:p w14:paraId="7968A8FB" w14:textId="77777777" w:rsidR="00963882" w:rsidRDefault="00963882" w:rsidP="00D77EC5">
            <w:pPr>
              <w:pStyle w:val="TableText"/>
            </w:pPr>
            <w:r w:rsidRPr="00C757EB">
              <w:t>Biosecurity risk management of international express airfreight pathway for non-commercial consignments</w:t>
            </w:r>
          </w:p>
        </w:tc>
        <w:tc>
          <w:tcPr>
            <w:tcW w:w="742" w:type="pct"/>
          </w:tcPr>
          <w:p w14:paraId="3F27ACBB" w14:textId="77777777" w:rsidR="00963882" w:rsidRDefault="00963882" w:rsidP="00D77EC5">
            <w:pPr>
              <w:pStyle w:val="TableText"/>
            </w:pPr>
            <w:r w:rsidRPr="00C757EB">
              <w:t>July 2020</w:t>
            </w:r>
          </w:p>
        </w:tc>
        <w:tc>
          <w:tcPr>
            <w:tcW w:w="557" w:type="pct"/>
          </w:tcPr>
          <w:p w14:paraId="701A4C09" w14:textId="77777777" w:rsidR="00963882" w:rsidRDefault="00963882" w:rsidP="00D77EC5">
            <w:pPr>
              <w:pStyle w:val="TableText"/>
            </w:pPr>
            <w:r w:rsidRPr="00C757EB">
              <w:t>25</w:t>
            </w:r>
          </w:p>
        </w:tc>
        <w:tc>
          <w:tcPr>
            <w:tcW w:w="555" w:type="pct"/>
          </w:tcPr>
          <w:p w14:paraId="3BE3E7C3" w14:textId="77777777" w:rsidR="00963882" w:rsidRDefault="00963882" w:rsidP="00D77EC5">
            <w:pPr>
              <w:pStyle w:val="TableText"/>
            </w:pPr>
            <w:r w:rsidRPr="00C757EB">
              <w:t>5</w:t>
            </w:r>
          </w:p>
        </w:tc>
        <w:tc>
          <w:tcPr>
            <w:tcW w:w="556" w:type="pct"/>
          </w:tcPr>
          <w:p w14:paraId="313EEC4C" w14:textId="77777777" w:rsidR="00963882" w:rsidRDefault="00963882" w:rsidP="00D77EC5">
            <w:pPr>
              <w:pStyle w:val="TableText"/>
            </w:pPr>
            <w:r w:rsidRPr="00C757EB">
              <w:t>20</w:t>
            </w:r>
          </w:p>
        </w:tc>
      </w:tr>
      <w:tr w:rsidR="00963882" w14:paraId="032EF886" w14:textId="77777777" w:rsidTr="00106F50">
        <w:tc>
          <w:tcPr>
            <w:tcW w:w="2590" w:type="pct"/>
          </w:tcPr>
          <w:p w14:paraId="3C9539DC" w14:textId="77777777" w:rsidR="00963882" w:rsidRDefault="00963882" w:rsidP="00D77EC5">
            <w:pPr>
              <w:pStyle w:val="TableText"/>
            </w:pPr>
            <w:r w:rsidRPr="00C757EB">
              <w:t>Adequacy of preventative border measures to mitigate the risk of African swine fever</w:t>
            </w:r>
          </w:p>
        </w:tc>
        <w:tc>
          <w:tcPr>
            <w:tcW w:w="742" w:type="pct"/>
          </w:tcPr>
          <w:p w14:paraId="43D970F5" w14:textId="77777777" w:rsidR="00963882" w:rsidRDefault="00963882" w:rsidP="00D77EC5">
            <w:pPr>
              <w:pStyle w:val="TableText"/>
            </w:pPr>
            <w:r w:rsidRPr="00C757EB">
              <w:t>March 2020</w:t>
            </w:r>
          </w:p>
        </w:tc>
        <w:tc>
          <w:tcPr>
            <w:tcW w:w="557" w:type="pct"/>
          </w:tcPr>
          <w:p w14:paraId="07CF3E26" w14:textId="77777777" w:rsidR="00963882" w:rsidRDefault="00963882" w:rsidP="00D77EC5">
            <w:pPr>
              <w:pStyle w:val="TableText"/>
            </w:pPr>
            <w:r w:rsidRPr="00C757EB">
              <w:t>13</w:t>
            </w:r>
          </w:p>
        </w:tc>
        <w:tc>
          <w:tcPr>
            <w:tcW w:w="555" w:type="pct"/>
          </w:tcPr>
          <w:p w14:paraId="348FF4CC" w14:textId="77777777" w:rsidR="00963882" w:rsidRDefault="00963882" w:rsidP="00D77EC5">
            <w:pPr>
              <w:pStyle w:val="TableText"/>
            </w:pPr>
            <w:r w:rsidRPr="00C757EB">
              <w:t>8</w:t>
            </w:r>
          </w:p>
        </w:tc>
        <w:tc>
          <w:tcPr>
            <w:tcW w:w="556" w:type="pct"/>
          </w:tcPr>
          <w:p w14:paraId="11AF0A68" w14:textId="77777777" w:rsidR="00963882" w:rsidRDefault="00963882" w:rsidP="00D77EC5">
            <w:pPr>
              <w:pStyle w:val="TableText"/>
            </w:pPr>
            <w:r w:rsidRPr="00C757EB">
              <w:t>5</w:t>
            </w:r>
          </w:p>
        </w:tc>
      </w:tr>
      <w:tr w:rsidR="00963882" w14:paraId="79B4AB6D" w14:textId="77777777" w:rsidTr="00106F50">
        <w:tc>
          <w:tcPr>
            <w:tcW w:w="2590" w:type="pct"/>
          </w:tcPr>
          <w:p w14:paraId="3C00DDC2" w14:textId="77777777" w:rsidR="00963882" w:rsidRDefault="00963882" w:rsidP="00D77EC5">
            <w:pPr>
              <w:pStyle w:val="TableText"/>
            </w:pPr>
            <w:r w:rsidRPr="00C757EB">
              <w:t>Effectiveness of Approved Arrangements in managing biosecurity risks in Australia</w:t>
            </w:r>
          </w:p>
        </w:tc>
        <w:tc>
          <w:tcPr>
            <w:tcW w:w="742" w:type="pct"/>
          </w:tcPr>
          <w:p w14:paraId="08483459" w14:textId="77777777" w:rsidR="00963882" w:rsidRDefault="00963882" w:rsidP="00D77EC5">
            <w:pPr>
              <w:pStyle w:val="TableText"/>
            </w:pPr>
            <w:r w:rsidRPr="00C757EB">
              <w:t>August 2019</w:t>
            </w:r>
          </w:p>
        </w:tc>
        <w:tc>
          <w:tcPr>
            <w:tcW w:w="557" w:type="pct"/>
          </w:tcPr>
          <w:p w14:paraId="550CEEC8" w14:textId="77777777" w:rsidR="00963882" w:rsidRDefault="00963882" w:rsidP="00D77EC5">
            <w:pPr>
              <w:pStyle w:val="TableText"/>
            </w:pPr>
            <w:r w:rsidRPr="00C757EB">
              <w:t>13</w:t>
            </w:r>
          </w:p>
        </w:tc>
        <w:tc>
          <w:tcPr>
            <w:tcW w:w="555" w:type="pct"/>
          </w:tcPr>
          <w:p w14:paraId="6C314E30" w14:textId="77777777" w:rsidR="00963882" w:rsidRDefault="00963882" w:rsidP="00D77EC5">
            <w:pPr>
              <w:pStyle w:val="TableText"/>
            </w:pPr>
            <w:r w:rsidRPr="00C757EB">
              <w:t>7</w:t>
            </w:r>
          </w:p>
        </w:tc>
        <w:tc>
          <w:tcPr>
            <w:tcW w:w="556" w:type="pct"/>
          </w:tcPr>
          <w:p w14:paraId="3A9177FB" w14:textId="77777777" w:rsidR="00963882" w:rsidRDefault="00963882" w:rsidP="00D77EC5">
            <w:pPr>
              <w:pStyle w:val="TableText"/>
            </w:pPr>
            <w:r w:rsidRPr="00C757EB">
              <w:t>6</w:t>
            </w:r>
          </w:p>
        </w:tc>
      </w:tr>
      <w:tr w:rsidR="00963882" w14:paraId="625AEBFA" w14:textId="77777777" w:rsidTr="00106F50">
        <w:tc>
          <w:tcPr>
            <w:tcW w:w="2590" w:type="pct"/>
          </w:tcPr>
          <w:p w14:paraId="23216D3C" w14:textId="77777777" w:rsidR="00963882" w:rsidRDefault="00963882" w:rsidP="00D77EC5">
            <w:pPr>
              <w:pStyle w:val="TableText"/>
            </w:pPr>
            <w:r w:rsidRPr="00C757EB">
              <w:t>Implementation of Inspector-General of Biosecurity recommendations (2019‒20)</w:t>
            </w:r>
          </w:p>
        </w:tc>
        <w:tc>
          <w:tcPr>
            <w:tcW w:w="742" w:type="pct"/>
          </w:tcPr>
          <w:p w14:paraId="54685B5B" w14:textId="77777777" w:rsidR="00963882" w:rsidRDefault="00963882" w:rsidP="00D77EC5">
            <w:pPr>
              <w:pStyle w:val="TableText"/>
            </w:pPr>
            <w:r w:rsidRPr="00C757EB">
              <w:t>July 2019</w:t>
            </w:r>
          </w:p>
        </w:tc>
        <w:tc>
          <w:tcPr>
            <w:tcW w:w="557" w:type="pct"/>
          </w:tcPr>
          <w:p w14:paraId="4285939E" w14:textId="77777777" w:rsidR="00963882" w:rsidRDefault="00963882" w:rsidP="00D77EC5">
            <w:pPr>
              <w:pStyle w:val="TableText"/>
            </w:pPr>
            <w:r w:rsidRPr="00C757EB">
              <w:t>3</w:t>
            </w:r>
          </w:p>
        </w:tc>
        <w:tc>
          <w:tcPr>
            <w:tcW w:w="555" w:type="pct"/>
          </w:tcPr>
          <w:p w14:paraId="197CDAE9" w14:textId="77777777" w:rsidR="00963882" w:rsidRDefault="00963882" w:rsidP="00D77EC5">
            <w:pPr>
              <w:pStyle w:val="TableText"/>
            </w:pPr>
            <w:r w:rsidRPr="00C757EB">
              <w:t>3</w:t>
            </w:r>
          </w:p>
        </w:tc>
        <w:tc>
          <w:tcPr>
            <w:tcW w:w="556" w:type="pct"/>
          </w:tcPr>
          <w:p w14:paraId="65E6CD32" w14:textId="77777777" w:rsidR="00963882" w:rsidRDefault="00963882" w:rsidP="00D77EC5">
            <w:pPr>
              <w:pStyle w:val="TableText"/>
            </w:pPr>
            <w:r w:rsidRPr="00C757EB">
              <w:t>0</w:t>
            </w:r>
          </w:p>
        </w:tc>
      </w:tr>
      <w:tr w:rsidR="00963882" w14:paraId="073578F4" w14:textId="77777777" w:rsidTr="00106F50">
        <w:tc>
          <w:tcPr>
            <w:tcW w:w="2590" w:type="pct"/>
          </w:tcPr>
          <w:p w14:paraId="551BB67A" w14:textId="77777777" w:rsidR="00963882" w:rsidRDefault="00963882" w:rsidP="00D77EC5">
            <w:pPr>
              <w:pStyle w:val="TableText"/>
            </w:pPr>
            <w:r w:rsidRPr="00C757EB">
              <w:t>Pest and disease interceptions and incursions in Australia</w:t>
            </w:r>
          </w:p>
        </w:tc>
        <w:tc>
          <w:tcPr>
            <w:tcW w:w="742" w:type="pct"/>
          </w:tcPr>
          <w:p w14:paraId="23344C4D" w14:textId="77777777" w:rsidR="00963882" w:rsidRDefault="00963882" w:rsidP="00D77EC5">
            <w:pPr>
              <w:pStyle w:val="TableText"/>
            </w:pPr>
            <w:r w:rsidRPr="00C757EB">
              <w:t>May 2019</w:t>
            </w:r>
          </w:p>
        </w:tc>
        <w:tc>
          <w:tcPr>
            <w:tcW w:w="557" w:type="pct"/>
          </w:tcPr>
          <w:p w14:paraId="285FE19E" w14:textId="77777777" w:rsidR="00963882" w:rsidRDefault="00963882" w:rsidP="00D77EC5">
            <w:pPr>
              <w:pStyle w:val="TableText"/>
            </w:pPr>
            <w:r w:rsidRPr="00C757EB">
              <w:t>5</w:t>
            </w:r>
          </w:p>
        </w:tc>
        <w:tc>
          <w:tcPr>
            <w:tcW w:w="555" w:type="pct"/>
          </w:tcPr>
          <w:p w14:paraId="015F345B" w14:textId="77777777" w:rsidR="00963882" w:rsidRDefault="00963882" w:rsidP="00D77EC5">
            <w:pPr>
              <w:pStyle w:val="TableText"/>
            </w:pPr>
            <w:r w:rsidRPr="00C757EB">
              <w:t>3</w:t>
            </w:r>
          </w:p>
        </w:tc>
        <w:tc>
          <w:tcPr>
            <w:tcW w:w="556" w:type="pct"/>
          </w:tcPr>
          <w:p w14:paraId="3C684540" w14:textId="77777777" w:rsidR="00963882" w:rsidRDefault="00963882" w:rsidP="00D77EC5">
            <w:pPr>
              <w:pStyle w:val="TableText"/>
            </w:pPr>
            <w:r w:rsidRPr="00C757EB">
              <w:t>2</w:t>
            </w:r>
          </w:p>
        </w:tc>
      </w:tr>
      <w:tr w:rsidR="00963882" w14:paraId="4F334039" w14:textId="77777777" w:rsidTr="00106F50">
        <w:tc>
          <w:tcPr>
            <w:tcW w:w="2590" w:type="pct"/>
          </w:tcPr>
          <w:p w14:paraId="296DD945" w14:textId="77777777" w:rsidR="00963882" w:rsidRDefault="00963882" w:rsidP="00D77EC5">
            <w:pPr>
              <w:pStyle w:val="TableText"/>
            </w:pPr>
            <w:r w:rsidRPr="00C757EB">
              <w:t>Effectiveness of biosecurity measures to manage the risks of brown marmorated stink bugs entering Australia</w:t>
            </w:r>
          </w:p>
        </w:tc>
        <w:tc>
          <w:tcPr>
            <w:tcW w:w="742" w:type="pct"/>
          </w:tcPr>
          <w:p w14:paraId="7635017B" w14:textId="77777777" w:rsidR="00963882" w:rsidRDefault="00963882" w:rsidP="00D77EC5">
            <w:pPr>
              <w:pStyle w:val="TableText"/>
            </w:pPr>
            <w:r w:rsidRPr="00C757EB">
              <w:t>May 2019</w:t>
            </w:r>
          </w:p>
        </w:tc>
        <w:tc>
          <w:tcPr>
            <w:tcW w:w="557" w:type="pct"/>
          </w:tcPr>
          <w:p w14:paraId="6A86CE95" w14:textId="77777777" w:rsidR="00963882" w:rsidRDefault="00963882" w:rsidP="00D77EC5">
            <w:pPr>
              <w:pStyle w:val="TableText"/>
            </w:pPr>
            <w:r w:rsidRPr="00C757EB">
              <w:t>14</w:t>
            </w:r>
          </w:p>
        </w:tc>
        <w:tc>
          <w:tcPr>
            <w:tcW w:w="555" w:type="pct"/>
          </w:tcPr>
          <w:p w14:paraId="50B0108E" w14:textId="77777777" w:rsidR="00963882" w:rsidRDefault="00963882" w:rsidP="00D77EC5">
            <w:pPr>
              <w:pStyle w:val="TableText"/>
            </w:pPr>
            <w:r w:rsidRPr="00C757EB">
              <w:t>13</w:t>
            </w:r>
          </w:p>
        </w:tc>
        <w:tc>
          <w:tcPr>
            <w:tcW w:w="556" w:type="pct"/>
          </w:tcPr>
          <w:p w14:paraId="0D77FD0B" w14:textId="77777777" w:rsidR="00963882" w:rsidRDefault="00963882" w:rsidP="00D77EC5">
            <w:pPr>
              <w:pStyle w:val="TableText"/>
            </w:pPr>
            <w:r w:rsidRPr="00C757EB">
              <w:t>1</w:t>
            </w:r>
          </w:p>
        </w:tc>
      </w:tr>
      <w:tr w:rsidR="00963882" w14:paraId="1991AD21" w14:textId="77777777" w:rsidTr="00106F50">
        <w:tc>
          <w:tcPr>
            <w:tcW w:w="2590" w:type="pct"/>
          </w:tcPr>
          <w:p w14:paraId="7C33B181" w14:textId="77777777" w:rsidR="00963882" w:rsidRDefault="00963882" w:rsidP="00D77EC5">
            <w:pPr>
              <w:pStyle w:val="TableText"/>
            </w:pPr>
            <w:r w:rsidRPr="00C757EB">
              <w:t>Environmental biosecurity risk management in Australia</w:t>
            </w:r>
          </w:p>
        </w:tc>
        <w:tc>
          <w:tcPr>
            <w:tcW w:w="742" w:type="pct"/>
          </w:tcPr>
          <w:p w14:paraId="662DAA28" w14:textId="77777777" w:rsidR="00963882" w:rsidRDefault="00963882" w:rsidP="00D77EC5">
            <w:pPr>
              <w:pStyle w:val="TableText"/>
            </w:pPr>
            <w:r w:rsidRPr="00C757EB">
              <w:t>April 2019</w:t>
            </w:r>
          </w:p>
        </w:tc>
        <w:tc>
          <w:tcPr>
            <w:tcW w:w="557" w:type="pct"/>
          </w:tcPr>
          <w:p w14:paraId="00E5A9F6" w14:textId="77777777" w:rsidR="00963882" w:rsidRDefault="00963882" w:rsidP="00D77EC5">
            <w:pPr>
              <w:pStyle w:val="TableText"/>
            </w:pPr>
            <w:r w:rsidRPr="00C757EB">
              <w:t>7</w:t>
            </w:r>
          </w:p>
        </w:tc>
        <w:tc>
          <w:tcPr>
            <w:tcW w:w="555" w:type="pct"/>
          </w:tcPr>
          <w:p w14:paraId="05B5E54A" w14:textId="77777777" w:rsidR="00963882" w:rsidRDefault="00963882" w:rsidP="00D77EC5">
            <w:pPr>
              <w:pStyle w:val="TableText"/>
            </w:pPr>
            <w:r w:rsidRPr="00C757EB">
              <w:t>6</w:t>
            </w:r>
          </w:p>
        </w:tc>
        <w:tc>
          <w:tcPr>
            <w:tcW w:w="556" w:type="pct"/>
          </w:tcPr>
          <w:p w14:paraId="2E29EDB9" w14:textId="77777777" w:rsidR="00963882" w:rsidRDefault="00963882" w:rsidP="00D77EC5">
            <w:pPr>
              <w:pStyle w:val="TableText"/>
            </w:pPr>
            <w:r w:rsidRPr="00C757EB">
              <w:t>1</w:t>
            </w:r>
          </w:p>
        </w:tc>
      </w:tr>
      <w:tr w:rsidR="00963882" w14:paraId="039E340D" w14:textId="77777777" w:rsidTr="00106F50">
        <w:tc>
          <w:tcPr>
            <w:tcW w:w="2590" w:type="pct"/>
          </w:tcPr>
          <w:p w14:paraId="04AB9A27" w14:textId="77777777" w:rsidR="00963882" w:rsidRDefault="00963882" w:rsidP="00D77EC5">
            <w:pPr>
              <w:pStyle w:val="TableText"/>
            </w:pPr>
            <w:r w:rsidRPr="00C757EB">
              <w:t>Implementation of Interim Inspector-General of Biosecurity recommendations (2018‒19)</w:t>
            </w:r>
          </w:p>
        </w:tc>
        <w:tc>
          <w:tcPr>
            <w:tcW w:w="742" w:type="pct"/>
          </w:tcPr>
          <w:p w14:paraId="46458D1E" w14:textId="77777777" w:rsidR="00963882" w:rsidRDefault="00963882" w:rsidP="00D77EC5">
            <w:pPr>
              <w:pStyle w:val="TableText"/>
            </w:pPr>
            <w:r w:rsidRPr="00C757EB">
              <w:t>September 2018</w:t>
            </w:r>
          </w:p>
        </w:tc>
        <w:tc>
          <w:tcPr>
            <w:tcW w:w="557" w:type="pct"/>
          </w:tcPr>
          <w:p w14:paraId="754389E8" w14:textId="77777777" w:rsidR="00963882" w:rsidRDefault="00963882" w:rsidP="00D77EC5">
            <w:pPr>
              <w:pStyle w:val="TableText"/>
            </w:pPr>
            <w:r w:rsidRPr="00C757EB">
              <w:t>1</w:t>
            </w:r>
          </w:p>
        </w:tc>
        <w:tc>
          <w:tcPr>
            <w:tcW w:w="555" w:type="pct"/>
          </w:tcPr>
          <w:p w14:paraId="3B0E6EE2" w14:textId="77777777" w:rsidR="00963882" w:rsidRDefault="00963882" w:rsidP="00D77EC5">
            <w:pPr>
              <w:pStyle w:val="TableText"/>
            </w:pPr>
            <w:r w:rsidRPr="00C757EB">
              <w:t>1</w:t>
            </w:r>
          </w:p>
        </w:tc>
        <w:tc>
          <w:tcPr>
            <w:tcW w:w="556" w:type="pct"/>
          </w:tcPr>
          <w:p w14:paraId="33C0B9A1" w14:textId="77777777" w:rsidR="00963882" w:rsidRDefault="00963882" w:rsidP="00D77EC5">
            <w:pPr>
              <w:pStyle w:val="TableText"/>
            </w:pPr>
            <w:r w:rsidRPr="00C757EB">
              <w:t>0</w:t>
            </w:r>
          </w:p>
        </w:tc>
      </w:tr>
      <w:tr w:rsidR="00963882" w14:paraId="5D79312E" w14:textId="77777777" w:rsidTr="00106F50">
        <w:tc>
          <w:tcPr>
            <w:tcW w:w="2590" w:type="pct"/>
          </w:tcPr>
          <w:p w14:paraId="673F930A" w14:textId="77777777" w:rsidR="00963882" w:rsidRDefault="00963882" w:rsidP="00D77EC5">
            <w:pPr>
              <w:pStyle w:val="TableText"/>
            </w:pPr>
            <w:r w:rsidRPr="00C757EB">
              <w:t>Horse importation biosecurity risk management</w:t>
            </w:r>
          </w:p>
        </w:tc>
        <w:tc>
          <w:tcPr>
            <w:tcW w:w="742" w:type="pct"/>
          </w:tcPr>
          <w:p w14:paraId="0CF8C8F1" w14:textId="77777777" w:rsidR="00963882" w:rsidRDefault="00963882" w:rsidP="00D77EC5">
            <w:pPr>
              <w:pStyle w:val="TableText"/>
            </w:pPr>
            <w:r w:rsidRPr="00C757EB">
              <w:t>September 2018</w:t>
            </w:r>
          </w:p>
        </w:tc>
        <w:tc>
          <w:tcPr>
            <w:tcW w:w="557" w:type="pct"/>
          </w:tcPr>
          <w:p w14:paraId="3F418504" w14:textId="77777777" w:rsidR="00963882" w:rsidRDefault="00963882" w:rsidP="00D77EC5">
            <w:pPr>
              <w:pStyle w:val="TableText"/>
            </w:pPr>
            <w:r w:rsidRPr="00C757EB">
              <w:t>4</w:t>
            </w:r>
          </w:p>
        </w:tc>
        <w:tc>
          <w:tcPr>
            <w:tcW w:w="555" w:type="pct"/>
          </w:tcPr>
          <w:p w14:paraId="4F98BE86" w14:textId="77777777" w:rsidR="00963882" w:rsidRDefault="00963882" w:rsidP="00D77EC5">
            <w:pPr>
              <w:pStyle w:val="TableText"/>
            </w:pPr>
            <w:r w:rsidRPr="00C757EB">
              <w:t>4</w:t>
            </w:r>
          </w:p>
        </w:tc>
        <w:tc>
          <w:tcPr>
            <w:tcW w:w="556" w:type="pct"/>
          </w:tcPr>
          <w:p w14:paraId="31D1ECE1" w14:textId="77777777" w:rsidR="00963882" w:rsidRDefault="00963882" w:rsidP="00D77EC5">
            <w:pPr>
              <w:pStyle w:val="TableText"/>
            </w:pPr>
            <w:r w:rsidRPr="00C757EB">
              <w:t>0</w:t>
            </w:r>
          </w:p>
        </w:tc>
      </w:tr>
      <w:tr w:rsidR="00963882" w14:paraId="61DF6128" w14:textId="77777777" w:rsidTr="00106F50">
        <w:tc>
          <w:tcPr>
            <w:tcW w:w="2590" w:type="pct"/>
          </w:tcPr>
          <w:p w14:paraId="0D608975" w14:textId="77777777" w:rsidR="00963882" w:rsidRDefault="00963882" w:rsidP="00D77EC5">
            <w:pPr>
              <w:pStyle w:val="TableText"/>
            </w:pPr>
            <w:r w:rsidRPr="00C757EB">
              <w:t>Military biosecurity risk management in Australia</w:t>
            </w:r>
          </w:p>
        </w:tc>
        <w:tc>
          <w:tcPr>
            <w:tcW w:w="742" w:type="pct"/>
          </w:tcPr>
          <w:p w14:paraId="4B85F584" w14:textId="77777777" w:rsidR="00963882" w:rsidRDefault="00963882" w:rsidP="00D77EC5">
            <w:pPr>
              <w:pStyle w:val="TableText"/>
            </w:pPr>
            <w:r w:rsidRPr="00C757EB">
              <w:t>July 2018</w:t>
            </w:r>
          </w:p>
        </w:tc>
        <w:tc>
          <w:tcPr>
            <w:tcW w:w="557" w:type="pct"/>
          </w:tcPr>
          <w:p w14:paraId="6D28A2A4" w14:textId="77777777" w:rsidR="00963882" w:rsidRDefault="00963882" w:rsidP="00D77EC5">
            <w:pPr>
              <w:pStyle w:val="TableText"/>
            </w:pPr>
            <w:r w:rsidRPr="00C757EB">
              <w:t>5</w:t>
            </w:r>
          </w:p>
        </w:tc>
        <w:tc>
          <w:tcPr>
            <w:tcW w:w="555" w:type="pct"/>
          </w:tcPr>
          <w:p w14:paraId="4AF457AD" w14:textId="77777777" w:rsidR="00963882" w:rsidRDefault="00963882" w:rsidP="00D77EC5">
            <w:pPr>
              <w:pStyle w:val="TableText"/>
            </w:pPr>
            <w:r w:rsidRPr="00C757EB">
              <w:t>3</w:t>
            </w:r>
          </w:p>
        </w:tc>
        <w:tc>
          <w:tcPr>
            <w:tcW w:w="556" w:type="pct"/>
          </w:tcPr>
          <w:p w14:paraId="1AD4697B" w14:textId="77777777" w:rsidR="00963882" w:rsidRDefault="00963882" w:rsidP="00D77EC5">
            <w:pPr>
              <w:pStyle w:val="TableText"/>
            </w:pPr>
            <w:r w:rsidRPr="00C757EB">
              <w:t>2</w:t>
            </w:r>
          </w:p>
        </w:tc>
      </w:tr>
      <w:tr w:rsidR="00963882" w14:paraId="1DDFC0D9" w14:textId="77777777" w:rsidTr="00106F50">
        <w:tc>
          <w:tcPr>
            <w:tcW w:w="2590" w:type="pct"/>
          </w:tcPr>
          <w:p w14:paraId="519F34B1" w14:textId="77777777" w:rsidR="00963882" w:rsidRDefault="00963882" w:rsidP="00D77EC5">
            <w:pPr>
              <w:pStyle w:val="TableText"/>
            </w:pPr>
            <w:r w:rsidRPr="00C757EB">
              <w:t>Hitchhiker pest and contaminant biosecurity risk management in Australia</w:t>
            </w:r>
          </w:p>
        </w:tc>
        <w:tc>
          <w:tcPr>
            <w:tcW w:w="742" w:type="pct"/>
          </w:tcPr>
          <w:p w14:paraId="63B53920" w14:textId="77777777" w:rsidR="00963882" w:rsidRDefault="00963882" w:rsidP="00D77EC5">
            <w:pPr>
              <w:pStyle w:val="TableText"/>
            </w:pPr>
            <w:r w:rsidRPr="00C757EB">
              <w:t>July 2018</w:t>
            </w:r>
          </w:p>
        </w:tc>
        <w:tc>
          <w:tcPr>
            <w:tcW w:w="557" w:type="pct"/>
          </w:tcPr>
          <w:p w14:paraId="3A5D5DC3" w14:textId="77777777" w:rsidR="00963882" w:rsidRDefault="00963882" w:rsidP="00D77EC5">
            <w:pPr>
              <w:pStyle w:val="TableText"/>
            </w:pPr>
            <w:r w:rsidRPr="00C757EB">
              <w:t>9</w:t>
            </w:r>
          </w:p>
        </w:tc>
        <w:tc>
          <w:tcPr>
            <w:tcW w:w="555" w:type="pct"/>
          </w:tcPr>
          <w:p w14:paraId="2AE2D337" w14:textId="77777777" w:rsidR="00963882" w:rsidRDefault="00963882" w:rsidP="00D77EC5">
            <w:pPr>
              <w:pStyle w:val="TableText"/>
            </w:pPr>
            <w:r w:rsidRPr="00C757EB">
              <w:t>5</w:t>
            </w:r>
          </w:p>
        </w:tc>
        <w:tc>
          <w:tcPr>
            <w:tcW w:w="556" w:type="pct"/>
          </w:tcPr>
          <w:p w14:paraId="5ACDA27F" w14:textId="77777777" w:rsidR="00963882" w:rsidRDefault="00963882" w:rsidP="00D77EC5">
            <w:pPr>
              <w:pStyle w:val="TableText"/>
            </w:pPr>
            <w:r w:rsidRPr="00C757EB">
              <w:t>4</w:t>
            </w:r>
          </w:p>
        </w:tc>
      </w:tr>
      <w:tr w:rsidR="00963882" w14:paraId="008E4DB4" w14:textId="77777777" w:rsidTr="00106F50">
        <w:tc>
          <w:tcPr>
            <w:tcW w:w="2590" w:type="pct"/>
          </w:tcPr>
          <w:p w14:paraId="2BF60F16" w14:textId="77777777" w:rsidR="00963882" w:rsidRDefault="00963882" w:rsidP="00D77EC5">
            <w:pPr>
              <w:pStyle w:val="TableText"/>
            </w:pPr>
            <w:r w:rsidRPr="00C757EB">
              <w:t>Uncooked prawn imports: effectiveness of biosecurity controls</w:t>
            </w:r>
          </w:p>
        </w:tc>
        <w:tc>
          <w:tcPr>
            <w:tcW w:w="742" w:type="pct"/>
          </w:tcPr>
          <w:p w14:paraId="19AD990F" w14:textId="77777777" w:rsidR="00963882" w:rsidRDefault="00963882" w:rsidP="00D77EC5">
            <w:pPr>
              <w:pStyle w:val="TableText"/>
            </w:pPr>
            <w:r w:rsidRPr="00C757EB">
              <w:t>December 2017</w:t>
            </w:r>
          </w:p>
        </w:tc>
        <w:tc>
          <w:tcPr>
            <w:tcW w:w="557" w:type="pct"/>
          </w:tcPr>
          <w:p w14:paraId="33D594AA" w14:textId="77777777" w:rsidR="00963882" w:rsidRDefault="00963882" w:rsidP="00D77EC5">
            <w:pPr>
              <w:pStyle w:val="TableText"/>
            </w:pPr>
            <w:r w:rsidRPr="00C757EB">
              <w:t>22</w:t>
            </w:r>
          </w:p>
        </w:tc>
        <w:tc>
          <w:tcPr>
            <w:tcW w:w="555" w:type="pct"/>
          </w:tcPr>
          <w:p w14:paraId="23B50AC9" w14:textId="77777777" w:rsidR="00963882" w:rsidRDefault="00963882" w:rsidP="00D77EC5">
            <w:pPr>
              <w:pStyle w:val="TableText"/>
            </w:pPr>
            <w:r w:rsidRPr="00C757EB">
              <w:t>18</w:t>
            </w:r>
          </w:p>
        </w:tc>
        <w:tc>
          <w:tcPr>
            <w:tcW w:w="556" w:type="pct"/>
          </w:tcPr>
          <w:p w14:paraId="736B905E" w14:textId="77777777" w:rsidR="00963882" w:rsidRDefault="00963882" w:rsidP="00D77EC5">
            <w:pPr>
              <w:pStyle w:val="TableText"/>
            </w:pPr>
            <w:r w:rsidRPr="00C757EB">
              <w:t>4</w:t>
            </w:r>
          </w:p>
        </w:tc>
      </w:tr>
      <w:tr w:rsidR="00963882" w14:paraId="30AFF942" w14:textId="77777777" w:rsidTr="00106F50">
        <w:tc>
          <w:tcPr>
            <w:tcW w:w="2590" w:type="pct"/>
          </w:tcPr>
          <w:p w14:paraId="6E47A710" w14:textId="77777777" w:rsidR="00963882" w:rsidRDefault="00963882" w:rsidP="00D77EC5">
            <w:pPr>
              <w:pStyle w:val="TableText"/>
            </w:pPr>
            <w:r w:rsidRPr="00C757EB">
              <w:t>Review of Department of Agriculture and Water Resources management of biosecurity risks posed by invasive vector mosquitoes</w:t>
            </w:r>
          </w:p>
        </w:tc>
        <w:tc>
          <w:tcPr>
            <w:tcW w:w="742" w:type="pct"/>
          </w:tcPr>
          <w:p w14:paraId="4DE10540" w14:textId="77777777" w:rsidR="00963882" w:rsidRDefault="00963882" w:rsidP="00D77EC5">
            <w:pPr>
              <w:pStyle w:val="TableText"/>
            </w:pPr>
            <w:r w:rsidRPr="00C757EB">
              <w:t>May 2017</w:t>
            </w:r>
          </w:p>
        </w:tc>
        <w:tc>
          <w:tcPr>
            <w:tcW w:w="557" w:type="pct"/>
          </w:tcPr>
          <w:p w14:paraId="4C9357F8" w14:textId="77777777" w:rsidR="00963882" w:rsidRDefault="00963882" w:rsidP="00D77EC5">
            <w:pPr>
              <w:pStyle w:val="TableText"/>
            </w:pPr>
            <w:r w:rsidRPr="00C757EB">
              <w:t>11</w:t>
            </w:r>
          </w:p>
        </w:tc>
        <w:tc>
          <w:tcPr>
            <w:tcW w:w="555" w:type="pct"/>
          </w:tcPr>
          <w:p w14:paraId="4BA29844" w14:textId="77777777" w:rsidR="00963882" w:rsidRDefault="00963882" w:rsidP="00D77EC5">
            <w:pPr>
              <w:pStyle w:val="TableText"/>
            </w:pPr>
            <w:r w:rsidRPr="00C757EB">
              <w:t>11</w:t>
            </w:r>
          </w:p>
        </w:tc>
        <w:tc>
          <w:tcPr>
            <w:tcW w:w="556" w:type="pct"/>
          </w:tcPr>
          <w:p w14:paraId="37B83402" w14:textId="77777777" w:rsidR="00963882" w:rsidRDefault="00963882" w:rsidP="00D77EC5">
            <w:pPr>
              <w:pStyle w:val="TableText"/>
            </w:pPr>
            <w:r w:rsidRPr="00C757EB">
              <w:t>0</w:t>
            </w:r>
          </w:p>
        </w:tc>
      </w:tr>
      <w:tr w:rsidR="00963882" w14:paraId="6F357CCC" w14:textId="77777777" w:rsidTr="00106F50">
        <w:tc>
          <w:tcPr>
            <w:tcW w:w="2590" w:type="pct"/>
          </w:tcPr>
          <w:p w14:paraId="69FA2C38" w14:textId="77777777" w:rsidR="00963882" w:rsidRDefault="00963882" w:rsidP="00D77EC5">
            <w:pPr>
              <w:pStyle w:val="TableText"/>
            </w:pPr>
            <w:r w:rsidRPr="00C757EB">
              <w:t>Effectiveness of biosecurity controls for importation of tomato and carrot seeds</w:t>
            </w:r>
          </w:p>
        </w:tc>
        <w:tc>
          <w:tcPr>
            <w:tcW w:w="742" w:type="pct"/>
          </w:tcPr>
          <w:p w14:paraId="3D7F58FB" w14:textId="77777777" w:rsidR="00963882" w:rsidRDefault="00963882" w:rsidP="00D77EC5">
            <w:pPr>
              <w:pStyle w:val="TableText"/>
            </w:pPr>
            <w:r w:rsidRPr="00C757EB">
              <w:t>May 2016</w:t>
            </w:r>
          </w:p>
        </w:tc>
        <w:tc>
          <w:tcPr>
            <w:tcW w:w="557" w:type="pct"/>
          </w:tcPr>
          <w:p w14:paraId="59855998" w14:textId="77777777" w:rsidR="00963882" w:rsidRDefault="00963882" w:rsidP="00D77EC5">
            <w:pPr>
              <w:pStyle w:val="TableText"/>
            </w:pPr>
            <w:r w:rsidRPr="00C757EB">
              <w:t>12</w:t>
            </w:r>
          </w:p>
        </w:tc>
        <w:tc>
          <w:tcPr>
            <w:tcW w:w="555" w:type="pct"/>
          </w:tcPr>
          <w:p w14:paraId="6BCAEFD6" w14:textId="77777777" w:rsidR="00963882" w:rsidRDefault="00963882" w:rsidP="00D77EC5">
            <w:pPr>
              <w:pStyle w:val="TableText"/>
            </w:pPr>
            <w:r w:rsidRPr="00C757EB">
              <w:t>12</w:t>
            </w:r>
          </w:p>
        </w:tc>
        <w:tc>
          <w:tcPr>
            <w:tcW w:w="556" w:type="pct"/>
          </w:tcPr>
          <w:p w14:paraId="635FD9DA" w14:textId="77777777" w:rsidR="00963882" w:rsidRDefault="00963882" w:rsidP="00D77EC5">
            <w:pPr>
              <w:pStyle w:val="TableText"/>
            </w:pPr>
            <w:r w:rsidRPr="00C757EB">
              <w:t>0</w:t>
            </w:r>
          </w:p>
        </w:tc>
      </w:tr>
      <w:tr w:rsidR="00963882" w14:paraId="7A0769BB" w14:textId="77777777" w:rsidTr="00106F50">
        <w:tc>
          <w:tcPr>
            <w:tcW w:w="2590" w:type="pct"/>
          </w:tcPr>
          <w:p w14:paraId="7201A0EE" w14:textId="77777777" w:rsidR="00963882" w:rsidRDefault="00963882" w:rsidP="00D77EC5">
            <w:pPr>
              <w:pStyle w:val="TableText"/>
            </w:pPr>
          </w:p>
        </w:tc>
        <w:tc>
          <w:tcPr>
            <w:tcW w:w="742" w:type="pct"/>
          </w:tcPr>
          <w:p w14:paraId="4387D05C" w14:textId="77777777" w:rsidR="00963882" w:rsidRPr="00315143" w:rsidRDefault="00963882" w:rsidP="00D77EC5">
            <w:pPr>
              <w:pStyle w:val="TableText"/>
              <w:rPr>
                <w:rStyle w:val="Strong"/>
              </w:rPr>
            </w:pPr>
            <w:r w:rsidRPr="00315143">
              <w:rPr>
                <w:rStyle w:val="Strong"/>
              </w:rPr>
              <w:t>Totals</w:t>
            </w:r>
          </w:p>
        </w:tc>
        <w:tc>
          <w:tcPr>
            <w:tcW w:w="557" w:type="pct"/>
          </w:tcPr>
          <w:p w14:paraId="4C5123AD" w14:textId="77777777" w:rsidR="00963882" w:rsidRPr="00315143" w:rsidRDefault="00963882" w:rsidP="00D77EC5">
            <w:pPr>
              <w:pStyle w:val="TableText"/>
              <w:rPr>
                <w:rStyle w:val="Strong"/>
              </w:rPr>
            </w:pPr>
            <w:r w:rsidRPr="00315143">
              <w:rPr>
                <w:rStyle w:val="Strong"/>
              </w:rPr>
              <w:t>163</w:t>
            </w:r>
          </w:p>
        </w:tc>
        <w:tc>
          <w:tcPr>
            <w:tcW w:w="555" w:type="pct"/>
          </w:tcPr>
          <w:p w14:paraId="5FD27DE9" w14:textId="77777777" w:rsidR="00963882" w:rsidRPr="00315143" w:rsidRDefault="00963882" w:rsidP="00D77EC5">
            <w:pPr>
              <w:pStyle w:val="TableText"/>
              <w:rPr>
                <w:rStyle w:val="Strong"/>
              </w:rPr>
            </w:pPr>
            <w:r w:rsidRPr="00315143">
              <w:rPr>
                <w:rStyle w:val="Strong"/>
              </w:rPr>
              <w:t>99</w:t>
            </w:r>
          </w:p>
        </w:tc>
        <w:tc>
          <w:tcPr>
            <w:tcW w:w="556" w:type="pct"/>
          </w:tcPr>
          <w:p w14:paraId="29353A39" w14:textId="77777777" w:rsidR="00963882" w:rsidRPr="00315143" w:rsidRDefault="00963882" w:rsidP="00D77EC5">
            <w:pPr>
              <w:pStyle w:val="TableText"/>
              <w:rPr>
                <w:rStyle w:val="Strong"/>
              </w:rPr>
            </w:pPr>
            <w:r w:rsidRPr="00315143">
              <w:rPr>
                <w:rStyle w:val="Strong"/>
              </w:rPr>
              <w:t>64</w:t>
            </w:r>
          </w:p>
        </w:tc>
      </w:tr>
    </w:tbl>
    <w:p w14:paraId="097020A6" w14:textId="77777777" w:rsidR="00963882" w:rsidRPr="007E34D9" w:rsidRDefault="00963882" w:rsidP="00963882">
      <w:pPr>
        <w:pStyle w:val="FigureTableNoteSource"/>
      </w:pPr>
      <w:r w:rsidRPr="007E34D9">
        <w:t>Note: The figures for the Inspectors-General review recommendations are recorded as of 9 August 2021.</w:t>
      </w:r>
    </w:p>
    <w:p w14:paraId="01BD4CD6" w14:textId="5B63F44B" w:rsidR="008848B8" w:rsidRPr="004A7315" w:rsidRDefault="008848B8" w:rsidP="00271C3E">
      <w:pPr>
        <w:pStyle w:val="Heading2"/>
      </w:pPr>
      <w:bookmarkStart w:id="19" w:name="_Toc87543861"/>
      <w:r w:rsidRPr="004A7315">
        <w:lastRenderedPageBreak/>
        <w:t>Results of current audit</w:t>
      </w:r>
      <w:bookmarkEnd w:id="19"/>
    </w:p>
    <w:p w14:paraId="5DC77333" w14:textId="6CAA0D5C" w:rsidR="00F45DBC" w:rsidRPr="004A7315" w:rsidRDefault="00F45DBC" w:rsidP="004A7315">
      <w:pPr>
        <w:pStyle w:val="Heading3"/>
      </w:pPr>
      <w:bookmarkStart w:id="20" w:name="_Toc87543862"/>
      <w:r w:rsidRPr="004A7315">
        <w:t>Theming of review recommendations</w:t>
      </w:r>
      <w:bookmarkEnd w:id="20"/>
    </w:p>
    <w:p w14:paraId="08D51A67" w14:textId="0FD57EB8" w:rsidR="00F964FB" w:rsidRDefault="0094484F" w:rsidP="00F45DBC">
      <w:r>
        <w:t xml:space="preserve">As part of this review the </w:t>
      </w:r>
      <w:r w:rsidR="00512E7D">
        <w:t xml:space="preserve">Inspector-General analysed </w:t>
      </w:r>
      <w:r w:rsidR="00D373A6" w:rsidRPr="00D373A6">
        <w:t>previous review</w:t>
      </w:r>
      <w:r w:rsidR="00D373A6">
        <w:t xml:space="preserve"> recommendations </w:t>
      </w:r>
      <w:r w:rsidR="00512E7D">
        <w:t xml:space="preserve">and </w:t>
      </w:r>
      <w:r w:rsidR="00D373A6">
        <w:t>group</w:t>
      </w:r>
      <w:r w:rsidR="00512E7D">
        <w:t>ed</w:t>
      </w:r>
      <w:r w:rsidR="00F83C6D">
        <w:t xml:space="preserve"> </w:t>
      </w:r>
      <w:r w:rsidR="00512E7D">
        <w:t xml:space="preserve">them </w:t>
      </w:r>
      <w:r w:rsidR="00D373A6">
        <w:t xml:space="preserve">into </w:t>
      </w:r>
      <w:r w:rsidR="00F964FB">
        <w:t xml:space="preserve">a number of key </w:t>
      </w:r>
      <w:r w:rsidR="00D373A6">
        <w:t xml:space="preserve">themes, which are presented in </w:t>
      </w:r>
      <w:r w:rsidR="00605428">
        <w:fldChar w:fldCharType="begin"/>
      </w:r>
      <w:r w:rsidR="00605428">
        <w:instrText xml:space="preserve"> REF _Ref82170011 \h </w:instrText>
      </w:r>
      <w:r w:rsidR="00605428">
        <w:fldChar w:fldCharType="separate"/>
      </w:r>
      <w:r w:rsidR="00605428">
        <w:t xml:space="preserve">Table </w:t>
      </w:r>
      <w:r w:rsidR="00605428">
        <w:rPr>
          <w:noProof/>
        </w:rPr>
        <w:t>2</w:t>
      </w:r>
      <w:r w:rsidR="00605428">
        <w:fldChar w:fldCharType="end"/>
      </w:r>
      <w:r w:rsidR="00D373A6">
        <w:t>.</w:t>
      </w:r>
    </w:p>
    <w:p w14:paraId="6029EFCA" w14:textId="1EB358DE" w:rsidR="00F964FB" w:rsidRDefault="0067490C" w:rsidP="00F45DBC">
      <w:r>
        <w:t xml:space="preserve">When </w:t>
      </w:r>
      <w:r w:rsidR="00512E7D">
        <w:t xml:space="preserve">the recommendations </w:t>
      </w:r>
      <w:r>
        <w:t xml:space="preserve">were organised </w:t>
      </w:r>
      <w:r w:rsidR="00512E7D">
        <w:t xml:space="preserve">into key themes, </w:t>
      </w:r>
      <w:r w:rsidR="00794192">
        <w:t xml:space="preserve">it became evident that there are </w:t>
      </w:r>
      <w:r w:rsidR="00512E7D">
        <w:t xml:space="preserve">certain areas </w:t>
      </w:r>
      <w:r w:rsidR="00F964FB">
        <w:t xml:space="preserve">in which the department </w:t>
      </w:r>
      <w:r w:rsidR="005F31CC">
        <w:t xml:space="preserve">has </w:t>
      </w:r>
      <w:r w:rsidR="00F964FB">
        <w:t>struggle</w:t>
      </w:r>
      <w:r w:rsidR="005F31CC">
        <w:t>d</w:t>
      </w:r>
      <w:r w:rsidR="00F964FB">
        <w:t xml:space="preserve"> to make substantial progress </w:t>
      </w:r>
      <w:r w:rsidR="00512E7D">
        <w:t xml:space="preserve">(resulting in </w:t>
      </w:r>
      <w:r w:rsidR="00F83C6D">
        <w:t xml:space="preserve">similar recommendations </w:t>
      </w:r>
      <w:r w:rsidR="00512E7D">
        <w:t xml:space="preserve">being made </w:t>
      </w:r>
      <w:r w:rsidR="00F83C6D">
        <w:t xml:space="preserve">through multiple </w:t>
      </w:r>
      <w:r w:rsidR="00881DF5">
        <w:t xml:space="preserve">Inspector-General </w:t>
      </w:r>
      <w:r w:rsidR="00F83C6D">
        <w:t>reviews</w:t>
      </w:r>
      <w:r w:rsidR="00512E7D">
        <w:t>)</w:t>
      </w:r>
      <w:r w:rsidR="00F83C6D">
        <w:t>.</w:t>
      </w:r>
      <w:r w:rsidR="00512E7D">
        <w:t xml:space="preserve"> M</w:t>
      </w:r>
      <w:r w:rsidR="005F31CC">
        <w:t>any</w:t>
      </w:r>
      <w:r w:rsidR="00512E7D">
        <w:t xml:space="preserve"> </w:t>
      </w:r>
      <w:r w:rsidR="00F964FB">
        <w:t>recommendations</w:t>
      </w:r>
      <w:r w:rsidR="000C11F5">
        <w:t xml:space="preserve"> </w:t>
      </w:r>
      <w:r w:rsidR="000C11F5">
        <w:sym w:font="Symbol" w:char="F02D"/>
      </w:r>
      <w:r w:rsidR="000C11F5">
        <w:t xml:space="preserve"> </w:t>
      </w:r>
      <w:r w:rsidR="00F964FB">
        <w:t>namely</w:t>
      </w:r>
      <w:r w:rsidR="000C11F5">
        <w:t>,</w:t>
      </w:r>
      <w:r w:rsidR="00F964FB">
        <w:t xml:space="preserve"> </w:t>
      </w:r>
      <w:r w:rsidR="004055DA">
        <w:t xml:space="preserve">76 </w:t>
      </w:r>
      <w:r w:rsidR="00F964FB">
        <w:t xml:space="preserve">out of </w:t>
      </w:r>
      <w:r w:rsidR="0036594C">
        <w:t>163</w:t>
      </w:r>
      <w:r w:rsidR="000C11F5">
        <w:t xml:space="preserve"> </w:t>
      </w:r>
      <w:r w:rsidR="000C11F5">
        <w:sym w:font="Symbol" w:char="F02D"/>
      </w:r>
      <w:r w:rsidR="000C11F5">
        <w:t xml:space="preserve"> </w:t>
      </w:r>
      <w:r w:rsidR="00512E7D">
        <w:t xml:space="preserve">are grouped </w:t>
      </w:r>
      <w:r w:rsidR="00F964FB">
        <w:t>under just 3 themes (</w:t>
      </w:r>
      <w:r w:rsidR="0094484F">
        <w:t>‘</w:t>
      </w:r>
      <w:r w:rsidR="00F964FB">
        <w:t>Assurance and verification</w:t>
      </w:r>
      <w:r w:rsidR="0094484F">
        <w:t>’</w:t>
      </w:r>
      <w:r w:rsidR="00F964FB">
        <w:t xml:space="preserve">; </w:t>
      </w:r>
      <w:r w:rsidR="0094484F">
        <w:t>‘</w:t>
      </w:r>
      <w:r w:rsidR="00F964FB">
        <w:t>Gover</w:t>
      </w:r>
      <w:r w:rsidR="00EE4B21">
        <w:t>na</w:t>
      </w:r>
      <w:r w:rsidR="00F964FB">
        <w:t>nce/management</w:t>
      </w:r>
      <w:r w:rsidR="0094484F">
        <w:t>’</w:t>
      </w:r>
      <w:r w:rsidR="00F964FB">
        <w:t xml:space="preserve">; </w:t>
      </w:r>
      <w:r w:rsidR="0094484F">
        <w:t>‘</w:t>
      </w:r>
      <w:r w:rsidR="00EE4B21">
        <w:t>Better practice</w:t>
      </w:r>
      <w:r w:rsidR="0094484F">
        <w:t>’</w:t>
      </w:r>
      <w:r w:rsidR="00EE4B21">
        <w:t>)</w:t>
      </w:r>
      <w:r w:rsidR="00512E7D">
        <w:t>. This</w:t>
      </w:r>
      <w:r w:rsidR="00EE4B21">
        <w:t xml:space="preserve"> is cause for </w:t>
      </w:r>
      <w:r w:rsidR="0028668F">
        <w:t xml:space="preserve">significant </w:t>
      </w:r>
      <w:r w:rsidR="00EE4B21">
        <w:t>concern.</w:t>
      </w:r>
    </w:p>
    <w:p w14:paraId="518BE8B4" w14:textId="6D8FADAC" w:rsidR="00EE4B21" w:rsidRPr="00F87D36" w:rsidRDefault="00512E7D" w:rsidP="00512E7D">
      <w:r>
        <w:t xml:space="preserve">In a </w:t>
      </w:r>
      <w:r w:rsidR="00EE4B21" w:rsidRPr="00315143">
        <w:t>recent</w:t>
      </w:r>
      <w:r w:rsidR="00854AE1">
        <w:t xml:space="preserve"> Inspector-General</w:t>
      </w:r>
      <w:r w:rsidR="00EE4B21" w:rsidRPr="00315143">
        <w:t xml:space="preserve"> report </w:t>
      </w:r>
      <w:r w:rsidR="00854AE1">
        <w:t xml:space="preserve">titled </w:t>
      </w:r>
      <w:r w:rsidR="00EE4B21" w:rsidRPr="008D7FB3">
        <w:rPr>
          <w:i/>
          <w:iCs/>
        </w:rPr>
        <w:t>Adequacy of department’s operational model to effectively mitigate biosecurity risks in evolving risk and business environments</w:t>
      </w:r>
      <w:r w:rsidR="00854AE1">
        <w:t>,</w:t>
      </w:r>
      <w:r w:rsidR="000C11F5" w:rsidRPr="008D7FB3">
        <w:t xml:space="preserve"> </w:t>
      </w:r>
      <w:r>
        <w:t xml:space="preserve">the Inspector-General pointed out </w:t>
      </w:r>
      <w:r w:rsidR="006F16A1" w:rsidRPr="008D7FB3">
        <w:t xml:space="preserve">that </w:t>
      </w:r>
      <w:r>
        <w:t xml:space="preserve">there were </w:t>
      </w:r>
      <w:r w:rsidR="0028668F" w:rsidRPr="008D7FB3">
        <w:t>several</w:t>
      </w:r>
      <w:r w:rsidR="006F16A1" w:rsidRPr="008D7FB3">
        <w:t xml:space="preserve"> foundation weaknesses </w:t>
      </w:r>
      <w:r>
        <w:t xml:space="preserve">(‘root causes’) </w:t>
      </w:r>
      <w:r w:rsidR="006F16A1" w:rsidRPr="008D7FB3">
        <w:t>in the department’s delivery of biosecurity functions</w:t>
      </w:r>
      <w:r w:rsidR="0067490C">
        <w:t xml:space="preserve"> that, if </w:t>
      </w:r>
      <w:r>
        <w:t xml:space="preserve">not addressed, </w:t>
      </w:r>
      <w:r w:rsidR="006F16A1" w:rsidRPr="0042175A">
        <w:t xml:space="preserve">will continue to </w:t>
      </w:r>
      <w:r>
        <w:t xml:space="preserve">create problems </w:t>
      </w:r>
      <w:r w:rsidR="006F16A1" w:rsidRPr="008D7FB3">
        <w:t xml:space="preserve">in many areas of </w:t>
      </w:r>
      <w:r w:rsidR="000C11F5" w:rsidRPr="008D7FB3">
        <w:t>b</w:t>
      </w:r>
      <w:r w:rsidR="006F16A1" w:rsidRPr="008D7FB3">
        <w:t>iosecurity.</w:t>
      </w:r>
    </w:p>
    <w:p w14:paraId="41CBA7FB" w14:textId="4CC8055D" w:rsidR="00512E7D" w:rsidRDefault="00F83C6D" w:rsidP="00F45DBC">
      <w:r w:rsidRPr="0067490C">
        <w:t xml:space="preserve">The department needs to </w:t>
      </w:r>
      <w:r w:rsidR="0028668F" w:rsidRPr="0067490C">
        <w:t xml:space="preserve">consider </w:t>
      </w:r>
      <w:r w:rsidR="0067490C" w:rsidRPr="0067490C">
        <w:t xml:space="preserve">why there are a </w:t>
      </w:r>
      <w:r w:rsidR="0028668F" w:rsidRPr="0067490C">
        <w:t xml:space="preserve">significant number of </w:t>
      </w:r>
      <w:r w:rsidRPr="0067490C">
        <w:t xml:space="preserve">recommendations under </w:t>
      </w:r>
      <w:r w:rsidR="000C11F5" w:rsidRPr="0067490C">
        <w:t xml:space="preserve">6 </w:t>
      </w:r>
      <w:r w:rsidRPr="0067490C">
        <w:t xml:space="preserve">of </w:t>
      </w:r>
      <w:r w:rsidR="00881DF5" w:rsidRPr="0067490C">
        <w:t>the</w:t>
      </w:r>
      <w:r w:rsidRPr="0067490C">
        <w:t xml:space="preserve"> themes</w:t>
      </w:r>
      <w:r w:rsidR="005F31CC">
        <w:t>,</w:t>
      </w:r>
      <w:r w:rsidRPr="0067490C">
        <w:t xml:space="preserve"> </w:t>
      </w:r>
      <w:r w:rsidR="0067490C" w:rsidRPr="0067490C">
        <w:t xml:space="preserve">so that it can </w:t>
      </w:r>
      <w:r w:rsidR="0067490C">
        <w:t xml:space="preserve">isolate </w:t>
      </w:r>
      <w:r w:rsidR="001C7AF9" w:rsidRPr="0067490C">
        <w:t>t</w:t>
      </w:r>
      <w:r w:rsidR="00881DF5" w:rsidRPr="0067490C">
        <w:t xml:space="preserve">he </w:t>
      </w:r>
      <w:r w:rsidRPr="0067490C">
        <w:t xml:space="preserve">underlying </w:t>
      </w:r>
      <w:r w:rsidR="005F31CC">
        <w:t xml:space="preserve">(root) </w:t>
      </w:r>
      <w:r w:rsidRPr="0067490C">
        <w:t>causes</w:t>
      </w:r>
      <w:r w:rsidR="001C7AF9" w:rsidRPr="0067490C">
        <w:t xml:space="preserve"> </w:t>
      </w:r>
      <w:r w:rsidRPr="0067490C">
        <w:t xml:space="preserve">and identify </w:t>
      </w:r>
      <w:r w:rsidR="00881DF5" w:rsidRPr="0067490C">
        <w:t xml:space="preserve">and implement </w:t>
      </w:r>
      <w:r w:rsidRPr="0067490C">
        <w:t>actions, improvements and reform</w:t>
      </w:r>
      <w:r w:rsidR="00CE3403" w:rsidRPr="0067490C">
        <w:t>s</w:t>
      </w:r>
      <w:r w:rsidRPr="0067490C">
        <w:t xml:space="preserve"> to address </w:t>
      </w:r>
      <w:r w:rsidR="0067490C">
        <w:t>them</w:t>
      </w:r>
      <w:r w:rsidRPr="0067490C">
        <w:t>.</w:t>
      </w:r>
      <w:r>
        <w:t xml:space="preserve"> </w:t>
      </w:r>
    </w:p>
    <w:p w14:paraId="5A3E226B" w14:textId="5655960B" w:rsidR="00881DF5" w:rsidRDefault="005E5903" w:rsidP="00F45DBC">
      <w:r>
        <w:t>For future Inspector-General reviews, t</w:t>
      </w:r>
      <w:r w:rsidR="001C7AF9">
        <w:t xml:space="preserve">he department </w:t>
      </w:r>
      <w:r>
        <w:t>should</w:t>
      </w:r>
      <w:r w:rsidR="001C7AF9">
        <w:t xml:space="preserve"> </w:t>
      </w:r>
      <w:bookmarkStart w:id="21" w:name="_Hlk82077371"/>
      <w:r w:rsidR="00B049FF">
        <w:t xml:space="preserve">continue to group the </w:t>
      </w:r>
      <w:r w:rsidR="001C7AF9">
        <w:t xml:space="preserve">recommendations </w:t>
      </w:r>
      <w:r>
        <w:t xml:space="preserve">under </w:t>
      </w:r>
      <w:r w:rsidR="00B049FF">
        <w:t xml:space="preserve">the </w:t>
      </w:r>
      <w:r>
        <w:t xml:space="preserve">major </w:t>
      </w:r>
      <w:r w:rsidR="001C7AF9">
        <w:t>themes</w:t>
      </w:r>
      <w:r w:rsidR="00B049FF">
        <w:t xml:space="preserve"> shown in</w:t>
      </w:r>
      <w:r w:rsidR="002A7888">
        <w:t xml:space="preserve"> </w:t>
      </w:r>
      <w:r w:rsidR="002A7888">
        <w:fldChar w:fldCharType="begin"/>
      </w:r>
      <w:r w:rsidR="002A7888">
        <w:instrText xml:space="preserve"> REF _Ref82170011 \h </w:instrText>
      </w:r>
      <w:r w:rsidR="002A7888">
        <w:fldChar w:fldCharType="separate"/>
      </w:r>
      <w:r w:rsidR="002A7888">
        <w:t xml:space="preserve">Table </w:t>
      </w:r>
      <w:r w:rsidR="002A7888">
        <w:rPr>
          <w:noProof/>
        </w:rPr>
        <w:t>2</w:t>
      </w:r>
      <w:r w:rsidR="002A7888">
        <w:fldChar w:fldCharType="end"/>
      </w:r>
      <w:r w:rsidR="001C7AF9">
        <w:t xml:space="preserve">. </w:t>
      </w:r>
      <w:bookmarkEnd w:id="21"/>
      <w:r w:rsidR="00F83C6D">
        <w:t xml:space="preserve">This </w:t>
      </w:r>
      <w:r w:rsidR="00B049FF">
        <w:t xml:space="preserve">will </w:t>
      </w:r>
      <w:r w:rsidR="001C7AF9">
        <w:t xml:space="preserve">ensure </w:t>
      </w:r>
      <w:r w:rsidR="00B049FF" w:rsidRPr="0094484F">
        <w:t xml:space="preserve">that </w:t>
      </w:r>
      <w:r w:rsidR="001C7AF9" w:rsidRPr="0094484F">
        <w:t xml:space="preserve">wider lessons </w:t>
      </w:r>
      <w:r w:rsidR="0067490C" w:rsidRPr="0094484F">
        <w:t xml:space="preserve">can be </w:t>
      </w:r>
      <w:r w:rsidRPr="0094484F">
        <w:t xml:space="preserve">learned </w:t>
      </w:r>
      <w:r w:rsidR="001C7AF9" w:rsidRPr="0094484F">
        <w:t>from selected reviews</w:t>
      </w:r>
      <w:r w:rsidR="0094484F">
        <w:t>,</w:t>
      </w:r>
      <w:r w:rsidRPr="0094484F">
        <w:t xml:space="preserve"> </w:t>
      </w:r>
      <w:r w:rsidR="0094484F">
        <w:t xml:space="preserve">which can then be used to </w:t>
      </w:r>
      <w:r w:rsidR="0067490C" w:rsidRPr="0094484F">
        <w:t xml:space="preserve">support </w:t>
      </w:r>
      <w:r w:rsidR="001C7AF9" w:rsidRPr="0094484F">
        <w:t xml:space="preserve">ongoing reform and improvements </w:t>
      </w:r>
      <w:r w:rsidR="007E39C5" w:rsidRPr="0094484F">
        <w:t>and address systemic issues of</w:t>
      </w:r>
      <w:r w:rsidR="001C7AF9" w:rsidRPr="0094484F">
        <w:t xml:space="preserve"> the biosecurity system. This</w:t>
      </w:r>
      <w:r w:rsidR="001C7AF9" w:rsidRPr="0067490C">
        <w:t xml:space="preserve"> </w:t>
      </w:r>
      <w:r w:rsidR="007E39C5" w:rsidRPr="0067490C">
        <w:t xml:space="preserve">work </w:t>
      </w:r>
      <w:r w:rsidR="00881DF5" w:rsidRPr="0067490C">
        <w:t xml:space="preserve">should be </w:t>
      </w:r>
      <w:r w:rsidR="00B049FF" w:rsidRPr="0067490C">
        <w:t xml:space="preserve">part of </w:t>
      </w:r>
      <w:r w:rsidR="001C7AF9" w:rsidRPr="0067490C">
        <w:t>a</w:t>
      </w:r>
      <w:r w:rsidR="00881DF5" w:rsidRPr="0067490C">
        <w:t xml:space="preserve"> continuous improvement program </w:t>
      </w:r>
      <w:r w:rsidR="001C7AF9" w:rsidRPr="0067490C">
        <w:t xml:space="preserve">for </w:t>
      </w:r>
      <w:r w:rsidR="000C11F5" w:rsidRPr="0067490C">
        <w:t>b</w:t>
      </w:r>
      <w:r w:rsidR="001C7AF9" w:rsidRPr="0067490C">
        <w:t>iosecurity</w:t>
      </w:r>
      <w:r w:rsidR="00881DF5" w:rsidRPr="0067490C">
        <w:t>.</w:t>
      </w:r>
    </w:p>
    <w:p w14:paraId="2FAC002D" w14:textId="4FBE8874" w:rsidR="00F45DBC" w:rsidRDefault="00E97940" w:rsidP="00E97940">
      <w:pPr>
        <w:pStyle w:val="Caption"/>
      </w:pPr>
      <w:bookmarkStart w:id="22" w:name="_Ref82170011"/>
      <w:bookmarkStart w:id="23" w:name="_Toc87543890"/>
      <w:bookmarkStart w:id="24" w:name="_Toc88487903"/>
      <w:r>
        <w:t xml:space="preserve">Table </w:t>
      </w:r>
      <w:r w:rsidR="00D60801">
        <w:fldChar w:fldCharType="begin"/>
      </w:r>
      <w:r w:rsidR="00D60801">
        <w:instrText xml:space="preserve"> SEQ Table \* ARABIC </w:instrText>
      </w:r>
      <w:r w:rsidR="00D60801">
        <w:fldChar w:fldCharType="separate"/>
      </w:r>
      <w:r w:rsidR="006C4664">
        <w:rPr>
          <w:noProof/>
        </w:rPr>
        <w:t>2</w:t>
      </w:r>
      <w:r w:rsidR="00D60801">
        <w:rPr>
          <w:noProof/>
        </w:rPr>
        <w:fldChar w:fldCharType="end"/>
      </w:r>
      <w:bookmarkEnd w:id="22"/>
      <w:r>
        <w:t xml:space="preserve"> </w:t>
      </w:r>
      <w:r w:rsidR="00F45DBC">
        <w:t>Them</w:t>
      </w:r>
      <w:r w:rsidR="00F928EA">
        <w:t>es</w:t>
      </w:r>
      <w:r w:rsidR="00F45DBC">
        <w:t xml:space="preserve"> of </w:t>
      </w:r>
      <w:r w:rsidR="00F45DBC" w:rsidRPr="00EC073B">
        <w:t>Inspectors-General recommendations</w:t>
      </w:r>
      <w:bookmarkEnd w:id="23"/>
      <w:bookmarkEnd w:id="24"/>
    </w:p>
    <w:tbl>
      <w:tblPr>
        <w:tblStyle w:val="TableGrid"/>
        <w:tblW w:w="0" w:type="auto"/>
        <w:tblLook w:val="04A0" w:firstRow="1" w:lastRow="0" w:firstColumn="1" w:lastColumn="0" w:noHBand="0" w:noVBand="1"/>
      </w:tblPr>
      <w:tblGrid>
        <w:gridCol w:w="2405"/>
        <w:gridCol w:w="1580"/>
      </w:tblGrid>
      <w:tr w:rsidR="00F45DBC" w14:paraId="10F13E37" w14:textId="77777777" w:rsidTr="00B769C2">
        <w:trPr>
          <w:tblHeader/>
        </w:trPr>
        <w:tc>
          <w:tcPr>
            <w:tcW w:w="2405" w:type="dxa"/>
          </w:tcPr>
          <w:p w14:paraId="748F95C9" w14:textId="77777777" w:rsidR="00F45DBC" w:rsidRDefault="00F45DBC" w:rsidP="00D77EC5">
            <w:pPr>
              <w:pStyle w:val="TableHeading"/>
            </w:pPr>
            <w:r>
              <w:t>Theme</w:t>
            </w:r>
          </w:p>
        </w:tc>
        <w:tc>
          <w:tcPr>
            <w:tcW w:w="1580" w:type="dxa"/>
          </w:tcPr>
          <w:p w14:paraId="43723F3F" w14:textId="1A8F733A" w:rsidR="00F45DBC" w:rsidRDefault="00F928EA" w:rsidP="00D77EC5">
            <w:pPr>
              <w:pStyle w:val="TableHeading"/>
            </w:pPr>
            <w:r>
              <w:t>N</w:t>
            </w:r>
            <w:r w:rsidR="00F45DBC">
              <w:t>umber of recommendations</w:t>
            </w:r>
          </w:p>
        </w:tc>
      </w:tr>
      <w:tr w:rsidR="00F45DBC" w14:paraId="547F5CD7" w14:textId="77777777" w:rsidTr="00D77EC5">
        <w:tc>
          <w:tcPr>
            <w:tcW w:w="2405" w:type="dxa"/>
          </w:tcPr>
          <w:p w14:paraId="11EC6DCB" w14:textId="77777777" w:rsidR="00F45DBC" w:rsidRDefault="00F45DBC" w:rsidP="00D77EC5">
            <w:pPr>
              <w:pStyle w:val="TableText"/>
            </w:pPr>
            <w:r w:rsidRPr="00FE06C9">
              <w:t>Assurance and verification</w:t>
            </w:r>
          </w:p>
        </w:tc>
        <w:tc>
          <w:tcPr>
            <w:tcW w:w="1580" w:type="dxa"/>
          </w:tcPr>
          <w:p w14:paraId="363CC5DC" w14:textId="009F41C7" w:rsidR="00F45DBC" w:rsidRDefault="004055DA" w:rsidP="00D77EC5">
            <w:pPr>
              <w:pStyle w:val="TableText"/>
            </w:pPr>
            <w:r>
              <w:t>30</w:t>
            </w:r>
          </w:p>
        </w:tc>
      </w:tr>
      <w:tr w:rsidR="00F45DBC" w14:paraId="07FEC165" w14:textId="77777777" w:rsidTr="00D77EC5">
        <w:tc>
          <w:tcPr>
            <w:tcW w:w="2405" w:type="dxa"/>
          </w:tcPr>
          <w:p w14:paraId="35198EBB" w14:textId="77777777" w:rsidR="00F45DBC" w:rsidRDefault="00F45DBC" w:rsidP="00D77EC5">
            <w:pPr>
              <w:pStyle w:val="TableText"/>
            </w:pPr>
            <w:r w:rsidRPr="00FE06C9">
              <w:t>Governance/management</w:t>
            </w:r>
          </w:p>
        </w:tc>
        <w:tc>
          <w:tcPr>
            <w:tcW w:w="1580" w:type="dxa"/>
          </w:tcPr>
          <w:p w14:paraId="3085619E" w14:textId="78AB28E9" w:rsidR="00F45DBC" w:rsidRDefault="004055DA" w:rsidP="00D77EC5">
            <w:pPr>
              <w:pStyle w:val="TableText"/>
            </w:pPr>
            <w:r>
              <w:t>24</w:t>
            </w:r>
          </w:p>
        </w:tc>
      </w:tr>
      <w:tr w:rsidR="00F45DBC" w14:paraId="2469D117" w14:textId="77777777" w:rsidTr="00D77EC5">
        <w:tc>
          <w:tcPr>
            <w:tcW w:w="2405" w:type="dxa"/>
          </w:tcPr>
          <w:p w14:paraId="534DEEBF" w14:textId="77777777" w:rsidR="00F45DBC" w:rsidRDefault="00F45DBC" w:rsidP="00D77EC5">
            <w:pPr>
              <w:pStyle w:val="TableText"/>
            </w:pPr>
            <w:r w:rsidRPr="00FE06C9">
              <w:t>Better practice</w:t>
            </w:r>
          </w:p>
        </w:tc>
        <w:tc>
          <w:tcPr>
            <w:tcW w:w="1580" w:type="dxa"/>
          </w:tcPr>
          <w:p w14:paraId="6FCCF1EC" w14:textId="594D66A2" w:rsidR="00F45DBC" w:rsidRDefault="004055DA" w:rsidP="00D77EC5">
            <w:pPr>
              <w:pStyle w:val="TableText"/>
            </w:pPr>
            <w:r>
              <w:t>22</w:t>
            </w:r>
          </w:p>
        </w:tc>
      </w:tr>
      <w:tr w:rsidR="00F45DBC" w14:paraId="1A4F101E" w14:textId="77777777" w:rsidTr="00D77EC5">
        <w:tc>
          <w:tcPr>
            <w:tcW w:w="2405" w:type="dxa"/>
          </w:tcPr>
          <w:p w14:paraId="0A8717A1" w14:textId="77777777" w:rsidR="00F45DBC" w:rsidRDefault="00F45DBC" w:rsidP="00D77EC5">
            <w:pPr>
              <w:pStyle w:val="TableText"/>
            </w:pPr>
            <w:r w:rsidRPr="00FE06C9">
              <w:t>Working collaboratively</w:t>
            </w:r>
          </w:p>
        </w:tc>
        <w:tc>
          <w:tcPr>
            <w:tcW w:w="1580" w:type="dxa"/>
          </w:tcPr>
          <w:p w14:paraId="7BA23EC5" w14:textId="77777777" w:rsidR="00F45DBC" w:rsidRDefault="00F45DBC" w:rsidP="00D77EC5">
            <w:pPr>
              <w:pStyle w:val="TableText"/>
            </w:pPr>
            <w:r w:rsidRPr="00FE06C9">
              <w:t>13</w:t>
            </w:r>
          </w:p>
        </w:tc>
      </w:tr>
      <w:tr w:rsidR="00F45DBC" w14:paraId="37D9F41A" w14:textId="77777777" w:rsidTr="00D77EC5">
        <w:tc>
          <w:tcPr>
            <w:tcW w:w="2405" w:type="dxa"/>
          </w:tcPr>
          <w:p w14:paraId="662A0ECF" w14:textId="77777777" w:rsidR="00F45DBC" w:rsidRDefault="00F45DBC" w:rsidP="00D77EC5">
            <w:pPr>
              <w:pStyle w:val="TableText"/>
            </w:pPr>
            <w:r w:rsidRPr="00FE06C9">
              <w:t>Surveillance</w:t>
            </w:r>
          </w:p>
        </w:tc>
        <w:tc>
          <w:tcPr>
            <w:tcW w:w="1580" w:type="dxa"/>
          </w:tcPr>
          <w:p w14:paraId="76871913" w14:textId="09674120" w:rsidR="00F45DBC" w:rsidRDefault="004055DA" w:rsidP="00D77EC5">
            <w:pPr>
              <w:pStyle w:val="TableText"/>
            </w:pPr>
            <w:r>
              <w:t>11</w:t>
            </w:r>
          </w:p>
        </w:tc>
      </w:tr>
      <w:tr w:rsidR="00F45DBC" w14:paraId="29D4743E" w14:textId="77777777" w:rsidTr="00D77EC5">
        <w:tc>
          <w:tcPr>
            <w:tcW w:w="2405" w:type="dxa"/>
          </w:tcPr>
          <w:p w14:paraId="3F764936" w14:textId="77777777" w:rsidR="00F45DBC" w:rsidRDefault="00F45DBC" w:rsidP="00D77EC5">
            <w:pPr>
              <w:pStyle w:val="TableText"/>
            </w:pPr>
            <w:r w:rsidRPr="00FE06C9">
              <w:t>Funding/</w:t>
            </w:r>
            <w:r>
              <w:t>r</w:t>
            </w:r>
            <w:r w:rsidRPr="00FE06C9">
              <w:t>esource allocation</w:t>
            </w:r>
          </w:p>
        </w:tc>
        <w:tc>
          <w:tcPr>
            <w:tcW w:w="1580" w:type="dxa"/>
          </w:tcPr>
          <w:p w14:paraId="37E36633" w14:textId="77777777" w:rsidR="00F45DBC" w:rsidRDefault="00F45DBC" w:rsidP="00D77EC5">
            <w:pPr>
              <w:pStyle w:val="TableText"/>
            </w:pPr>
            <w:r w:rsidRPr="00FE06C9">
              <w:t>10</w:t>
            </w:r>
          </w:p>
        </w:tc>
      </w:tr>
      <w:tr w:rsidR="00F45DBC" w14:paraId="54EA3F9F" w14:textId="77777777" w:rsidTr="00D77EC5">
        <w:tc>
          <w:tcPr>
            <w:tcW w:w="2405" w:type="dxa"/>
          </w:tcPr>
          <w:p w14:paraId="7FC5D4C5" w14:textId="77777777" w:rsidR="00F45DBC" w:rsidRDefault="00F45DBC" w:rsidP="00D77EC5">
            <w:pPr>
              <w:pStyle w:val="TableText"/>
            </w:pPr>
            <w:r w:rsidRPr="00FE06C9">
              <w:t>IT systems</w:t>
            </w:r>
          </w:p>
        </w:tc>
        <w:tc>
          <w:tcPr>
            <w:tcW w:w="1580" w:type="dxa"/>
          </w:tcPr>
          <w:p w14:paraId="638087E5" w14:textId="77777777" w:rsidR="00F45DBC" w:rsidRDefault="00F45DBC" w:rsidP="00D77EC5">
            <w:pPr>
              <w:pStyle w:val="TableText"/>
            </w:pPr>
            <w:r w:rsidRPr="00FE06C9">
              <w:t>7</w:t>
            </w:r>
          </w:p>
        </w:tc>
      </w:tr>
      <w:tr w:rsidR="00F45DBC" w14:paraId="31141D54" w14:textId="77777777" w:rsidTr="00D77EC5">
        <w:tc>
          <w:tcPr>
            <w:tcW w:w="2405" w:type="dxa"/>
          </w:tcPr>
          <w:p w14:paraId="6BA98A4B" w14:textId="77777777" w:rsidR="00F45DBC" w:rsidRDefault="00F45DBC" w:rsidP="00D77EC5">
            <w:pPr>
              <w:pStyle w:val="TableText"/>
            </w:pPr>
            <w:r w:rsidRPr="00FE06C9">
              <w:t>Technology</w:t>
            </w:r>
          </w:p>
        </w:tc>
        <w:tc>
          <w:tcPr>
            <w:tcW w:w="1580" w:type="dxa"/>
          </w:tcPr>
          <w:p w14:paraId="622B4572" w14:textId="77777777" w:rsidR="00F45DBC" w:rsidRDefault="00F45DBC" w:rsidP="00D77EC5">
            <w:pPr>
              <w:pStyle w:val="TableText"/>
            </w:pPr>
            <w:r w:rsidRPr="00FE06C9">
              <w:t>6</w:t>
            </w:r>
          </w:p>
        </w:tc>
      </w:tr>
      <w:tr w:rsidR="00F45DBC" w14:paraId="2D00939F" w14:textId="77777777" w:rsidTr="00D77EC5">
        <w:tc>
          <w:tcPr>
            <w:tcW w:w="2405" w:type="dxa"/>
          </w:tcPr>
          <w:p w14:paraId="6BB5DD1B" w14:textId="77777777" w:rsidR="00F45DBC" w:rsidRDefault="00F45DBC" w:rsidP="00D77EC5">
            <w:pPr>
              <w:pStyle w:val="TableText"/>
            </w:pPr>
            <w:r w:rsidRPr="00FE06C9">
              <w:t>Education and awareness</w:t>
            </w:r>
          </w:p>
        </w:tc>
        <w:tc>
          <w:tcPr>
            <w:tcW w:w="1580" w:type="dxa"/>
          </w:tcPr>
          <w:p w14:paraId="3AF03A7D" w14:textId="77777777" w:rsidR="00F45DBC" w:rsidRDefault="00F45DBC" w:rsidP="00D77EC5">
            <w:pPr>
              <w:pStyle w:val="TableText"/>
            </w:pPr>
            <w:r w:rsidRPr="00FE06C9">
              <w:t>5</w:t>
            </w:r>
          </w:p>
        </w:tc>
      </w:tr>
      <w:tr w:rsidR="004055DA" w14:paraId="3722C7EF" w14:textId="77777777" w:rsidTr="00C75907">
        <w:tc>
          <w:tcPr>
            <w:tcW w:w="2405" w:type="dxa"/>
          </w:tcPr>
          <w:p w14:paraId="5CAAE0C1" w14:textId="77777777" w:rsidR="004055DA" w:rsidRDefault="004055DA" w:rsidP="00C75907">
            <w:pPr>
              <w:pStyle w:val="TableText"/>
            </w:pPr>
            <w:r w:rsidRPr="00FE06C9">
              <w:t>Communication</w:t>
            </w:r>
          </w:p>
        </w:tc>
        <w:tc>
          <w:tcPr>
            <w:tcW w:w="1580" w:type="dxa"/>
          </w:tcPr>
          <w:p w14:paraId="227D2C8C" w14:textId="77777777" w:rsidR="004055DA" w:rsidRDefault="004055DA" w:rsidP="00C75907">
            <w:pPr>
              <w:pStyle w:val="TableText"/>
            </w:pPr>
            <w:r>
              <w:t>4</w:t>
            </w:r>
          </w:p>
        </w:tc>
      </w:tr>
      <w:tr w:rsidR="004055DA" w14:paraId="41A43667" w14:textId="77777777" w:rsidTr="00C75907">
        <w:tc>
          <w:tcPr>
            <w:tcW w:w="2405" w:type="dxa"/>
          </w:tcPr>
          <w:p w14:paraId="7D50F4A4" w14:textId="77777777" w:rsidR="004055DA" w:rsidRDefault="004055DA" w:rsidP="00C75907">
            <w:pPr>
              <w:pStyle w:val="TableText"/>
            </w:pPr>
            <w:r w:rsidRPr="00FE06C9">
              <w:t>Risk analysis/assessment</w:t>
            </w:r>
          </w:p>
        </w:tc>
        <w:tc>
          <w:tcPr>
            <w:tcW w:w="1580" w:type="dxa"/>
          </w:tcPr>
          <w:p w14:paraId="25C64079" w14:textId="065BC577" w:rsidR="004055DA" w:rsidRDefault="004055DA" w:rsidP="00C75907">
            <w:pPr>
              <w:pStyle w:val="TableText"/>
            </w:pPr>
            <w:r>
              <w:t>4</w:t>
            </w:r>
          </w:p>
        </w:tc>
      </w:tr>
      <w:tr w:rsidR="00F45DBC" w14:paraId="33806ABA" w14:textId="77777777" w:rsidTr="00D77EC5">
        <w:tc>
          <w:tcPr>
            <w:tcW w:w="2405" w:type="dxa"/>
          </w:tcPr>
          <w:p w14:paraId="0A2BF5CF" w14:textId="77777777" w:rsidR="00F45DBC" w:rsidRPr="00FE06C9" w:rsidRDefault="00F45DBC" w:rsidP="00D77EC5">
            <w:pPr>
              <w:pStyle w:val="TableText"/>
            </w:pPr>
            <w:r w:rsidRPr="0046611E">
              <w:t>Co-regulatory arrangement</w:t>
            </w:r>
          </w:p>
        </w:tc>
        <w:tc>
          <w:tcPr>
            <w:tcW w:w="1580" w:type="dxa"/>
          </w:tcPr>
          <w:p w14:paraId="5381BEC5" w14:textId="77777777" w:rsidR="00F45DBC" w:rsidRPr="00FE06C9" w:rsidRDefault="00F45DBC" w:rsidP="00D77EC5">
            <w:pPr>
              <w:pStyle w:val="TableText"/>
            </w:pPr>
            <w:r w:rsidRPr="0046611E">
              <w:t>3</w:t>
            </w:r>
          </w:p>
        </w:tc>
      </w:tr>
      <w:tr w:rsidR="004055DA" w14:paraId="01005F40" w14:textId="77777777" w:rsidTr="00C75907">
        <w:tc>
          <w:tcPr>
            <w:tcW w:w="2405" w:type="dxa"/>
          </w:tcPr>
          <w:p w14:paraId="72CCF7F1" w14:textId="77777777" w:rsidR="004055DA" w:rsidRDefault="004055DA" w:rsidP="00C75907">
            <w:pPr>
              <w:pStyle w:val="TableText"/>
            </w:pPr>
            <w:r w:rsidRPr="00FE06C9">
              <w:t>Data management</w:t>
            </w:r>
          </w:p>
        </w:tc>
        <w:tc>
          <w:tcPr>
            <w:tcW w:w="1580" w:type="dxa"/>
          </w:tcPr>
          <w:p w14:paraId="3C50C0C7" w14:textId="77777777" w:rsidR="004055DA" w:rsidRDefault="004055DA" w:rsidP="00C75907">
            <w:pPr>
              <w:pStyle w:val="TableText"/>
            </w:pPr>
            <w:r>
              <w:t>3</w:t>
            </w:r>
          </w:p>
        </w:tc>
      </w:tr>
      <w:tr w:rsidR="00F45DBC" w14:paraId="05CAB508" w14:textId="77777777" w:rsidTr="00D77EC5">
        <w:tc>
          <w:tcPr>
            <w:tcW w:w="2405" w:type="dxa"/>
          </w:tcPr>
          <w:p w14:paraId="608B2F45" w14:textId="77777777" w:rsidR="00F45DBC" w:rsidRDefault="00F45DBC" w:rsidP="00D77EC5">
            <w:pPr>
              <w:pStyle w:val="TableText"/>
            </w:pPr>
            <w:r w:rsidRPr="0046611E">
              <w:lastRenderedPageBreak/>
              <w:t>Prevention, preparedness and response</w:t>
            </w:r>
          </w:p>
        </w:tc>
        <w:tc>
          <w:tcPr>
            <w:tcW w:w="1580" w:type="dxa"/>
          </w:tcPr>
          <w:p w14:paraId="56A151C4" w14:textId="77777777" w:rsidR="00F45DBC" w:rsidRPr="00FE06C9" w:rsidRDefault="00F45DBC" w:rsidP="00D77EC5">
            <w:pPr>
              <w:pStyle w:val="TableText"/>
            </w:pPr>
            <w:r w:rsidRPr="0046611E">
              <w:t>3</w:t>
            </w:r>
          </w:p>
        </w:tc>
      </w:tr>
      <w:tr w:rsidR="00F45DBC" w14:paraId="378ABA5E" w14:textId="77777777" w:rsidTr="00D77EC5">
        <w:tc>
          <w:tcPr>
            <w:tcW w:w="2405" w:type="dxa"/>
          </w:tcPr>
          <w:p w14:paraId="4C8FABCD" w14:textId="77777777" w:rsidR="00F45DBC" w:rsidRDefault="00F45DBC" w:rsidP="00D77EC5">
            <w:pPr>
              <w:pStyle w:val="TableText"/>
            </w:pPr>
            <w:r w:rsidRPr="0046611E">
              <w:t>Risk mitigation</w:t>
            </w:r>
          </w:p>
        </w:tc>
        <w:tc>
          <w:tcPr>
            <w:tcW w:w="1580" w:type="dxa"/>
          </w:tcPr>
          <w:p w14:paraId="3EBEC4A5" w14:textId="77777777" w:rsidR="00F45DBC" w:rsidRPr="00FE06C9" w:rsidRDefault="00F45DBC" w:rsidP="00D77EC5">
            <w:pPr>
              <w:pStyle w:val="TableText"/>
            </w:pPr>
            <w:r w:rsidRPr="0046611E">
              <w:t>3</w:t>
            </w:r>
          </w:p>
        </w:tc>
      </w:tr>
      <w:tr w:rsidR="00F45DBC" w14:paraId="13734E37" w14:textId="77777777" w:rsidTr="00D77EC5">
        <w:tc>
          <w:tcPr>
            <w:tcW w:w="2405" w:type="dxa"/>
          </w:tcPr>
          <w:p w14:paraId="601C8C7A" w14:textId="77777777" w:rsidR="00F45DBC" w:rsidRDefault="00F45DBC" w:rsidP="00D77EC5">
            <w:pPr>
              <w:pStyle w:val="TableText"/>
            </w:pPr>
            <w:r w:rsidRPr="0046611E">
              <w:t>Staff training</w:t>
            </w:r>
          </w:p>
        </w:tc>
        <w:tc>
          <w:tcPr>
            <w:tcW w:w="1580" w:type="dxa"/>
          </w:tcPr>
          <w:p w14:paraId="4246067A" w14:textId="77777777" w:rsidR="00F45DBC" w:rsidRPr="00FE06C9" w:rsidRDefault="00F45DBC" w:rsidP="00D77EC5">
            <w:pPr>
              <w:pStyle w:val="TableText"/>
            </w:pPr>
            <w:r w:rsidRPr="0046611E">
              <w:t>3</w:t>
            </w:r>
          </w:p>
        </w:tc>
      </w:tr>
      <w:tr w:rsidR="00F45DBC" w14:paraId="7618AF20" w14:textId="77777777" w:rsidTr="00D77EC5">
        <w:tc>
          <w:tcPr>
            <w:tcW w:w="2405" w:type="dxa"/>
          </w:tcPr>
          <w:p w14:paraId="498C49EE" w14:textId="77777777" w:rsidR="00F45DBC" w:rsidRDefault="00F45DBC" w:rsidP="00D77EC5">
            <w:pPr>
              <w:pStyle w:val="TableText"/>
            </w:pPr>
            <w:r>
              <w:t>Other themes (themes with 1 or 2 recommendations)</w:t>
            </w:r>
          </w:p>
        </w:tc>
        <w:tc>
          <w:tcPr>
            <w:tcW w:w="1580" w:type="dxa"/>
          </w:tcPr>
          <w:p w14:paraId="25FD00E9" w14:textId="77777777" w:rsidR="00F45DBC" w:rsidRPr="00FE06C9" w:rsidRDefault="00F45DBC" w:rsidP="00D77EC5">
            <w:pPr>
              <w:pStyle w:val="TableText"/>
            </w:pPr>
            <w:r>
              <w:t>12</w:t>
            </w:r>
          </w:p>
        </w:tc>
      </w:tr>
      <w:tr w:rsidR="00F45DBC" w14:paraId="146B881B" w14:textId="77777777" w:rsidTr="00D77EC5">
        <w:tc>
          <w:tcPr>
            <w:tcW w:w="2405" w:type="dxa"/>
          </w:tcPr>
          <w:p w14:paraId="2C035F94" w14:textId="77777777" w:rsidR="00F45DBC" w:rsidRPr="00315143" w:rsidRDefault="00F45DBC" w:rsidP="00D77EC5">
            <w:pPr>
              <w:pStyle w:val="TableText"/>
              <w:rPr>
                <w:rStyle w:val="Strong"/>
              </w:rPr>
            </w:pPr>
            <w:r w:rsidRPr="00315143">
              <w:rPr>
                <w:rStyle w:val="Strong"/>
              </w:rPr>
              <w:t>Total recommendations</w:t>
            </w:r>
          </w:p>
        </w:tc>
        <w:tc>
          <w:tcPr>
            <w:tcW w:w="1580" w:type="dxa"/>
          </w:tcPr>
          <w:p w14:paraId="18767B79" w14:textId="5AB61A42" w:rsidR="00F45DBC" w:rsidRPr="00315143" w:rsidRDefault="00D60801" w:rsidP="00D77EC5">
            <w:pPr>
              <w:pStyle w:val="TableText"/>
              <w:rPr>
                <w:rStyle w:val="Strong"/>
              </w:rPr>
            </w:pPr>
            <w:r>
              <w:rPr>
                <w:rStyle w:val="Strong"/>
              </w:rPr>
              <w:t>163</w:t>
            </w:r>
          </w:p>
        </w:tc>
      </w:tr>
    </w:tbl>
    <w:p w14:paraId="595518E1" w14:textId="6AF880EE" w:rsidR="00914560" w:rsidRDefault="00914560" w:rsidP="0013257E">
      <w:pPr>
        <w:pStyle w:val="BoxHeading"/>
        <w:rPr>
          <w:lang w:eastAsia="ja-JP"/>
        </w:rPr>
      </w:pPr>
      <w:r>
        <w:rPr>
          <w:lang w:eastAsia="ja-JP"/>
        </w:rPr>
        <w:t xml:space="preserve">Recommendation </w:t>
      </w:r>
      <w:r w:rsidR="00D515E0">
        <w:rPr>
          <w:lang w:eastAsia="ja-JP"/>
        </w:rPr>
        <w:t>1</w:t>
      </w:r>
    </w:p>
    <w:p w14:paraId="3E91625D" w14:textId="39FED974" w:rsidR="00914560" w:rsidRDefault="002E003E" w:rsidP="0013257E">
      <w:pPr>
        <w:pStyle w:val="BoxText"/>
        <w:rPr>
          <w:lang w:eastAsia="ja-JP"/>
        </w:rPr>
      </w:pPr>
      <w:r w:rsidRPr="002E003E">
        <w:rPr>
          <w:lang w:eastAsia="ja-JP"/>
        </w:rPr>
        <w:t xml:space="preserve">The department needs to </w:t>
      </w:r>
      <w:r w:rsidRPr="0094484F">
        <w:rPr>
          <w:lang w:eastAsia="ja-JP"/>
        </w:rPr>
        <w:t>identify the root causes hindering full</w:t>
      </w:r>
      <w:r w:rsidRPr="002E003E">
        <w:rPr>
          <w:lang w:eastAsia="ja-JP"/>
        </w:rPr>
        <w:t xml:space="preserve"> implementation of accepted Inspector-General recommendations. The analysis process should look at themes of similar recommendations to identify potential systemic issues and ways to address them.</w:t>
      </w:r>
    </w:p>
    <w:p w14:paraId="3F4629FE" w14:textId="3CDBA152" w:rsidR="00D57507" w:rsidRPr="00595916" w:rsidRDefault="00490A8D" w:rsidP="00D57507">
      <w:pPr>
        <w:pStyle w:val="Heading3"/>
        <w:rPr>
          <w:lang w:eastAsia="ja-JP"/>
        </w:rPr>
      </w:pPr>
      <w:bookmarkStart w:id="25" w:name="_Toc87543863"/>
      <w:r w:rsidRPr="00490A8D">
        <w:rPr>
          <w:lang w:eastAsia="ja-JP"/>
        </w:rPr>
        <w:t>Review verification activities</w:t>
      </w:r>
      <w:bookmarkEnd w:id="25"/>
    </w:p>
    <w:p w14:paraId="65234303" w14:textId="6BD0DFD6" w:rsidR="00F34F04" w:rsidRPr="0067490C" w:rsidRDefault="00B049FF" w:rsidP="0011257A">
      <w:r>
        <w:t>T</w:t>
      </w:r>
      <w:r w:rsidR="00EA6F7F">
        <w:t xml:space="preserve">he Inspector-General </w:t>
      </w:r>
      <w:r w:rsidR="00F34F04">
        <w:t xml:space="preserve">audited </w:t>
      </w:r>
      <w:r w:rsidR="000C11F5">
        <w:t xml:space="preserve">9 </w:t>
      </w:r>
      <w:r w:rsidR="00EA6F7F">
        <w:t>closed recommendations</w:t>
      </w:r>
      <w:r>
        <w:t xml:space="preserve"> to verify the extent and quality of their implementation</w:t>
      </w:r>
      <w:r w:rsidR="006C4664">
        <w:t xml:space="preserve">. </w:t>
      </w:r>
      <w:r>
        <w:t>T</w:t>
      </w:r>
      <w:r w:rsidR="00EA6F7F">
        <w:t xml:space="preserve">he records and evidence of actions and decisions </w:t>
      </w:r>
      <w:r>
        <w:t xml:space="preserve">on </w:t>
      </w:r>
      <w:r w:rsidR="0008111A">
        <w:t xml:space="preserve">each </w:t>
      </w:r>
      <w:r w:rsidR="00EA6F7F">
        <w:t>recommendation</w:t>
      </w:r>
      <w:r>
        <w:t xml:space="preserve"> were </w:t>
      </w:r>
      <w:r w:rsidR="00BB1D03">
        <w:t>audited</w:t>
      </w:r>
      <w:r w:rsidR="00E1569B" w:rsidRPr="0067490C">
        <w:t>.</w:t>
      </w:r>
      <w:r w:rsidR="006C4664" w:rsidRPr="0067490C">
        <w:t xml:space="preserve"> The outcomes of the audit are </w:t>
      </w:r>
      <w:r w:rsidR="000C11F5" w:rsidRPr="0067490C">
        <w:t xml:space="preserve">shown </w:t>
      </w:r>
      <w:r w:rsidR="006C4664" w:rsidRPr="0067490C">
        <w:t xml:space="preserve">in </w:t>
      </w:r>
      <w:r w:rsidR="006C6EC2">
        <w:t>A</w:t>
      </w:r>
      <w:r w:rsidRPr="00BB1D03">
        <w:t>ppendix A,</w:t>
      </w:r>
      <w:r w:rsidR="006503AE">
        <w:t xml:space="preserve"> </w:t>
      </w:r>
      <w:r w:rsidR="006503AE">
        <w:fldChar w:fldCharType="begin"/>
      </w:r>
      <w:r w:rsidR="006503AE">
        <w:instrText xml:space="preserve"> REF _Ref83885758 \h </w:instrText>
      </w:r>
      <w:r w:rsidR="006503AE">
        <w:fldChar w:fldCharType="separate"/>
      </w:r>
      <w:r w:rsidR="006503AE">
        <w:t>Table</w:t>
      </w:r>
      <w:r w:rsidR="002F6540">
        <w:t> </w:t>
      </w:r>
      <w:r w:rsidR="006503AE">
        <w:rPr>
          <w:noProof/>
        </w:rPr>
        <w:t>4</w:t>
      </w:r>
      <w:r w:rsidR="006503AE">
        <w:fldChar w:fldCharType="end"/>
      </w:r>
      <w:r w:rsidR="006C4664" w:rsidRPr="0067490C">
        <w:fldChar w:fldCharType="begin"/>
      </w:r>
      <w:r w:rsidR="006C4664" w:rsidRPr="0067490C">
        <w:instrText xml:space="preserve"> REF _Ref83885758 \h </w:instrText>
      </w:r>
      <w:r w:rsidR="000C11F5" w:rsidRPr="00BB1D03">
        <w:instrText xml:space="preserve"> \* MERGEFORMAT </w:instrText>
      </w:r>
      <w:r w:rsidR="00D60801">
        <w:fldChar w:fldCharType="separate"/>
      </w:r>
      <w:r w:rsidR="006C4664" w:rsidRPr="0067490C">
        <w:fldChar w:fldCharType="end"/>
      </w:r>
      <w:r w:rsidR="006C4664" w:rsidRPr="0067490C">
        <w:t>.</w:t>
      </w:r>
    </w:p>
    <w:p w14:paraId="7376784B" w14:textId="61703614" w:rsidR="00A87F31" w:rsidRDefault="00E1569B" w:rsidP="00A87F31">
      <w:r w:rsidRPr="0067490C">
        <w:t xml:space="preserve">The </w:t>
      </w:r>
      <w:r w:rsidR="00EA6F7F" w:rsidRPr="0067490C">
        <w:t>Inspector-General’s</w:t>
      </w:r>
      <w:r w:rsidR="00F34F04" w:rsidRPr="0067490C">
        <w:t xml:space="preserve"> </w:t>
      </w:r>
      <w:r w:rsidR="00EA6F7F" w:rsidRPr="0067490C">
        <w:t>rat</w:t>
      </w:r>
      <w:r w:rsidR="00F34F04" w:rsidRPr="0067490C">
        <w:t>ing of the implementation</w:t>
      </w:r>
      <w:r w:rsidR="00F34F04">
        <w:t xml:space="preserve"> status indicates </w:t>
      </w:r>
      <w:r>
        <w:t>whether</w:t>
      </w:r>
      <w:r w:rsidR="00F34F04">
        <w:t xml:space="preserve"> a recommendation</w:t>
      </w:r>
      <w:r>
        <w:t xml:space="preserve"> ha</w:t>
      </w:r>
      <w:r w:rsidR="00F34F04">
        <w:t>d</w:t>
      </w:r>
      <w:r>
        <w:t xml:space="preserve"> been </w:t>
      </w:r>
      <w:r w:rsidR="00EA6F7F" w:rsidRPr="00EA6F7F">
        <w:t xml:space="preserve">effectively implemented </w:t>
      </w:r>
      <w:r w:rsidR="00B049FF">
        <w:t xml:space="preserve">and whether it has </w:t>
      </w:r>
      <w:r w:rsidR="00EA6F7F" w:rsidRPr="00EA6F7F">
        <w:t>improved the biosecurity system</w:t>
      </w:r>
      <w:r w:rsidR="00EA6F7F">
        <w:t>.</w:t>
      </w:r>
    </w:p>
    <w:p w14:paraId="749F4C57" w14:textId="67063043" w:rsidR="00D57507" w:rsidRPr="00595916" w:rsidRDefault="00E12A7E" w:rsidP="00A87F31">
      <w:pPr>
        <w:pStyle w:val="Heading3"/>
      </w:pPr>
      <w:bookmarkStart w:id="26" w:name="_Toc87543864"/>
      <w:r>
        <w:t>E</w:t>
      </w:r>
      <w:r w:rsidR="00106F50">
        <w:t>ngagement</w:t>
      </w:r>
      <w:r w:rsidR="006F291E" w:rsidRPr="006F291E">
        <w:t xml:space="preserve"> meetings</w:t>
      </w:r>
      <w:bookmarkEnd w:id="26"/>
    </w:p>
    <w:p w14:paraId="225F3D2C" w14:textId="7B56226D" w:rsidR="00B049FF" w:rsidRDefault="006F291E" w:rsidP="00CE120A">
      <w:r w:rsidRPr="0067490C">
        <w:t xml:space="preserve">The Inspector-General held </w:t>
      </w:r>
      <w:r w:rsidR="00683805" w:rsidRPr="0067490C">
        <w:t>engagement</w:t>
      </w:r>
      <w:r w:rsidRPr="0067490C">
        <w:t xml:space="preserve"> meetings with </w:t>
      </w:r>
      <w:r w:rsidR="0067490C" w:rsidRPr="0067490C">
        <w:t>b</w:t>
      </w:r>
      <w:r w:rsidRPr="0067490C">
        <w:t>iosecurity division executive</w:t>
      </w:r>
      <w:r w:rsidR="00F9765B" w:rsidRPr="0067490C">
        <w:t xml:space="preserve"> manager</w:t>
      </w:r>
      <w:r w:rsidRPr="0067490C">
        <w:t xml:space="preserve">s in June 2021. </w:t>
      </w:r>
      <w:r w:rsidR="00C70629" w:rsidRPr="0067490C">
        <w:t>Attendees</w:t>
      </w:r>
      <w:r w:rsidRPr="0067490C">
        <w:t xml:space="preserve"> discussed </w:t>
      </w:r>
      <w:r w:rsidR="0067490C" w:rsidRPr="0067490C">
        <w:t xml:space="preserve">hindrances to the </w:t>
      </w:r>
      <w:r w:rsidR="0067490C" w:rsidRPr="00696B45">
        <w:t>timeliness of and success in implementing recommendations</w:t>
      </w:r>
      <w:r w:rsidR="0067490C" w:rsidRPr="0067490C">
        <w:t xml:space="preserve">; and </w:t>
      </w:r>
      <w:r w:rsidR="00B049FF" w:rsidRPr="00696B45">
        <w:t>i</w:t>
      </w:r>
      <w:r w:rsidRPr="0067490C">
        <w:t xml:space="preserve">mprovements </w:t>
      </w:r>
      <w:r w:rsidR="00B049FF" w:rsidRPr="00696B45">
        <w:t xml:space="preserve">being made </w:t>
      </w:r>
      <w:r w:rsidRPr="0067490C">
        <w:t xml:space="preserve">or </w:t>
      </w:r>
      <w:r w:rsidR="00B049FF" w:rsidRPr="00696B45">
        <w:t xml:space="preserve">considered to </w:t>
      </w:r>
      <w:r w:rsidR="0067490C">
        <w:t xml:space="preserve">address </w:t>
      </w:r>
      <w:r w:rsidRPr="0067490C">
        <w:t xml:space="preserve">the </w:t>
      </w:r>
      <w:r w:rsidR="0067490C" w:rsidRPr="0067490C">
        <w:t>situation</w:t>
      </w:r>
      <w:r w:rsidRPr="0067490C">
        <w:t>.</w:t>
      </w:r>
    </w:p>
    <w:p w14:paraId="4F32CAD7" w14:textId="6FE0F75F" w:rsidR="00D57507" w:rsidRDefault="006C4664" w:rsidP="00CE120A">
      <w:r>
        <w:fldChar w:fldCharType="begin"/>
      </w:r>
      <w:r>
        <w:instrText xml:space="preserve"> REF _Ref83885650 \h </w:instrText>
      </w:r>
      <w:r>
        <w:fldChar w:fldCharType="separate"/>
      </w:r>
      <w:r>
        <w:t xml:space="preserve">Table </w:t>
      </w:r>
      <w:r>
        <w:rPr>
          <w:noProof/>
        </w:rPr>
        <w:t>3</w:t>
      </w:r>
      <w:r>
        <w:fldChar w:fldCharType="end"/>
      </w:r>
      <w:r w:rsidR="008637BD">
        <w:t xml:space="preserve"> </w:t>
      </w:r>
      <w:r w:rsidR="00B049FF">
        <w:t xml:space="preserve">gives </w:t>
      </w:r>
      <w:r w:rsidR="00C70629">
        <w:t>the Inspector-General’s summary of the key messages and themes</w:t>
      </w:r>
      <w:r w:rsidR="001C564A">
        <w:t xml:space="preserve"> from the collective discussions</w:t>
      </w:r>
      <w:r w:rsidR="00E12A7E">
        <w:t>;</w:t>
      </w:r>
      <w:r w:rsidR="00C70629">
        <w:t xml:space="preserve"> </w:t>
      </w:r>
      <w:r w:rsidR="00E12A7E">
        <w:t>it</w:t>
      </w:r>
      <w:r w:rsidR="00C70629">
        <w:t xml:space="preserve"> </w:t>
      </w:r>
      <w:r w:rsidR="001F14B0">
        <w:t>does not attribute any comments to any individual</w:t>
      </w:r>
      <w:r w:rsidR="00E12A7E">
        <w:t>s</w:t>
      </w:r>
      <w:r w:rsidR="00C70629">
        <w:t>.</w:t>
      </w:r>
    </w:p>
    <w:p w14:paraId="7569BBC4" w14:textId="3C47334A" w:rsidR="006F291E" w:rsidRDefault="006C4664" w:rsidP="006C4664">
      <w:pPr>
        <w:pStyle w:val="Caption"/>
      </w:pPr>
      <w:bookmarkStart w:id="27" w:name="_Ref83885650"/>
      <w:bookmarkStart w:id="28" w:name="_Toc87543891"/>
      <w:bookmarkStart w:id="29" w:name="_Toc88487904"/>
      <w:r>
        <w:t xml:space="preserve">Table </w:t>
      </w:r>
      <w:r w:rsidR="00D60801">
        <w:fldChar w:fldCharType="begin"/>
      </w:r>
      <w:r w:rsidR="00D60801">
        <w:instrText xml:space="preserve"> SEQ Table \* ARABIC </w:instrText>
      </w:r>
      <w:r w:rsidR="00D60801">
        <w:fldChar w:fldCharType="separate"/>
      </w:r>
      <w:r>
        <w:rPr>
          <w:noProof/>
        </w:rPr>
        <w:t>3</w:t>
      </w:r>
      <w:r w:rsidR="00D60801">
        <w:rPr>
          <w:noProof/>
        </w:rPr>
        <w:fldChar w:fldCharType="end"/>
      </w:r>
      <w:bookmarkEnd w:id="27"/>
      <w:r>
        <w:t xml:space="preserve"> </w:t>
      </w:r>
      <w:r w:rsidR="00106F50">
        <w:t>Combined</w:t>
      </w:r>
      <w:r w:rsidR="00C43A09" w:rsidRPr="00C43A09">
        <w:t xml:space="preserve"> feedback from </w:t>
      </w:r>
      <w:r w:rsidR="00F42855">
        <w:t>b</w:t>
      </w:r>
      <w:r w:rsidR="00C43A09" w:rsidRPr="00C43A09">
        <w:t>iosecurity division executive</w:t>
      </w:r>
      <w:r w:rsidR="00106F50">
        <w:t xml:space="preserve"> managers</w:t>
      </w:r>
      <w:bookmarkEnd w:id="28"/>
      <w:bookmarkEnd w:id="29"/>
    </w:p>
    <w:tbl>
      <w:tblPr>
        <w:tblStyle w:val="TableGrid"/>
        <w:tblW w:w="0" w:type="auto"/>
        <w:tblLook w:val="04A0" w:firstRow="1" w:lastRow="0" w:firstColumn="1" w:lastColumn="0" w:noHBand="0" w:noVBand="1"/>
      </w:tblPr>
      <w:tblGrid>
        <w:gridCol w:w="2547"/>
        <w:gridCol w:w="6513"/>
      </w:tblGrid>
      <w:tr w:rsidR="003B6D38" w14:paraId="197ADDDA" w14:textId="77777777" w:rsidTr="003B6D38">
        <w:tc>
          <w:tcPr>
            <w:tcW w:w="2547" w:type="dxa"/>
          </w:tcPr>
          <w:p w14:paraId="738A7B86" w14:textId="20A21944" w:rsidR="003B6D38" w:rsidRDefault="003B6D38" w:rsidP="003B6D38">
            <w:pPr>
              <w:pStyle w:val="TableHeading"/>
            </w:pPr>
            <w:r w:rsidRPr="00231E3A">
              <w:t>Key issue</w:t>
            </w:r>
          </w:p>
        </w:tc>
        <w:tc>
          <w:tcPr>
            <w:tcW w:w="6513" w:type="dxa"/>
          </w:tcPr>
          <w:p w14:paraId="22B1C90E" w14:textId="0505451B" w:rsidR="003B6D38" w:rsidRDefault="003B6D38" w:rsidP="003B6D38">
            <w:pPr>
              <w:pStyle w:val="TableHeading"/>
            </w:pPr>
            <w:r w:rsidRPr="00E2427B">
              <w:t>Summary</w:t>
            </w:r>
          </w:p>
        </w:tc>
      </w:tr>
      <w:tr w:rsidR="003B6D38" w14:paraId="5FDF34AA" w14:textId="77777777" w:rsidTr="003B6D38">
        <w:tc>
          <w:tcPr>
            <w:tcW w:w="2547" w:type="dxa"/>
          </w:tcPr>
          <w:p w14:paraId="199DBDC7" w14:textId="05B00FA9" w:rsidR="003B6D38" w:rsidRDefault="003B6D38" w:rsidP="003B6D38">
            <w:pPr>
              <w:pStyle w:val="TableText"/>
            </w:pPr>
            <w:r w:rsidRPr="00231E3A">
              <w:t>Establishing governance arrangement</w:t>
            </w:r>
          </w:p>
        </w:tc>
        <w:tc>
          <w:tcPr>
            <w:tcW w:w="6513" w:type="dxa"/>
          </w:tcPr>
          <w:p w14:paraId="53863D01" w14:textId="7108FA86" w:rsidR="003B6D38" w:rsidRDefault="003B6D38" w:rsidP="003B6D38">
            <w:pPr>
              <w:pStyle w:val="TableText"/>
            </w:pPr>
            <w:r w:rsidRPr="00E2427B">
              <w:t xml:space="preserve">The department needs to establish better governance arrangements </w:t>
            </w:r>
            <w:r w:rsidR="00F9765B">
              <w:t xml:space="preserve">within </w:t>
            </w:r>
            <w:r w:rsidR="0094484F">
              <w:t>b</w:t>
            </w:r>
            <w:r w:rsidR="00F9765B">
              <w:t>iosecurity</w:t>
            </w:r>
            <w:r w:rsidR="0094484F">
              <w:t xml:space="preserve"> divisions</w:t>
            </w:r>
            <w:r w:rsidR="00B049FF">
              <w:t>,</w:t>
            </w:r>
            <w:r w:rsidR="00F9765B">
              <w:t xml:space="preserve"> and the department generally</w:t>
            </w:r>
            <w:r w:rsidR="00B049FF">
              <w:t>,</w:t>
            </w:r>
            <w:r w:rsidR="00F9765B">
              <w:t xml:space="preserve"> </w:t>
            </w:r>
            <w:r w:rsidR="00B049FF">
              <w:t xml:space="preserve">to implement </w:t>
            </w:r>
            <w:r w:rsidRPr="00E2427B">
              <w:t xml:space="preserve">Inspector-General review recommendations. </w:t>
            </w:r>
            <w:r w:rsidR="00F9765B">
              <w:t xml:space="preserve">There was general lack of clarity on whether </w:t>
            </w:r>
            <w:r w:rsidR="0094484F">
              <w:t>b</w:t>
            </w:r>
            <w:r w:rsidR="00F9765B" w:rsidRPr="00B049FF">
              <w:t>iosecurity</w:t>
            </w:r>
            <w:r w:rsidR="00F9765B">
              <w:t xml:space="preserve"> </w:t>
            </w:r>
            <w:r w:rsidR="0094484F">
              <w:t xml:space="preserve">divisions’ </w:t>
            </w:r>
            <w:r w:rsidR="00F9765B">
              <w:t>governance on this matter fitted seamlessly into the department’s overall governance</w:t>
            </w:r>
            <w:r w:rsidR="00B049FF">
              <w:t xml:space="preserve"> arrangements</w:t>
            </w:r>
            <w:r w:rsidR="00F9765B">
              <w:t>.</w:t>
            </w:r>
            <w:r w:rsidRPr="00E2427B">
              <w:t xml:space="preserve"> </w:t>
            </w:r>
            <w:r w:rsidR="00B049FF">
              <w:t xml:space="preserve">It is anticipated that the </w:t>
            </w:r>
            <w:r w:rsidRPr="00E2427B">
              <w:t xml:space="preserve">Biosecurity and Compliance Board </w:t>
            </w:r>
            <w:r w:rsidR="00B049FF">
              <w:t xml:space="preserve">will </w:t>
            </w:r>
            <w:r w:rsidRPr="00E2427B">
              <w:t xml:space="preserve">establish direct </w:t>
            </w:r>
            <w:r w:rsidRPr="0067490C">
              <w:t>line</w:t>
            </w:r>
            <w:r w:rsidR="001F14B0" w:rsidRPr="0067490C">
              <w:t>s</w:t>
            </w:r>
            <w:r w:rsidRPr="0067490C">
              <w:t xml:space="preserve"> of governance and increase</w:t>
            </w:r>
            <w:r w:rsidRPr="00E2427B">
              <w:t xml:space="preserve"> the department’s focus on the implementation of Inspector-General recommendations. The </w:t>
            </w:r>
            <w:r w:rsidR="00B049FF">
              <w:t>b</w:t>
            </w:r>
            <w:r w:rsidRPr="00E2427B">
              <w:t>oard has committed to review</w:t>
            </w:r>
            <w:r w:rsidR="00B049FF">
              <w:t>ing</w:t>
            </w:r>
            <w:r w:rsidRPr="00E2427B">
              <w:t xml:space="preserve"> closed Inspector-General recommendations every 6 months.</w:t>
            </w:r>
          </w:p>
        </w:tc>
      </w:tr>
      <w:tr w:rsidR="003B6D38" w14:paraId="6C3198A3" w14:textId="77777777" w:rsidTr="003B6D38">
        <w:tc>
          <w:tcPr>
            <w:tcW w:w="2547" w:type="dxa"/>
          </w:tcPr>
          <w:p w14:paraId="10F44DC7" w14:textId="4E558496" w:rsidR="003B6D38" w:rsidRDefault="003B6D38" w:rsidP="003B6D38">
            <w:pPr>
              <w:pStyle w:val="TableText"/>
            </w:pPr>
            <w:r w:rsidRPr="00231E3A">
              <w:t>Ownership of Inspector-General recommendations</w:t>
            </w:r>
          </w:p>
        </w:tc>
        <w:tc>
          <w:tcPr>
            <w:tcW w:w="6513" w:type="dxa"/>
          </w:tcPr>
          <w:p w14:paraId="6E763B74" w14:textId="3EFC6E56" w:rsidR="00184F2F" w:rsidRDefault="003B6D38" w:rsidP="003B6D38">
            <w:pPr>
              <w:pStyle w:val="TableText"/>
            </w:pPr>
            <w:r w:rsidRPr="00E2427B">
              <w:t xml:space="preserve">Many Inspector-General recommendations were not correctly assigned to </w:t>
            </w:r>
            <w:r w:rsidR="001F14B0">
              <w:t xml:space="preserve">issue/solution </w:t>
            </w:r>
            <w:r w:rsidRPr="00E2427B">
              <w:t xml:space="preserve">owners. This is </w:t>
            </w:r>
            <w:r w:rsidR="00D65758">
              <w:t xml:space="preserve">because </w:t>
            </w:r>
            <w:r w:rsidR="00317000">
              <w:t xml:space="preserve">ownership </w:t>
            </w:r>
            <w:r w:rsidR="00E85266">
              <w:t xml:space="preserve">for </w:t>
            </w:r>
            <w:r w:rsidR="005F36E3">
              <w:t>implementing</w:t>
            </w:r>
            <w:r w:rsidR="00E85266">
              <w:t xml:space="preserve"> </w:t>
            </w:r>
            <w:r w:rsidRPr="00E2427B">
              <w:t xml:space="preserve">recommendations </w:t>
            </w:r>
            <w:r w:rsidR="00D65758">
              <w:lastRenderedPageBreak/>
              <w:t xml:space="preserve">was </w:t>
            </w:r>
            <w:r w:rsidR="00D65758" w:rsidRPr="00E2427B">
              <w:t>incorrect</w:t>
            </w:r>
            <w:r w:rsidR="00D65758">
              <w:t>ly</w:t>
            </w:r>
            <w:r w:rsidR="00D65758" w:rsidRPr="00E2427B">
              <w:t xml:space="preserve"> assign</w:t>
            </w:r>
            <w:r w:rsidR="00D65758">
              <w:t>ed</w:t>
            </w:r>
            <w:r w:rsidR="00D65758" w:rsidRPr="00E2427B">
              <w:t xml:space="preserve"> </w:t>
            </w:r>
            <w:r w:rsidRPr="00E2427B">
              <w:t>when the original review was finalised</w:t>
            </w:r>
            <w:r w:rsidR="000C11F5">
              <w:t>;</w:t>
            </w:r>
            <w:r w:rsidRPr="00E2427B">
              <w:t xml:space="preserve"> </w:t>
            </w:r>
            <w:r w:rsidR="00E85266">
              <w:t xml:space="preserve">or </w:t>
            </w:r>
            <w:r w:rsidR="00D65758">
              <w:t xml:space="preserve">because of </w:t>
            </w:r>
            <w:r w:rsidRPr="00E2427B">
              <w:t xml:space="preserve">divisional restructuring or staff turnover. </w:t>
            </w:r>
            <w:r w:rsidRPr="0094484F">
              <w:t>There</w:t>
            </w:r>
            <w:r w:rsidR="00647FFE" w:rsidRPr="0094484F">
              <w:t xml:space="preserve"> </w:t>
            </w:r>
            <w:r w:rsidR="00E85266" w:rsidRPr="0094484F">
              <w:t xml:space="preserve">has been poor </w:t>
            </w:r>
            <w:r w:rsidRPr="0094484F">
              <w:t>accountability for the correct assignment of ownership of recommendations to First Assistant Secretaries</w:t>
            </w:r>
            <w:r w:rsidR="000C11F5" w:rsidRPr="0094484F">
              <w:t>,</w:t>
            </w:r>
            <w:r w:rsidRPr="0094484F">
              <w:t xml:space="preserve"> and</w:t>
            </w:r>
            <w:r w:rsidRPr="00E2427B">
              <w:t xml:space="preserve"> during divisional restructuring it is difficult to </w:t>
            </w:r>
            <w:r w:rsidR="00D65758">
              <w:t xml:space="preserve">agree on </w:t>
            </w:r>
            <w:r w:rsidRPr="00E2427B">
              <w:t>which First Assistant Secretary is responsible for each recommendation.</w:t>
            </w:r>
            <w:r w:rsidR="00A0713E">
              <w:t xml:space="preserve"> </w:t>
            </w:r>
            <w:r w:rsidR="008377C0">
              <w:t xml:space="preserve">There has been confusion regarding the roles and accountability of </w:t>
            </w:r>
            <w:r w:rsidR="0094484F">
              <w:t>b</w:t>
            </w:r>
            <w:r w:rsidR="008377C0">
              <w:t>iosecurity</w:t>
            </w:r>
            <w:r w:rsidR="0094484F">
              <w:t xml:space="preserve"> divisions</w:t>
            </w:r>
            <w:r w:rsidR="008377C0">
              <w:t xml:space="preserve">, </w:t>
            </w:r>
            <w:r w:rsidR="0094484F">
              <w:t>the c</w:t>
            </w:r>
            <w:r w:rsidR="008377C0">
              <w:t xml:space="preserve">orporate </w:t>
            </w:r>
            <w:r w:rsidR="0094484F">
              <w:t xml:space="preserve">division </w:t>
            </w:r>
            <w:r w:rsidR="008377C0">
              <w:t xml:space="preserve">and </w:t>
            </w:r>
            <w:r w:rsidR="0094484F">
              <w:t xml:space="preserve">the </w:t>
            </w:r>
            <w:r w:rsidR="008377C0">
              <w:t>Office of the Inspector-General.</w:t>
            </w:r>
          </w:p>
          <w:p w14:paraId="075893FA" w14:textId="2B88B278" w:rsidR="00184F2F" w:rsidRDefault="00184F2F" w:rsidP="003B6D38">
            <w:pPr>
              <w:pStyle w:val="TableText"/>
            </w:pPr>
            <w:r w:rsidRPr="00E2427B">
              <w:t xml:space="preserve">The department should implement a process to correctly assign ownership for each recommendation when the original review is finalised. </w:t>
            </w:r>
            <w:r w:rsidR="00D65758">
              <w:t xml:space="preserve">This would mean that, within the department, </w:t>
            </w:r>
            <w:r>
              <w:t xml:space="preserve">ownership </w:t>
            </w:r>
            <w:r w:rsidR="000C11F5">
              <w:t xml:space="preserve">of recommendations </w:t>
            </w:r>
            <w:r>
              <w:t xml:space="preserve">and accountability for implementing </w:t>
            </w:r>
            <w:r w:rsidR="000C11F5">
              <w:t xml:space="preserve">them </w:t>
            </w:r>
            <w:r w:rsidR="00D65758">
              <w:t xml:space="preserve">would be </w:t>
            </w:r>
            <w:r w:rsidR="00150CD8">
              <w:t>already known</w:t>
            </w:r>
            <w:r w:rsidR="00D65758">
              <w:t xml:space="preserve"> </w:t>
            </w:r>
            <w:r>
              <w:t xml:space="preserve">at the time of </w:t>
            </w:r>
            <w:r w:rsidRPr="00E2427B">
              <w:t>the department’s formal management response to Inspector-General reviews.</w:t>
            </w:r>
          </w:p>
        </w:tc>
      </w:tr>
      <w:tr w:rsidR="003B6D38" w14:paraId="09B25B97" w14:textId="77777777" w:rsidTr="003B6D38">
        <w:tc>
          <w:tcPr>
            <w:tcW w:w="2547" w:type="dxa"/>
          </w:tcPr>
          <w:p w14:paraId="5F53F40E" w14:textId="53A10654" w:rsidR="003B6D38" w:rsidRDefault="003B6D38" w:rsidP="003B6D38">
            <w:pPr>
              <w:pStyle w:val="TableText"/>
            </w:pPr>
            <w:r w:rsidRPr="00231E3A">
              <w:lastRenderedPageBreak/>
              <w:t>Project management approach</w:t>
            </w:r>
          </w:p>
        </w:tc>
        <w:tc>
          <w:tcPr>
            <w:tcW w:w="6513" w:type="dxa"/>
          </w:tcPr>
          <w:p w14:paraId="32C6A4F0" w14:textId="12365770" w:rsidR="003B6D38" w:rsidRDefault="003B6D38" w:rsidP="00D65758">
            <w:pPr>
              <w:pStyle w:val="TableText"/>
            </w:pPr>
            <w:r w:rsidRPr="00E2427B">
              <w:t xml:space="preserve">As a result of the status review </w:t>
            </w:r>
            <w:r w:rsidRPr="0094484F">
              <w:t xml:space="preserve">meetings, the </w:t>
            </w:r>
            <w:r w:rsidR="00D65758" w:rsidRPr="0094484F">
              <w:t>b</w:t>
            </w:r>
            <w:r w:rsidRPr="0094484F">
              <w:t>iosecurity divisions have</w:t>
            </w:r>
            <w:r w:rsidRPr="00E2427B">
              <w:t xml:space="preserve"> now correctly assigned ownership of open recommendations to First Assistant Secretaries.</w:t>
            </w:r>
            <w:r w:rsidR="008377C0">
              <w:t xml:space="preserve"> </w:t>
            </w:r>
            <w:r w:rsidR="00D65758">
              <w:t xml:space="preserve">Largely </w:t>
            </w:r>
            <w:r w:rsidR="001B10B9">
              <w:t>flowing from</w:t>
            </w:r>
            <w:r w:rsidR="00D65758">
              <w:t xml:space="preserve"> t</w:t>
            </w:r>
            <w:r w:rsidR="008377C0">
              <w:t xml:space="preserve">he government’s recent funding of </w:t>
            </w:r>
            <w:r w:rsidR="00D65758">
              <w:t>and</w:t>
            </w:r>
            <w:r w:rsidR="004F521D">
              <w:t xml:space="preserve"> the department’s</w:t>
            </w:r>
            <w:r w:rsidR="00D65758">
              <w:t xml:space="preserve"> implementation of </w:t>
            </w:r>
            <w:r w:rsidR="008377C0">
              <w:t>major new biosecurity initiatives</w:t>
            </w:r>
            <w:r w:rsidR="00D65758">
              <w:t>, b</w:t>
            </w:r>
            <w:r w:rsidR="008377C0">
              <w:t xml:space="preserve">iosecurity divisions are substantially boosting project management capability. </w:t>
            </w:r>
            <w:r w:rsidR="00D65758">
              <w:t xml:space="preserve">This means that implementation of </w:t>
            </w:r>
            <w:r w:rsidR="004F521D">
              <w:t xml:space="preserve">Inspector-General </w:t>
            </w:r>
            <w:r w:rsidR="00BF7252">
              <w:t>recommendations should be able to be managed within the overall improvement implementation processes.</w:t>
            </w:r>
          </w:p>
        </w:tc>
      </w:tr>
      <w:tr w:rsidR="003B6D38" w14:paraId="5ECC3330" w14:textId="77777777" w:rsidTr="003B6D38">
        <w:tc>
          <w:tcPr>
            <w:tcW w:w="2547" w:type="dxa"/>
          </w:tcPr>
          <w:p w14:paraId="1A705F83" w14:textId="383985A8" w:rsidR="003B6D38" w:rsidRDefault="00184F2F" w:rsidP="003B6D38">
            <w:pPr>
              <w:pStyle w:val="TableText"/>
            </w:pPr>
            <w:r w:rsidRPr="00231E3A">
              <w:t>Establishing department accountability</w:t>
            </w:r>
          </w:p>
        </w:tc>
        <w:tc>
          <w:tcPr>
            <w:tcW w:w="6513" w:type="dxa"/>
          </w:tcPr>
          <w:p w14:paraId="640CEC25" w14:textId="350B023F" w:rsidR="003B6D38" w:rsidRDefault="003B6D38" w:rsidP="003B6D38">
            <w:pPr>
              <w:pStyle w:val="TableText"/>
            </w:pPr>
            <w:r w:rsidRPr="00E2427B">
              <w:t xml:space="preserve">Once Inspector-General review recommendations are signed off by the </w:t>
            </w:r>
            <w:r w:rsidR="003A15AC">
              <w:t>Director of Biosecurity</w:t>
            </w:r>
            <w:r w:rsidRPr="00E2427B">
              <w:t>, the accountability for managing implemen</w:t>
            </w:r>
            <w:r w:rsidR="00E85266">
              <w:t>tation of responses to recommendations</w:t>
            </w:r>
            <w:r w:rsidRPr="00E2427B">
              <w:t xml:space="preserve"> the</w:t>
            </w:r>
            <w:r w:rsidR="00E85266">
              <w:t>n</w:t>
            </w:r>
            <w:r w:rsidRPr="00E2427B">
              <w:t xml:space="preserve"> flows from the </w:t>
            </w:r>
            <w:r w:rsidR="00E85266">
              <w:t>Director of Biosecurity to</w:t>
            </w:r>
            <w:r w:rsidR="001449A7">
              <w:t xml:space="preserve"> the</w:t>
            </w:r>
            <w:r w:rsidR="00E85266">
              <w:t xml:space="preserve"> </w:t>
            </w:r>
            <w:r w:rsidRPr="00E2427B">
              <w:t>Deputy Secretary</w:t>
            </w:r>
            <w:r w:rsidR="001449A7">
              <w:t xml:space="preserve">, </w:t>
            </w:r>
            <w:r w:rsidRPr="00E2427B">
              <w:t xml:space="preserve">Biosecurity, </w:t>
            </w:r>
            <w:r w:rsidR="00D65758">
              <w:t xml:space="preserve">and then </w:t>
            </w:r>
            <w:r w:rsidRPr="00E2427B">
              <w:t xml:space="preserve">to the department’s First Assistant Secretaries and responsible </w:t>
            </w:r>
            <w:r w:rsidR="00E85266">
              <w:t xml:space="preserve">divisional </w:t>
            </w:r>
            <w:r w:rsidRPr="00E2427B">
              <w:t>staff.</w:t>
            </w:r>
            <w:r w:rsidR="00BF7252">
              <w:t xml:space="preserve"> </w:t>
            </w:r>
            <w:r w:rsidR="00BF7252" w:rsidRPr="0094484F">
              <w:t xml:space="preserve">This line of accountability has generally been established when advice was provided to the Director of </w:t>
            </w:r>
            <w:r w:rsidR="006F16A1" w:rsidRPr="0094484F">
              <w:t>Biosecurity but</w:t>
            </w:r>
            <w:r w:rsidR="00BF7252" w:rsidRPr="0094484F">
              <w:t xml:space="preserve"> was then confused when </w:t>
            </w:r>
            <w:r w:rsidR="0094484F">
              <w:t>the c</w:t>
            </w:r>
            <w:r w:rsidR="00BF7252" w:rsidRPr="0094484F">
              <w:t xml:space="preserve">orporate </w:t>
            </w:r>
            <w:r w:rsidR="0094484F">
              <w:t xml:space="preserve">division </w:t>
            </w:r>
            <w:r w:rsidR="00BF7252" w:rsidRPr="0094484F">
              <w:t>insisted on staff of the Inspector-General</w:t>
            </w:r>
            <w:r w:rsidR="0094484F">
              <w:t>’s office</w:t>
            </w:r>
            <w:r w:rsidR="00BF7252" w:rsidRPr="0094484F">
              <w:t xml:space="preserve"> entering relevant information into the corporate tracking system.</w:t>
            </w:r>
            <w:r w:rsidR="00BF7252">
              <w:t xml:space="preserve"> </w:t>
            </w:r>
          </w:p>
        </w:tc>
      </w:tr>
      <w:tr w:rsidR="003B6D38" w14:paraId="0CC10279" w14:textId="77777777" w:rsidTr="003B6D38">
        <w:tc>
          <w:tcPr>
            <w:tcW w:w="2547" w:type="dxa"/>
          </w:tcPr>
          <w:p w14:paraId="5AD499EB" w14:textId="3F5DD486" w:rsidR="003B6D38" w:rsidRDefault="003B6D38" w:rsidP="003B6D38">
            <w:pPr>
              <w:pStyle w:val="TableText"/>
            </w:pPr>
            <w:r w:rsidRPr="00231E3A">
              <w:t>Biosecurity system performance and assurance</w:t>
            </w:r>
          </w:p>
        </w:tc>
        <w:tc>
          <w:tcPr>
            <w:tcW w:w="6513" w:type="dxa"/>
          </w:tcPr>
          <w:p w14:paraId="2921B246" w14:textId="010DEC73" w:rsidR="003B6D38" w:rsidRDefault="003B6D38" w:rsidP="00D65758">
            <w:pPr>
              <w:pStyle w:val="TableText"/>
            </w:pPr>
            <w:r w:rsidRPr="00E2427B">
              <w:t xml:space="preserve">The department needs to </w:t>
            </w:r>
            <w:r w:rsidR="00D65758">
              <w:t xml:space="preserve">take </w:t>
            </w:r>
            <w:r w:rsidRPr="00E2427B">
              <w:t>a project management approach to implement</w:t>
            </w:r>
            <w:r w:rsidR="00D65758">
              <w:t>ing</w:t>
            </w:r>
            <w:r w:rsidRPr="00E2427B">
              <w:t xml:space="preserve"> Inspector-General recommendations. This would </w:t>
            </w:r>
            <w:r w:rsidR="00D65758">
              <w:t>allow th</w:t>
            </w:r>
            <w:r w:rsidR="003A15AC">
              <w:t>e</w:t>
            </w:r>
            <w:r w:rsidR="00D65758">
              <w:t xml:space="preserve"> </w:t>
            </w:r>
            <w:r w:rsidRPr="00E2427B">
              <w:t xml:space="preserve">implementation </w:t>
            </w:r>
            <w:r w:rsidR="00D65758">
              <w:t xml:space="preserve">to be embedded </w:t>
            </w:r>
            <w:r w:rsidR="00E85266">
              <w:t>into the overall process of ongoing improvement</w:t>
            </w:r>
            <w:r w:rsidR="00D32768">
              <w:t>.</w:t>
            </w:r>
            <w:r w:rsidRPr="00E2427B">
              <w:t xml:space="preserve"> </w:t>
            </w:r>
            <w:r w:rsidR="00D65758">
              <w:t xml:space="preserve">Also, it </w:t>
            </w:r>
            <w:r w:rsidR="00D32768">
              <w:t xml:space="preserve">would </w:t>
            </w:r>
            <w:r w:rsidR="00D65758">
              <w:t xml:space="preserve">mean that implementation did not rely </w:t>
            </w:r>
            <w:r w:rsidRPr="00E2427B">
              <w:t xml:space="preserve">on </w:t>
            </w:r>
            <w:r w:rsidRPr="0094484F">
              <w:t>corporate knowledge o</w:t>
            </w:r>
            <w:r w:rsidR="00E85266" w:rsidRPr="0094484F">
              <w:t>f</w:t>
            </w:r>
            <w:r w:rsidRPr="0094484F">
              <w:t xml:space="preserve"> individual staff. </w:t>
            </w:r>
            <w:r w:rsidR="00D65758" w:rsidRPr="0094484F">
              <w:t xml:space="preserve">It </w:t>
            </w:r>
            <w:r w:rsidRPr="0094484F">
              <w:t xml:space="preserve">would also support the implementation of </w:t>
            </w:r>
            <w:r w:rsidR="00E85266" w:rsidRPr="0094484F">
              <w:t xml:space="preserve">both </w:t>
            </w:r>
            <w:r w:rsidR="004E01F4" w:rsidRPr="0094484F">
              <w:t>broader recommendations</w:t>
            </w:r>
            <w:r w:rsidR="00E85266" w:rsidRPr="0094484F">
              <w:t xml:space="preserve"> and recommendations grouped together by the department,</w:t>
            </w:r>
            <w:r w:rsidRPr="0094484F">
              <w:t xml:space="preserve"> b</w:t>
            </w:r>
            <w:r w:rsidRPr="00E2427B">
              <w:t xml:space="preserve">ecause it would clearly identify </w:t>
            </w:r>
            <w:r w:rsidR="0025028F">
              <w:t xml:space="preserve">agreed departmental </w:t>
            </w:r>
            <w:r w:rsidRPr="00E2427B">
              <w:t>actions to address these recommendations and the divisions responsible for the implementation.</w:t>
            </w:r>
          </w:p>
        </w:tc>
      </w:tr>
      <w:tr w:rsidR="003B6D38" w14:paraId="5B942D31" w14:textId="77777777" w:rsidTr="003B6D38">
        <w:tc>
          <w:tcPr>
            <w:tcW w:w="2547" w:type="dxa"/>
          </w:tcPr>
          <w:p w14:paraId="638883AB" w14:textId="72CB00F8" w:rsidR="003B6D38" w:rsidRDefault="00D32768" w:rsidP="003B6D38">
            <w:pPr>
              <w:pStyle w:val="TableText"/>
            </w:pPr>
            <w:r w:rsidRPr="00D32768">
              <w:t>Planning Hub</w:t>
            </w:r>
            <w:r w:rsidR="00CE5973">
              <w:t xml:space="preserve"> software system</w:t>
            </w:r>
          </w:p>
        </w:tc>
        <w:tc>
          <w:tcPr>
            <w:tcW w:w="6513" w:type="dxa"/>
          </w:tcPr>
          <w:p w14:paraId="791E75E4" w14:textId="60A8502D" w:rsidR="005A030A" w:rsidRDefault="003B6D38" w:rsidP="003B6D38">
            <w:pPr>
              <w:pStyle w:val="TableText"/>
            </w:pPr>
            <w:r w:rsidRPr="00E2427B">
              <w:t xml:space="preserve">Planning Hub </w:t>
            </w:r>
            <w:r w:rsidR="00E45EDC">
              <w:t>does</w:t>
            </w:r>
            <w:r w:rsidRPr="00E2427B">
              <w:t xml:space="preserve"> not satisfactorily support the department’s governance processes </w:t>
            </w:r>
            <w:r w:rsidR="005A030A">
              <w:t xml:space="preserve">for </w:t>
            </w:r>
            <w:r w:rsidRPr="00E2427B">
              <w:t>implement</w:t>
            </w:r>
            <w:r w:rsidR="005A030A">
              <w:t>ing</w:t>
            </w:r>
            <w:r w:rsidRPr="00E2427B">
              <w:t xml:space="preserve"> Inspector-General recommendations. It is difficult for the department’s</w:t>
            </w:r>
            <w:r w:rsidR="00A56043">
              <w:t xml:space="preserve"> </w:t>
            </w:r>
            <w:r w:rsidR="005A030A">
              <w:t>b</w:t>
            </w:r>
            <w:r w:rsidR="00A56043">
              <w:t>iosecurity</w:t>
            </w:r>
            <w:r w:rsidRPr="00E2427B">
              <w:t xml:space="preserve"> executive and responsible staff to manage, monitor and report </w:t>
            </w:r>
            <w:r w:rsidR="005A030A">
              <w:t xml:space="preserve">on </w:t>
            </w:r>
            <w:r w:rsidRPr="00E2427B">
              <w:t>the implementation of recommendations in Planning Hub.</w:t>
            </w:r>
          </w:p>
          <w:p w14:paraId="18211C0B" w14:textId="25A09E13" w:rsidR="005A030A" w:rsidRDefault="005A030A" w:rsidP="005A030A">
            <w:pPr>
              <w:pStyle w:val="TableText"/>
            </w:pPr>
            <w:r>
              <w:t>Not all s</w:t>
            </w:r>
            <w:r w:rsidR="003B6D38" w:rsidRPr="00E2427B">
              <w:t xml:space="preserve">taff are recording progress </w:t>
            </w:r>
            <w:r>
              <w:t xml:space="preserve">on implementation </w:t>
            </w:r>
            <w:r w:rsidR="003B6D38" w:rsidRPr="00E2427B">
              <w:t xml:space="preserve">in Planning Hub. </w:t>
            </w:r>
            <w:r w:rsidR="00A56043" w:rsidRPr="00E2427B">
              <w:t xml:space="preserve">Some </w:t>
            </w:r>
            <w:r>
              <w:t>b</w:t>
            </w:r>
            <w:r w:rsidR="00A56043" w:rsidRPr="00E2427B">
              <w:t xml:space="preserve">iosecurity divisions are using a separate spreadsheet to manage </w:t>
            </w:r>
            <w:r w:rsidR="00A56043">
              <w:t xml:space="preserve">implementation of </w:t>
            </w:r>
            <w:r w:rsidR="00A56043" w:rsidRPr="00E2427B">
              <w:t>recommendations.</w:t>
            </w:r>
          </w:p>
          <w:p w14:paraId="07301B4E" w14:textId="3F99F693" w:rsidR="003B6D38" w:rsidRDefault="005A030A" w:rsidP="005A030A">
            <w:pPr>
              <w:pStyle w:val="TableText"/>
            </w:pPr>
            <w:r w:rsidRPr="00E2427B">
              <w:t xml:space="preserve">In Planning Hub, recommendations are listed as either ‘open’ or ‘closed’. </w:t>
            </w:r>
            <w:r>
              <w:t>F</w:t>
            </w:r>
            <w:r w:rsidRPr="00E2427B">
              <w:t>rom a project management perspective</w:t>
            </w:r>
            <w:r>
              <w:t>,</w:t>
            </w:r>
            <w:r w:rsidRPr="00E2427B" w:rsidDel="005A030A">
              <w:t xml:space="preserve"> </w:t>
            </w:r>
            <w:r>
              <w:t xml:space="preserve">it might be useful to create an </w:t>
            </w:r>
            <w:r w:rsidR="003B6D38" w:rsidRPr="00E2427B">
              <w:t xml:space="preserve">‘in progress’ </w:t>
            </w:r>
            <w:r>
              <w:t>status</w:t>
            </w:r>
            <w:r w:rsidR="003B6D38" w:rsidRPr="00E2427B">
              <w:t>.</w:t>
            </w:r>
          </w:p>
        </w:tc>
      </w:tr>
      <w:tr w:rsidR="003B6D38" w14:paraId="1E4A2596" w14:textId="77777777" w:rsidTr="003B6D38">
        <w:tc>
          <w:tcPr>
            <w:tcW w:w="2547" w:type="dxa"/>
          </w:tcPr>
          <w:p w14:paraId="11D93A75" w14:textId="0AA3751D" w:rsidR="003B6D38" w:rsidRDefault="003B6D38" w:rsidP="003B6D38">
            <w:pPr>
              <w:pStyle w:val="TableText"/>
            </w:pPr>
            <w:r w:rsidRPr="00231E3A">
              <w:t>Closure of recommendations</w:t>
            </w:r>
          </w:p>
        </w:tc>
        <w:tc>
          <w:tcPr>
            <w:tcW w:w="6513" w:type="dxa"/>
          </w:tcPr>
          <w:p w14:paraId="55A461D6" w14:textId="300707C0" w:rsidR="003B6D38" w:rsidRDefault="003B6D38" w:rsidP="003B6D38">
            <w:pPr>
              <w:pStyle w:val="TableText"/>
            </w:pPr>
            <w:r w:rsidRPr="00E2427B">
              <w:t xml:space="preserve">The </w:t>
            </w:r>
            <w:r w:rsidR="005A030A">
              <w:t>b</w:t>
            </w:r>
            <w:r w:rsidRPr="00E2427B">
              <w:t xml:space="preserve">iosecurity </w:t>
            </w:r>
            <w:r w:rsidRPr="0094484F">
              <w:t>division</w:t>
            </w:r>
            <w:r w:rsidR="00EF42E1">
              <w:t>s’</w:t>
            </w:r>
            <w:r w:rsidRPr="00E2427B">
              <w:t xml:space="preserve"> executive</w:t>
            </w:r>
            <w:r w:rsidR="0008331C">
              <w:t xml:space="preserve"> managers</w:t>
            </w:r>
            <w:r w:rsidRPr="00E2427B">
              <w:t xml:space="preserve"> observed that</w:t>
            </w:r>
            <w:r w:rsidR="005A030A">
              <w:t>,</w:t>
            </w:r>
            <w:r w:rsidRPr="00E2427B">
              <w:t xml:space="preserve"> if multiple Inspector-General reviews have </w:t>
            </w:r>
            <w:r w:rsidR="005A030A">
              <w:t xml:space="preserve">made </w:t>
            </w:r>
            <w:r w:rsidRPr="00E2427B">
              <w:t xml:space="preserve">similar recommendations and the department is still implementing them, </w:t>
            </w:r>
            <w:r w:rsidR="005A030A">
              <w:t xml:space="preserve">it appears that </w:t>
            </w:r>
            <w:r w:rsidR="00A56043">
              <w:t xml:space="preserve">underpinning reform </w:t>
            </w:r>
            <w:r w:rsidR="005A030A">
              <w:t xml:space="preserve">is </w:t>
            </w:r>
            <w:r w:rsidR="00A56043">
              <w:t>need</w:t>
            </w:r>
            <w:r w:rsidRPr="00E2427B">
              <w:t xml:space="preserve">ed. </w:t>
            </w:r>
            <w:r w:rsidR="00A56043">
              <w:t>In such situations, t</w:t>
            </w:r>
            <w:r w:rsidRPr="00E2427B">
              <w:t>he department needs to undertake</w:t>
            </w:r>
            <w:r w:rsidR="0008331C">
              <w:t xml:space="preserve"> some form of</w:t>
            </w:r>
            <w:r w:rsidRPr="00E2427B">
              <w:t xml:space="preserve"> root cause analysis to identify and </w:t>
            </w:r>
            <w:r w:rsidRPr="0094484F">
              <w:t xml:space="preserve">understand the </w:t>
            </w:r>
            <w:r w:rsidR="00A81ED6">
              <w:t>causes</w:t>
            </w:r>
            <w:r w:rsidR="00A81ED6" w:rsidRPr="0094484F">
              <w:t xml:space="preserve"> </w:t>
            </w:r>
            <w:r w:rsidRPr="0094484F">
              <w:t>of the similar recommendations</w:t>
            </w:r>
            <w:r w:rsidR="00A81ED6">
              <w:t>,</w:t>
            </w:r>
            <w:r w:rsidRPr="00E2427B">
              <w:t xml:space="preserve"> </w:t>
            </w:r>
            <w:r w:rsidR="00A81ED6">
              <w:t xml:space="preserve">which </w:t>
            </w:r>
            <w:r w:rsidRPr="00E2427B">
              <w:t xml:space="preserve">can then be addressed to improve the biosecurity system. </w:t>
            </w:r>
          </w:p>
        </w:tc>
      </w:tr>
    </w:tbl>
    <w:p w14:paraId="51FA640F" w14:textId="5937F111" w:rsidR="00D57507" w:rsidRPr="00595916" w:rsidRDefault="003B55FE" w:rsidP="00037A8F">
      <w:pPr>
        <w:pStyle w:val="Heading2"/>
      </w:pPr>
      <w:bookmarkStart w:id="30" w:name="_Toc87543865"/>
      <w:r>
        <w:lastRenderedPageBreak/>
        <w:t>Improving g</w:t>
      </w:r>
      <w:r w:rsidR="006F291E">
        <w:t>overnance arrangements</w:t>
      </w:r>
      <w:bookmarkEnd w:id="30"/>
    </w:p>
    <w:p w14:paraId="6A820041" w14:textId="4D8F16EC" w:rsidR="00E0543B" w:rsidRDefault="003B55FE" w:rsidP="00E0543B">
      <w:pPr>
        <w:pStyle w:val="Heading3"/>
      </w:pPr>
      <w:bookmarkStart w:id="31" w:name="_Toc87543866"/>
      <w:r>
        <w:t>Improving g</w:t>
      </w:r>
      <w:r w:rsidR="00E0543B" w:rsidRPr="00E0543B">
        <w:t>overnance processes</w:t>
      </w:r>
      <w:bookmarkEnd w:id="31"/>
    </w:p>
    <w:p w14:paraId="28B14FD6" w14:textId="130D9C19" w:rsidR="00E50329" w:rsidRDefault="00AC3806" w:rsidP="00E0543B">
      <w:r w:rsidRPr="005A030A">
        <w:t>Inspector</w:t>
      </w:r>
      <w:r w:rsidR="005A030A" w:rsidRPr="005A030A">
        <w:t>s</w:t>
      </w:r>
      <w:r w:rsidRPr="005A030A">
        <w:t xml:space="preserve">-General </w:t>
      </w:r>
      <w:r w:rsidR="005A030A" w:rsidRPr="005A030A">
        <w:t xml:space="preserve">have made efforts </w:t>
      </w:r>
      <w:r w:rsidR="003B55FE" w:rsidRPr="005A030A">
        <w:t>t</w:t>
      </w:r>
      <w:r w:rsidR="007C2BD9" w:rsidRPr="005A030A">
        <w:t>o</w:t>
      </w:r>
      <w:r w:rsidR="00E0543B" w:rsidRPr="005A030A">
        <w:t xml:space="preserve"> </w:t>
      </w:r>
      <w:r w:rsidR="007C2BD9" w:rsidRPr="005A030A">
        <w:t xml:space="preserve">better </w:t>
      </w:r>
      <w:r w:rsidR="00E0543B" w:rsidRPr="005A030A">
        <w:t xml:space="preserve">engage with the department </w:t>
      </w:r>
      <w:r w:rsidR="005A030A" w:rsidRPr="00EF42E1">
        <w:t xml:space="preserve">to </w:t>
      </w:r>
      <w:r w:rsidR="005A030A">
        <w:t>foster</w:t>
      </w:r>
      <w:r w:rsidR="005A030A" w:rsidRPr="00EF42E1">
        <w:t xml:space="preserve"> </w:t>
      </w:r>
      <w:r w:rsidR="00E0543B" w:rsidRPr="005A030A">
        <w:t xml:space="preserve">more effective governance for </w:t>
      </w:r>
      <w:r w:rsidR="005A030A" w:rsidRPr="00EF42E1">
        <w:t xml:space="preserve">the </w:t>
      </w:r>
      <w:r w:rsidR="00E0543B" w:rsidRPr="005A030A">
        <w:t>implementation of Inspector-General recommendations</w:t>
      </w:r>
      <w:r w:rsidR="003B55FE" w:rsidRPr="005A030A">
        <w:t>.</w:t>
      </w:r>
    </w:p>
    <w:p w14:paraId="525D893D" w14:textId="5CDD273C" w:rsidR="00E0543B" w:rsidRDefault="00C33FB8" w:rsidP="00C33FB8">
      <w:r>
        <w:t>In 2019</w:t>
      </w:r>
      <w:r w:rsidR="005A030A">
        <w:t xml:space="preserve">, following discussions with the department’s corporate </w:t>
      </w:r>
      <w:r w:rsidR="005A030A" w:rsidRPr="00EF42E1">
        <w:t>area</w:t>
      </w:r>
      <w:r w:rsidR="005A030A">
        <w:t>,</w:t>
      </w:r>
      <w:r>
        <w:t xml:space="preserve"> a joint governance </w:t>
      </w:r>
      <w:r w:rsidRPr="005A030A">
        <w:t>process for managing Inspector-General review recommendations was established</w:t>
      </w:r>
      <w:r w:rsidR="005A030A" w:rsidRPr="00EF42E1">
        <w:t>.</w:t>
      </w:r>
      <w:r w:rsidRPr="005A030A">
        <w:t xml:space="preserve"> </w:t>
      </w:r>
      <w:r w:rsidR="005A030A" w:rsidRPr="00EF42E1">
        <w:t xml:space="preserve">This is set out </w:t>
      </w:r>
      <w:r w:rsidRPr="005A030A">
        <w:t>in</w:t>
      </w:r>
      <w:bookmarkStart w:id="32" w:name="_Hlk82449498"/>
      <w:r w:rsidR="00D936C9" w:rsidRPr="005A030A">
        <w:t xml:space="preserve"> </w:t>
      </w:r>
      <w:r w:rsidR="00E0543B" w:rsidRPr="005A030A">
        <w:rPr>
          <w:rStyle w:val="Emphasis"/>
        </w:rPr>
        <w:t>IGB–</w:t>
      </w:r>
      <w:r w:rsidR="005A030A" w:rsidRPr="005A030A">
        <w:rPr>
          <w:rStyle w:val="Emphasis"/>
        </w:rPr>
        <w:t>d</w:t>
      </w:r>
      <w:r w:rsidR="00E0543B" w:rsidRPr="005A030A">
        <w:rPr>
          <w:rStyle w:val="Emphasis"/>
        </w:rPr>
        <w:t>epartment (</w:t>
      </w:r>
      <w:r w:rsidR="005A030A" w:rsidRPr="005A030A">
        <w:rPr>
          <w:rStyle w:val="Emphasis"/>
        </w:rPr>
        <w:t>c</w:t>
      </w:r>
      <w:r w:rsidR="00E0543B" w:rsidRPr="005A030A">
        <w:rPr>
          <w:rStyle w:val="Emphasis"/>
        </w:rPr>
        <w:t>orporate) protocol</w:t>
      </w:r>
      <w:bookmarkEnd w:id="32"/>
      <w:r w:rsidR="00E0543B" w:rsidRPr="005A030A">
        <w:rPr>
          <w:rStyle w:val="Emphasis"/>
        </w:rPr>
        <w:t xml:space="preserve">: </w:t>
      </w:r>
      <w:r w:rsidR="005A030A" w:rsidRPr="005A030A">
        <w:rPr>
          <w:rStyle w:val="Emphasis"/>
        </w:rPr>
        <w:t>p</w:t>
      </w:r>
      <w:r w:rsidR="00E0543B" w:rsidRPr="005A030A">
        <w:rPr>
          <w:rStyle w:val="Emphasis"/>
        </w:rPr>
        <w:t>rotocol for management of IGB’s review recommendations</w:t>
      </w:r>
      <w:r w:rsidR="00E0543B" w:rsidRPr="009A3B68">
        <w:rPr>
          <w:rStyle w:val="Emphasis"/>
        </w:rPr>
        <w:t xml:space="preserve"> in the Planning Hub’s </w:t>
      </w:r>
      <w:r w:rsidR="005A030A">
        <w:rPr>
          <w:rStyle w:val="Emphasis"/>
        </w:rPr>
        <w:t>g</w:t>
      </w:r>
      <w:r w:rsidR="00E0543B" w:rsidRPr="009A3B68">
        <w:rPr>
          <w:rStyle w:val="Emphasis"/>
        </w:rPr>
        <w:t>overnance module by the Department of Agriculture’s biosecurity divisions</w:t>
      </w:r>
      <w:r w:rsidR="001E50D3">
        <w:rPr>
          <w:rStyle w:val="Emphasis"/>
        </w:rPr>
        <w:t xml:space="preserve"> </w:t>
      </w:r>
      <w:r w:rsidR="001E50D3">
        <w:rPr>
          <w:rStyle w:val="Emphasis"/>
          <w:i w:val="0"/>
          <w:iCs w:val="0"/>
        </w:rPr>
        <w:t>(the 2019 protocol</w:t>
      </w:r>
      <w:r w:rsidR="001B143F">
        <w:rPr>
          <w:rStyle w:val="Emphasis"/>
          <w:i w:val="0"/>
          <w:iCs w:val="0"/>
        </w:rPr>
        <w:t>)</w:t>
      </w:r>
      <w:r w:rsidR="00C37055">
        <w:rPr>
          <w:rStyle w:val="Emphasis"/>
          <w:i w:val="0"/>
          <w:iCs w:val="0"/>
        </w:rPr>
        <w:t xml:space="preserve"> </w:t>
      </w:r>
      <w:r w:rsidR="001B143F">
        <w:rPr>
          <w:rStyle w:val="Emphasis"/>
          <w:i w:val="0"/>
          <w:iCs w:val="0"/>
        </w:rPr>
        <w:t>(</w:t>
      </w:r>
      <w:r w:rsidR="00C37055">
        <w:rPr>
          <w:rStyle w:val="Emphasis"/>
          <w:i w:val="0"/>
          <w:iCs w:val="0"/>
        </w:rPr>
        <w:t xml:space="preserve">IGB </w:t>
      </w:r>
      <w:r w:rsidR="009D131B">
        <w:rPr>
          <w:rStyle w:val="Emphasis"/>
          <w:i w:val="0"/>
          <w:iCs w:val="0"/>
        </w:rPr>
        <w:t>2019</w:t>
      </w:r>
      <w:r w:rsidR="00C37055">
        <w:rPr>
          <w:rStyle w:val="Emphasis"/>
          <w:i w:val="0"/>
          <w:iCs w:val="0"/>
        </w:rPr>
        <w:t>)</w:t>
      </w:r>
      <w:r w:rsidR="00E0543B">
        <w:t>.</w:t>
      </w:r>
    </w:p>
    <w:p w14:paraId="6966BA28" w14:textId="1FE3B5B9" w:rsidR="00E0543B" w:rsidRDefault="007B5AF1" w:rsidP="00E0543B">
      <w:r>
        <w:t>The Inspector-General</w:t>
      </w:r>
      <w:r w:rsidR="005A030A">
        <w:t>’s</w:t>
      </w:r>
      <w:r>
        <w:t xml:space="preserve"> office provided th</w:t>
      </w:r>
      <w:r w:rsidR="00C33FB8">
        <w:t xml:space="preserve">e </w:t>
      </w:r>
      <w:r w:rsidR="001E50D3">
        <w:t xml:space="preserve">2019 </w:t>
      </w:r>
      <w:r>
        <w:t>protocol to relevant executives and other staff. It</w:t>
      </w:r>
      <w:r w:rsidR="00E0543B">
        <w:t xml:space="preserve"> outline</w:t>
      </w:r>
      <w:r w:rsidR="00480DCF">
        <w:t>d</w:t>
      </w:r>
      <w:r w:rsidR="00E0543B">
        <w:t>:</w:t>
      </w:r>
    </w:p>
    <w:p w14:paraId="250077EF" w14:textId="66569F73" w:rsidR="00E0543B" w:rsidRDefault="00E0543B" w:rsidP="009A3B68">
      <w:pPr>
        <w:pStyle w:val="ListBullet"/>
      </w:pPr>
      <w:r>
        <w:t>roles of the Inspector-General</w:t>
      </w:r>
      <w:r w:rsidR="005A030A">
        <w:t>’s</w:t>
      </w:r>
      <w:r>
        <w:t xml:space="preserve"> </w:t>
      </w:r>
      <w:r w:rsidR="005A030A">
        <w:t>o</w:t>
      </w:r>
      <w:r>
        <w:t xml:space="preserve">ffice and biosecurity divisional staff </w:t>
      </w:r>
      <w:r w:rsidR="005A030A">
        <w:t xml:space="preserve">and responsibilities </w:t>
      </w:r>
      <w:r>
        <w:t>for:</w:t>
      </w:r>
    </w:p>
    <w:p w14:paraId="1E05D8C7" w14:textId="02236EE6" w:rsidR="00E0543B" w:rsidRDefault="00E0543B" w:rsidP="009A3B68">
      <w:pPr>
        <w:pStyle w:val="ListBullet2"/>
      </w:pPr>
      <w:r>
        <w:t>fact checking the review report</w:t>
      </w:r>
    </w:p>
    <w:p w14:paraId="615A12AC" w14:textId="1767BCBE" w:rsidR="00E0543B" w:rsidRDefault="00E0543B" w:rsidP="009A3B68">
      <w:pPr>
        <w:pStyle w:val="ListBullet2"/>
      </w:pPr>
      <w:r>
        <w:t>seeking the department’s formal response to a review</w:t>
      </w:r>
    </w:p>
    <w:p w14:paraId="578B3C28" w14:textId="6F1DE51F" w:rsidR="00E0543B" w:rsidRDefault="00E0543B" w:rsidP="009A3B68">
      <w:pPr>
        <w:pStyle w:val="ListBullet2"/>
      </w:pPr>
      <w:r>
        <w:t>tracking the completion and sign-off on satisfactory implementation of recommendations by the executive (</w:t>
      </w:r>
      <w:r w:rsidR="000C11F5">
        <w:t xml:space="preserve">that is, </w:t>
      </w:r>
      <w:r>
        <w:t>Deputy Secretary, Biosecurity)</w:t>
      </w:r>
    </w:p>
    <w:p w14:paraId="138FA50C" w14:textId="18653533" w:rsidR="00E0543B" w:rsidRDefault="00E0543B" w:rsidP="009A3B68">
      <w:pPr>
        <w:pStyle w:val="ListBullet"/>
      </w:pPr>
      <w:r>
        <w:t xml:space="preserve">processes </w:t>
      </w:r>
      <w:r w:rsidR="005A030A">
        <w:t xml:space="preserve">that </w:t>
      </w:r>
      <w:r>
        <w:t xml:space="preserve">officials </w:t>
      </w:r>
      <w:r w:rsidR="005A030A">
        <w:t xml:space="preserve">should use to </w:t>
      </w:r>
      <w:r>
        <w:t>record the progress and finalisation of recommendations.</w:t>
      </w:r>
    </w:p>
    <w:p w14:paraId="08BB8106" w14:textId="7DB6B420" w:rsidR="00E0543B" w:rsidRDefault="00E0543B" w:rsidP="00E0543B">
      <w:r>
        <w:t>However, it has be</w:t>
      </w:r>
      <w:r w:rsidR="00C33FB8">
        <w:t>come</w:t>
      </w:r>
      <w:r>
        <w:t xml:space="preserve"> increasingly clear that th</w:t>
      </w:r>
      <w:r w:rsidR="001E50D3">
        <w:t>e 2019</w:t>
      </w:r>
      <w:r>
        <w:t xml:space="preserve"> </w:t>
      </w:r>
      <w:r w:rsidR="003B55FE">
        <w:t xml:space="preserve">protocol </w:t>
      </w:r>
      <w:r>
        <w:t>has been largely treated as an administrative process rather than as a practical input to the department’s continuous improvement program</w:t>
      </w:r>
      <w:r w:rsidR="009B1222">
        <w:t xml:space="preserve"> for its biosecurity functions</w:t>
      </w:r>
      <w:r>
        <w:t>.</w:t>
      </w:r>
    </w:p>
    <w:p w14:paraId="1C51777B" w14:textId="7DBF432F" w:rsidR="00E0543B" w:rsidRDefault="00E0543B" w:rsidP="00E0543B">
      <w:r>
        <w:t xml:space="preserve">Further, the </w:t>
      </w:r>
      <w:r w:rsidR="00E95883">
        <w:t xml:space="preserve">2019 </w:t>
      </w:r>
      <w:r w:rsidR="000877B6">
        <w:t xml:space="preserve">protocol’s </w:t>
      </w:r>
      <w:r>
        <w:t xml:space="preserve">workflow diagram </w:t>
      </w:r>
      <w:r w:rsidR="003222B1">
        <w:t xml:space="preserve">did </w:t>
      </w:r>
      <w:r>
        <w:t>not reinforce</w:t>
      </w:r>
      <w:r w:rsidR="007B5AF1">
        <w:t xml:space="preserve"> accountability</w:t>
      </w:r>
      <w:r>
        <w:t xml:space="preserve"> at the appropriate points within the department </w:t>
      </w:r>
      <w:r w:rsidR="007B5AF1">
        <w:t xml:space="preserve">to ensure that </w:t>
      </w:r>
      <w:r>
        <w:t xml:space="preserve">Inspector-General recommendations </w:t>
      </w:r>
      <w:r w:rsidR="007B5AF1">
        <w:t>are addressed</w:t>
      </w:r>
      <w:r w:rsidR="00A84AF9">
        <w:t xml:space="preserve"> </w:t>
      </w:r>
      <w:r>
        <w:t>once they have been accepted (or otherwise) by the Director of Biosecurity.</w:t>
      </w:r>
    </w:p>
    <w:p w14:paraId="2BAB4832" w14:textId="267F7FCE" w:rsidR="003B55FE" w:rsidRDefault="00E0543B" w:rsidP="003B55FE">
      <w:r>
        <w:t>The</w:t>
      </w:r>
      <w:r w:rsidR="007B5AF1">
        <w:t>refore, the department needs to replace the</w:t>
      </w:r>
      <w:r>
        <w:t xml:space="preserve"> </w:t>
      </w:r>
      <w:r w:rsidR="007B5AF1">
        <w:t>2019</w:t>
      </w:r>
      <w:r>
        <w:t xml:space="preserve"> protocol</w:t>
      </w:r>
      <w:r w:rsidR="007B5AF1">
        <w:t xml:space="preserve"> with a governance framework that clarifies that </w:t>
      </w:r>
      <w:r w:rsidR="001E50D3">
        <w:t xml:space="preserve">it is the responsibility of the department, not the </w:t>
      </w:r>
      <w:r w:rsidR="001E50D3" w:rsidRPr="005A030A">
        <w:t>Inspector-General</w:t>
      </w:r>
      <w:r w:rsidR="000C11F5" w:rsidRPr="00E95883">
        <w:t>’s</w:t>
      </w:r>
      <w:r w:rsidR="001E50D3" w:rsidRPr="005A030A">
        <w:t xml:space="preserve"> </w:t>
      </w:r>
      <w:r w:rsidR="000C11F5" w:rsidRPr="00E95883">
        <w:t>o</w:t>
      </w:r>
      <w:r w:rsidR="001E50D3" w:rsidRPr="005A030A">
        <w:t>ffice,</w:t>
      </w:r>
      <w:r w:rsidR="001E50D3" w:rsidDel="007B5AF1">
        <w:t xml:space="preserve"> </w:t>
      </w:r>
      <w:r w:rsidR="001E50D3">
        <w:t>to</w:t>
      </w:r>
      <w:r w:rsidR="003B55FE">
        <w:t xml:space="preserve"> manage</w:t>
      </w:r>
      <w:r w:rsidR="001E50D3">
        <w:t xml:space="preserve"> the </w:t>
      </w:r>
      <w:r w:rsidR="004B7C71">
        <w:t xml:space="preserve">implementation of the </w:t>
      </w:r>
      <w:r w:rsidR="003B55FE">
        <w:t>Inspector-General</w:t>
      </w:r>
      <w:r w:rsidR="000C11F5">
        <w:t>’s</w:t>
      </w:r>
      <w:r w:rsidR="003B55FE">
        <w:t xml:space="preserve"> review recommendations.</w:t>
      </w:r>
      <w:r w:rsidR="001E50D3">
        <w:t xml:space="preserve"> To support the department’s continuous improvement, </w:t>
      </w:r>
      <w:r w:rsidR="005A030A">
        <w:t xml:space="preserve">the Inspector-General’s office will no longer use the </w:t>
      </w:r>
      <w:r w:rsidR="001E50D3">
        <w:t>2019 protocol</w:t>
      </w:r>
      <w:r w:rsidR="007B5AF1">
        <w:t>.</w:t>
      </w:r>
    </w:p>
    <w:p w14:paraId="42DC9AC4" w14:textId="51391423" w:rsidR="00AC69CE" w:rsidRDefault="00AC69CE" w:rsidP="0013257E">
      <w:pPr>
        <w:pStyle w:val="BoxHeading"/>
      </w:pPr>
      <w:r>
        <w:t>Recommendation 2</w:t>
      </w:r>
    </w:p>
    <w:p w14:paraId="4797A469" w14:textId="60469EEA" w:rsidR="000C0CB5" w:rsidRDefault="00AC69CE" w:rsidP="0013257E">
      <w:pPr>
        <w:pStyle w:val="BoxText"/>
      </w:pPr>
      <w:r>
        <w:t>The department should strengthen governance arrangements that clearly outline the department’s accountability arrangements to implement Inspector-General of Biosecurity review recommendations</w:t>
      </w:r>
      <w:r w:rsidR="000C0CB5">
        <w:t>,</w:t>
      </w:r>
      <w:r>
        <w:t xml:space="preserve"> as part of normal department governance and accountability, and commitment to continuous improvement.</w:t>
      </w:r>
    </w:p>
    <w:p w14:paraId="1E0E24F0" w14:textId="473CCF06" w:rsidR="00BE5B5B" w:rsidRDefault="00BE5B5B" w:rsidP="00BE5B5B">
      <w:pPr>
        <w:pStyle w:val="Heading3"/>
      </w:pPr>
      <w:bookmarkStart w:id="33" w:name="_Toc87543867"/>
      <w:bookmarkStart w:id="34" w:name="_Ref87867615"/>
      <w:r w:rsidRPr="00BE5B5B">
        <w:lastRenderedPageBreak/>
        <w:t>R</w:t>
      </w:r>
      <w:r w:rsidR="00173C36">
        <w:t>esponse to r</w:t>
      </w:r>
      <w:r w:rsidRPr="00BE5B5B">
        <w:t>ecommendation</w:t>
      </w:r>
      <w:r w:rsidR="00173C36">
        <w:t>s</w:t>
      </w:r>
      <w:bookmarkEnd w:id="33"/>
      <w:bookmarkEnd w:id="34"/>
    </w:p>
    <w:p w14:paraId="32D69715" w14:textId="0D7272B1" w:rsidR="00BE5B5B" w:rsidRDefault="00BE5B5B" w:rsidP="00BE5B5B">
      <w:r>
        <w:t xml:space="preserve">The </w:t>
      </w:r>
      <w:r w:rsidR="007B5D9D">
        <w:t xml:space="preserve">Director </w:t>
      </w:r>
      <w:r w:rsidR="00D936C9">
        <w:t xml:space="preserve">of </w:t>
      </w:r>
      <w:r w:rsidR="007B5D9D">
        <w:t xml:space="preserve">Biosecurity (the </w:t>
      </w:r>
      <w:r>
        <w:t>Secretary) provides a formal management response to an Inspector-General review</w:t>
      </w:r>
      <w:r w:rsidR="0067490C">
        <w:t>. The response</w:t>
      </w:r>
      <w:r>
        <w:t xml:space="preserve"> outlin</w:t>
      </w:r>
      <w:r w:rsidR="0067490C">
        <w:t>es</w:t>
      </w:r>
      <w:r>
        <w:t xml:space="preserve"> the department’s position by agreeing in full</w:t>
      </w:r>
      <w:r w:rsidR="0067490C">
        <w:t xml:space="preserve">, agreeing </w:t>
      </w:r>
      <w:r>
        <w:t>in</w:t>
      </w:r>
      <w:r w:rsidR="0067490C">
        <w:t xml:space="preserve"> </w:t>
      </w:r>
      <w:r w:rsidR="00D26F42">
        <w:t>principle, disagreeing</w:t>
      </w:r>
      <w:r>
        <w:t xml:space="preserve"> with or noting recommendations. The response </w:t>
      </w:r>
      <w:r w:rsidR="0067490C">
        <w:t xml:space="preserve">sets out </w:t>
      </w:r>
      <w:r>
        <w:t>the agreed actions and decisions the department will undertake to address the recommendations. The management response</w:t>
      </w:r>
      <w:r w:rsidR="00AC3806">
        <w:t xml:space="preserve">, which is published in the final report on the Inspector-General’s website, </w:t>
      </w:r>
      <w:r>
        <w:t>formalises the department’s commitment to implement (or otherwise) the Inspector-General recommendations.</w:t>
      </w:r>
    </w:p>
    <w:p w14:paraId="6D6ED080" w14:textId="183B493E" w:rsidR="00BE5B5B" w:rsidRDefault="00BE5B5B" w:rsidP="00BE5B5B">
      <w:r>
        <w:t xml:space="preserve">The Inspector-General respects the Director of Biosecurity’s right to not accept specific </w:t>
      </w:r>
      <w:r w:rsidR="007B5D9D">
        <w:t>recommendations and</w:t>
      </w:r>
      <w:r>
        <w:t xml:space="preserve"> </w:t>
      </w:r>
      <w:r w:rsidR="00516BB0">
        <w:t xml:space="preserve">to </w:t>
      </w:r>
      <w:r>
        <w:t>note or agree</w:t>
      </w:r>
      <w:r w:rsidR="00516BB0">
        <w:t xml:space="preserve"> </w:t>
      </w:r>
      <w:r>
        <w:t>in</w:t>
      </w:r>
      <w:r w:rsidR="00516BB0">
        <w:t xml:space="preserve"> </w:t>
      </w:r>
      <w:r>
        <w:t xml:space="preserve">principle to specific recommendations when providing the formal response to a review report. </w:t>
      </w:r>
      <w:r w:rsidR="00AC3806">
        <w:t>However, the Inspector-General is concerned that</w:t>
      </w:r>
      <w:r w:rsidR="00516BB0">
        <w:t>,</w:t>
      </w:r>
      <w:r w:rsidR="00AC3806">
        <w:t xml:space="preserve"> when recommendations are noted, the department does not commit to address</w:t>
      </w:r>
      <w:r w:rsidR="00A81ED6">
        <w:t>ing</w:t>
      </w:r>
      <w:r w:rsidR="00AC3806">
        <w:t xml:space="preserve"> the issue that has been identified in the review. The ANAO has maintained that ‘noting recommendations is equivalent to disagreeing’</w:t>
      </w:r>
      <w:r w:rsidR="00E3266B">
        <w:t xml:space="preserve"> (ANAO 2019)</w:t>
      </w:r>
      <w:r w:rsidR="00AC3806">
        <w:t>.</w:t>
      </w:r>
    </w:p>
    <w:p w14:paraId="4F41B077" w14:textId="4681FA37" w:rsidR="00BE5B5B" w:rsidRDefault="00AC3806" w:rsidP="00BE5B5B">
      <w:r>
        <w:t>I</w:t>
      </w:r>
      <w:r w:rsidR="00BE5B5B">
        <w:t xml:space="preserve">t is fully accepted that the department’s response to a review report may include responses to groups of recommendations. The Inspector-General supports the department’s newly established approach </w:t>
      </w:r>
      <w:r w:rsidR="00173C36">
        <w:t>of</w:t>
      </w:r>
      <w:r w:rsidR="00BE5B5B">
        <w:t xml:space="preserve"> grouping recommendations under similar themes in the formal management </w:t>
      </w:r>
      <w:r w:rsidR="00DA056C">
        <w:t>response if that assists the department in planning integrated implementation of the recommended improvements</w:t>
      </w:r>
      <w:r w:rsidR="00BE5B5B">
        <w:t>.</w:t>
      </w:r>
    </w:p>
    <w:p w14:paraId="248FD59A" w14:textId="1DFC82CA" w:rsidR="00045E72" w:rsidRDefault="00AC3806" w:rsidP="00BE5B5B">
      <w:r>
        <w:t>T</w:t>
      </w:r>
      <w:r w:rsidR="00BE5B5B">
        <w:t>he approach taken</w:t>
      </w:r>
      <w:r>
        <w:t xml:space="preserve"> to responding to individual or groups of recommendations</w:t>
      </w:r>
      <w:r w:rsidR="00BE5B5B">
        <w:t xml:space="preserve"> matters little if there is a well-established governance approach within the department that feeds responses to Inspector-General recommendations into a program of continuous improvement. </w:t>
      </w:r>
      <w:r>
        <w:t xml:space="preserve">What matters most, </w:t>
      </w:r>
      <w:r w:rsidR="00A04D32">
        <w:t xml:space="preserve">both </w:t>
      </w:r>
      <w:r w:rsidR="00A632C2">
        <w:t>internally</w:t>
      </w:r>
      <w:r>
        <w:t xml:space="preserve"> and externally, is that there is clarity </w:t>
      </w:r>
      <w:r w:rsidR="00A81ED6">
        <w:t xml:space="preserve">on </w:t>
      </w:r>
      <w:r>
        <w:t xml:space="preserve">what the department will </w:t>
      </w:r>
      <w:r w:rsidR="001B10B9">
        <w:t>implement</w:t>
      </w:r>
      <w:r w:rsidR="00A7541E">
        <w:t xml:space="preserve"> </w:t>
      </w:r>
      <w:r w:rsidR="000A2F34">
        <w:t xml:space="preserve">to address </w:t>
      </w:r>
      <w:r>
        <w:t xml:space="preserve">each </w:t>
      </w:r>
      <w:r w:rsidR="00045E72">
        <w:t>recommendation.</w:t>
      </w:r>
    </w:p>
    <w:p w14:paraId="0E4A74DA" w14:textId="5D701C76" w:rsidR="00BE5B5B" w:rsidRDefault="00DA056C" w:rsidP="00BE5B5B">
      <w:r>
        <w:t>Th</w:t>
      </w:r>
      <w:r w:rsidR="00045E72">
        <w:t>e</w:t>
      </w:r>
      <w:r>
        <w:t xml:space="preserve"> governance process that provides advice to the Director of Biosecurity </w:t>
      </w:r>
      <w:r w:rsidR="004722CD">
        <w:t xml:space="preserve">on </w:t>
      </w:r>
      <w:r w:rsidR="00A81ED6">
        <w:t>whether to accept</w:t>
      </w:r>
      <w:r w:rsidR="008D7FB3">
        <w:t>, or not,</w:t>
      </w:r>
      <w:r w:rsidR="00A81ED6">
        <w:t xml:space="preserve"> the </w:t>
      </w:r>
      <w:r w:rsidR="00045E72">
        <w:t>Inspector-General</w:t>
      </w:r>
      <w:r w:rsidR="00A81ED6">
        <w:t>’s</w:t>
      </w:r>
      <w:r w:rsidR="00045E72">
        <w:t xml:space="preserve"> recommendations should </w:t>
      </w:r>
      <w:r>
        <w:t>also provid</w:t>
      </w:r>
      <w:r w:rsidR="00045E72">
        <w:t>e clear</w:t>
      </w:r>
      <w:r>
        <w:t xml:space="preserve"> advice on what partial or full action the department intends </w:t>
      </w:r>
      <w:r w:rsidR="004722CD">
        <w:t xml:space="preserve">to </w:t>
      </w:r>
      <w:r>
        <w:t>tak</w:t>
      </w:r>
      <w:r w:rsidR="004722CD">
        <w:t>e</w:t>
      </w:r>
      <w:r>
        <w:t xml:space="preserve"> for </w:t>
      </w:r>
      <w:r w:rsidR="00045E72">
        <w:t xml:space="preserve">each </w:t>
      </w:r>
      <w:r>
        <w:t>recommendation</w:t>
      </w:r>
      <w:r w:rsidR="00045E72">
        <w:t xml:space="preserve"> (including </w:t>
      </w:r>
      <w:r>
        <w:t xml:space="preserve">for </w:t>
      </w:r>
      <w:r w:rsidR="00045E72">
        <w:t xml:space="preserve">those </w:t>
      </w:r>
      <w:r>
        <w:t xml:space="preserve">recommendations for which </w:t>
      </w:r>
      <w:r w:rsidR="00045E72">
        <w:t>the advised response is</w:t>
      </w:r>
      <w:r>
        <w:t xml:space="preserve"> agreed</w:t>
      </w:r>
      <w:r w:rsidR="004722CD">
        <w:t xml:space="preserve"> </w:t>
      </w:r>
      <w:r>
        <w:t>in</w:t>
      </w:r>
      <w:r w:rsidR="004722CD">
        <w:t xml:space="preserve"> </w:t>
      </w:r>
      <w:r>
        <w:t>principle or noted</w:t>
      </w:r>
      <w:r w:rsidR="00045E72">
        <w:t>)</w:t>
      </w:r>
      <w:r>
        <w:t xml:space="preserve">. The internal management and governance processes </w:t>
      </w:r>
      <w:r w:rsidR="00A632C2">
        <w:t xml:space="preserve">for implementation </w:t>
      </w:r>
      <w:r>
        <w:t>would then flow from the Director of Biosecurity’s decisions.</w:t>
      </w:r>
    </w:p>
    <w:p w14:paraId="4FA9452F" w14:textId="0C609448" w:rsidR="004722CD" w:rsidRDefault="004722CD" w:rsidP="00BE5B5B">
      <w:r>
        <w:t>A</w:t>
      </w:r>
      <w:r w:rsidR="00BE5B5B">
        <w:t xml:space="preserve"> functional continuous improvement program</w:t>
      </w:r>
      <w:r w:rsidR="00DA056C">
        <w:t xml:space="preserve"> for </w:t>
      </w:r>
      <w:r>
        <w:t>b</w:t>
      </w:r>
      <w:r w:rsidR="00DA056C">
        <w:t xml:space="preserve">iosecurity </w:t>
      </w:r>
      <w:r>
        <w:t xml:space="preserve">divisions </w:t>
      </w:r>
      <w:r w:rsidR="00DA056C">
        <w:t>(or the whole department)</w:t>
      </w:r>
      <w:r w:rsidR="00BE5B5B">
        <w:t>, with its own appropriate governance, would obviate the need for future Inspectors-General</w:t>
      </w:r>
      <w:r w:rsidR="001F2EB6">
        <w:t>s</w:t>
      </w:r>
      <w:r w:rsidR="00BE5B5B">
        <w:t xml:space="preserve"> to con</w:t>
      </w:r>
      <w:r w:rsidR="00DA056C">
        <w:t>duc</w:t>
      </w:r>
      <w:r w:rsidR="00BE5B5B">
        <w:t>t further reviews</w:t>
      </w:r>
      <w:r>
        <w:t xml:space="preserve"> </w:t>
      </w:r>
      <w:r w:rsidR="00FA0243">
        <w:t>like</w:t>
      </w:r>
      <w:r>
        <w:t xml:space="preserve"> this one</w:t>
      </w:r>
      <w:r w:rsidR="00BE5B5B">
        <w:t>.</w:t>
      </w:r>
    </w:p>
    <w:p w14:paraId="1B02FD70" w14:textId="11516BD5" w:rsidR="00F563F4" w:rsidRDefault="00DA056C" w:rsidP="00BE5B5B">
      <w:r>
        <w:t xml:space="preserve">The status of agreed improvements </w:t>
      </w:r>
      <w:r w:rsidR="00BE5B5B">
        <w:t xml:space="preserve">would already be transparent internally, routinely reported to the Director of Biosecurity and </w:t>
      </w:r>
      <w:r w:rsidR="004E236F">
        <w:t xml:space="preserve">the </w:t>
      </w:r>
      <w:r w:rsidR="00BE5B5B">
        <w:t xml:space="preserve">Minister, </w:t>
      </w:r>
      <w:r w:rsidR="004722CD">
        <w:t xml:space="preserve">and </w:t>
      </w:r>
      <w:r w:rsidR="00BE5B5B">
        <w:t>readily auditable by the ANAO</w:t>
      </w:r>
      <w:r w:rsidR="00F563F4">
        <w:t xml:space="preserve">. It would </w:t>
      </w:r>
      <w:r w:rsidR="00D26F42">
        <w:t>also potentially</w:t>
      </w:r>
      <w:r w:rsidR="00BE5B5B">
        <w:t xml:space="preserve"> </w:t>
      </w:r>
      <w:r w:rsidR="00F563F4">
        <w:t xml:space="preserve">be </w:t>
      </w:r>
      <w:r w:rsidR="00BE5B5B">
        <w:t xml:space="preserve">publicly reported </w:t>
      </w:r>
      <w:r w:rsidR="00F563F4">
        <w:t>as to what</w:t>
      </w:r>
      <w:r w:rsidR="00BE5B5B">
        <w:t xml:space="preserve"> progress was being made (or not) in addressing systemic and specific weaknesses in Australia’s preventative biosecurity arrangements. </w:t>
      </w:r>
    </w:p>
    <w:p w14:paraId="0C11E7D2" w14:textId="77777777" w:rsidR="005469CC" w:rsidRDefault="00BE5B5B" w:rsidP="00BE5B5B">
      <w:pPr>
        <w:sectPr w:rsidR="005469CC" w:rsidSect="00A7149A">
          <w:headerReference w:type="default" r:id="rId23"/>
          <w:footerReference w:type="default" r:id="rId24"/>
          <w:headerReference w:type="first" r:id="rId25"/>
          <w:pgSz w:w="11906" w:h="16838"/>
          <w:pgMar w:top="1418" w:right="1418" w:bottom="1418" w:left="1418" w:header="709" w:footer="709" w:gutter="0"/>
          <w:cols w:space="708"/>
          <w:titlePg/>
          <w:docGrid w:linePitch="360"/>
        </w:sectPr>
      </w:pPr>
      <w:r>
        <w:t xml:space="preserve">If </w:t>
      </w:r>
      <w:r w:rsidR="00F563F4">
        <w:t xml:space="preserve">outstanding </w:t>
      </w:r>
      <w:r w:rsidR="008B0E9C">
        <w:t>Inspectors</w:t>
      </w:r>
      <w:r w:rsidR="00F563F4">
        <w:t>-General recommendations</w:t>
      </w:r>
      <w:r>
        <w:t xml:space="preserve"> are not adequately addressed in a timely manner, it is likely that </w:t>
      </w:r>
      <w:r w:rsidR="00A632C2">
        <w:t>future</w:t>
      </w:r>
      <w:r>
        <w:t xml:space="preserve"> (targeted and broad) Inspector-General </w:t>
      </w:r>
      <w:r w:rsidR="004722CD">
        <w:t xml:space="preserve">published </w:t>
      </w:r>
      <w:r>
        <w:t>review</w:t>
      </w:r>
      <w:r w:rsidR="004722CD">
        <w:t xml:space="preserve"> reports </w:t>
      </w:r>
      <w:r>
        <w:t xml:space="preserve">will again highlight </w:t>
      </w:r>
      <w:r w:rsidR="004722CD">
        <w:t xml:space="preserve">the same </w:t>
      </w:r>
      <w:r>
        <w:t>deficiencies.</w:t>
      </w:r>
    </w:p>
    <w:p w14:paraId="665C3F62" w14:textId="11E99448" w:rsidR="00AC69CE" w:rsidRDefault="00AC69CE" w:rsidP="0013257E">
      <w:pPr>
        <w:pStyle w:val="BoxHeading"/>
      </w:pPr>
      <w:r>
        <w:lastRenderedPageBreak/>
        <w:t>Recommendation 3</w:t>
      </w:r>
    </w:p>
    <w:p w14:paraId="6A3FA4F1" w14:textId="40D29DF9" w:rsidR="00F7359A" w:rsidRPr="00595916" w:rsidRDefault="00F7359A" w:rsidP="0013257E">
      <w:pPr>
        <w:pStyle w:val="BoxText"/>
      </w:pPr>
      <w:r>
        <w:t>The department needs to establish a more clearly understood process to assign accountability for, and track, the implementation of the Inspector-General’s recommendations and any other agreed improvements to the</w:t>
      </w:r>
      <w:r w:rsidRPr="003B5822">
        <w:t xml:space="preserve"> </w:t>
      </w:r>
      <w:r>
        <w:t>biosecurity system. As part of the department’s routine response to each Inspector-General review, accountability should be assigned from the time that the advice is provided to the Director of Biosecurity.</w:t>
      </w:r>
    </w:p>
    <w:p w14:paraId="17A3A6CF" w14:textId="18EDF705" w:rsidR="00BE5B5B" w:rsidRDefault="00215F96" w:rsidP="00BE5B5B">
      <w:pPr>
        <w:pStyle w:val="Heading3"/>
      </w:pPr>
      <w:bookmarkStart w:id="35" w:name="_Toc87543868"/>
      <w:r w:rsidRPr="00215F96">
        <w:t>Assignment of responsibilities</w:t>
      </w:r>
      <w:bookmarkEnd w:id="35"/>
    </w:p>
    <w:p w14:paraId="32B8A01F" w14:textId="703695E6" w:rsidR="00215F96" w:rsidRDefault="00450EEE" w:rsidP="00215F96">
      <w:r>
        <w:t>The</w:t>
      </w:r>
      <w:r w:rsidR="007B5D9D">
        <w:t xml:space="preserve"> responsibility for managing Inspector-General recommendations needs to be clearly assigned </w:t>
      </w:r>
      <w:r>
        <w:t xml:space="preserve">to positions </w:t>
      </w:r>
      <w:r w:rsidR="007B5D9D">
        <w:t>with</w:t>
      </w:r>
      <w:r>
        <w:t>in</w:t>
      </w:r>
      <w:r w:rsidR="007B5D9D">
        <w:t xml:space="preserve"> the </w:t>
      </w:r>
      <w:r w:rsidR="00215F96">
        <w:t>department</w:t>
      </w:r>
      <w:r w:rsidR="00C559F1">
        <w:t>. T</w:t>
      </w:r>
      <w:r w:rsidR="007B5D9D">
        <w:t>he department</w:t>
      </w:r>
      <w:r>
        <w:t>’s governance processes</w:t>
      </w:r>
      <w:r w:rsidR="00215F96">
        <w:t xml:space="preserve"> </w:t>
      </w:r>
      <w:r w:rsidR="007B5D9D">
        <w:t>need to make clear</w:t>
      </w:r>
      <w:r w:rsidR="00215F96">
        <w:t xml:space="preserve"> </w:t>
      </w:r>
      <w:r w:rsidR="004722CD">
        <w:t xml:space="preserve">who is </w:t>
      </w:r>
      <w:r w:rsidR="00215F96">
        <w:t>accountab</w:t>
      </w:r>
      <w:r w:rsidR="004722CD">
        <w:t>le</w:t>
      </w:r>
      <w:r w:rsidR="00215F96">
        <w:t xml:space="preserve"> for </w:t>
      </w:r>
      <w:r w:rsidR="004722CD">
        <w:t xml:space="preserve">implementing </w:t>
      </w:r>
      <w:r w:rsidR="00215F96">
        <w:t>recommendations when Inspector-General review reports are finalised</w:t>
      </w:r>
      <w:r w:rsidR="004722CD">
        <w:t>:</w:t>
      </w:r>
    </w:p>
    <w:p w14:paraId="6FE39150" w14:textId="2DC71472" w:rsidR="00215F96" w:rsidRDefault="004722CD" w:rsidP="00215F96">
      <w:pPr>
        <w:pStyle w:val="ListBullet"/>
      </w:pPr>
      <w:r>
        <w:t xml:space="preserve">When </w:t>
      </w:r>
      <w:r w:rsidR="00215F96">
        <w:t>the department</w:t>
      </w:r>
      <w:r>
        <w:t xml:space="preserve"> is</w:t>
      </w:r>
      <w:r w:rsidR="00215F96">
        <w:t xml:space="preserve"> </w:t>
      </w:r>
      <w:r>
        <w:t xml:space="preserve">coordinating and drafting </w:t>
      </w:r>
      <w:r w:rsidR="00215F96">
        <w:t xml:space="preserve">the management response to an Inspector-General review, the responsible executive </w:t>
      </w:r>
      <w:r>
        <w:t xml:space="preserve">should </w:t>
      </w:r>
      <w:r w:rsidR="00215F96">
        <w:t>identif</w:t>
      </w:r>
      <w:r>
        <w:t>y</w:t>
      </w:r>
      <w:r w:rsidR="00215F96">
        <w:t xml:space="preserve"> the specific section/s that are responsible for each recommendation</w:t>
      </w:r>
      <w:r>
        <w:t>.</w:t>
      </w:r>
    </w:p>
    <w:p w14:paraId="084A91EB" w14:textId="56D2E897" w:rsidR="00215F96" w:rsidRDefault="004722CD" w:rsidP="00215F96">
      <w:pPr>
        <w:pStyle w:val="ListBullet"/>
      </w:pPr>
      <w:r>
        <w:t>O</w:t>
      </w:r>
      <w:r w:rsidR="00215F96">
        <w:t>nce the</w:t>
      </w:r>
      <w:r w:rsidR="00F35170">
        <w:t xml:space="preserve"> Director of Biosecurity</w:t>
      </w:r>
      <w:r w:rsidR="00215F96">
        <w:t xml:space="preserve"> has provided a formal management response to the Inspector-General, the </w:t>
      </w:r>
      <w:r>
        <w:t xml:space="preserve">department’s corporate area should create the </w:t>
      </w:r>
      <w:r w:rsidR="00215F96">
        <w:t>recommendations in Planning Hub</w:t>
      </w:r>
      <w:r>
        <w:t>,</w:t>
      </w:r>
      <w:r w:rsidR="00215F96">
        <w:t xml:space="preserve"> with input from the </w:t>
      </w:r>
      <w:r w:rsidR="008E78D0">
        <w:t>respective biosecurity divisions</w:t>
      </w:r>
      <w:r w:rsidR="00215F96">
        <w:t>.</w:t>
      </w:r>
    </w:p>
    <w:p w14:paraId="2FCC8E8F" w14:textId="74D2D88A" w:rsidR="00215F96" w:rsidRDefault="00215F96" w:rsidP="00215F96">
      <w:r>
        <w:t xml:space="preserve">It is important that responsibilities are correctly assigned within the respective </w:t>
      </w:r>
      <w:r w:rsidR="004722CD">
        <w:t>b</w:t>
      </w:r>
      <w:r w:rsidR="00A111ED">
        <w:t xml:space="preserve">iosecurity </w:t>
      </w:r>
      <w:r>
        <w:t xml:space="preserve">divisions </w:t>
      </w:r>
      <w:r w:rsidR="007E12F4">
        <w:t xml:space="preserve">and </w:t>
      </w:r>
      <w:r w:rsidR="004722CD">
        <w:t xml:space="preserve">to </w:t>
      </w:r>
      <w:r w:rsidR="00347904">
        <w:t xml:space="preserve">responsible </w:t>
      </w:r>
      <w:r w:rsidR="00532720">
        <w:t>staff members</w:t>
      </w:r>
      <w:r w:rsidR="00347904">
        <w:t xml:space="preserve"> </w:t>
      </w:r>
      <w:r>
        <w:t>to both provide expert advice to the Director of Biosecurity and to progress implementation of recommendations.</w:t>
      </w:r>
    </w:p>
    <w:p w14:paraId="5585C18A" w14:textId="7BA225B7" w:rsidR="00215F96" w:rsidRDefault="00215F96" w:rsidP="00215F96">
      <w:r>
        <w:t xml:space="preserve">The department currently assigns responsibilities to specific staff members to implement recommendations in Planning Hub. </w:t>
      </w:r>
      <w:r w:rsidR="007E12F4">
        <w:t>However, t</w:t>
      </w:r>
      <w:r>
        <w:t>he department should assign responsibilities to specific positions instead of specific staff members and ensure the assignment of responsibilities is updated in Planning Hub when changes in staff occur</w:t>
      </w:r>
      <w:r w:rsidR="004722CD">
        <w:t xml:space="preserve"> </w:t>
      </w:r>
      <w:r w:rsidR="004722CD">
        <w:sym w:font="Symbol" w:char="F02D"/>
      </w:r>
      <w:r w:rsidR="004722CD">
        <w:t xml:space="preserve"> for example, as a result of </w:t>
      </w:r>
      <w:r>
        <w:t xml:space="preserve">divisional restructuring or staff turnover. The clear </w:t>
      </w:r>
      <w:r w:rsidR="004722CD">
        <w:t xml:space="preserve">assignment </w:t>
      </w:r>
      <w:r>
        <w:t xml:space="preserve">of </w:t>
      </w:r>
      <w:r w:rsidR="004722CD">
        <w:t xml:space="preserve">these </w:t>
      </w:r>
      <w:r>
        <w:t>responsibilities to specific positions creates accountability for staff in those positions to progress and effectively implement recommendations.</w:t>
      </w:r>
    </w:p>
    <w:p w14:paraId="075EB0D0" w14:textId="0FF8DC27" w:rsidR="00215F96" w:rsidRDefault="00215F96" w:rsidP="0013257E">
      <w:pPr>
        <w:pStyle w:val="BoxHeading"/>
      </w:pPr>
      <w:r>
        <w:t xml:space="preserve">Recommendation </w:t>
      </w:r>
      <w:r w:rsidR="00D515E0">
        <w:t>4</w:t>
      </w:r>
    </w:p>
    <w:p w14:paraId="7C2A3B54" w14:textId="4CD47274" w:rsidR="00215F96" w:rsidRPr="00215F96" w:rsidRDefault="002E003E" w:rsidP="0013257E">
      <w:pPr>
        <w:pStyle w:val="BoxText"/>
      </w:pPr>
      <w:r w:rsidRPr="002E003E">
        <w:t xml:space="preserve">The department should assign accountability to specific positions (not </w:t>
      </w:r>
      <w:r w:rsidR="00514D0E">
        <w:t xml:space="preserve">only to </w:t>
      </w:r>
      <w:r w:rsidRPr="002E003E">
        <w:t>persons) for the implementation of responses to recommendations.</w:t>
      </w:r>
    </w:p>
    <w:p w14:paraId="29AE16F2" w14:textId="55EA0A74" w:rsidR="002702ED" w:rsidRDefault="002702ED" w:rsidP="00037A8F">
      <w:pPr>
        <w:pStyle w:val="Heading2"/>
      </w:pPr>
      <w:bookmarkStart w:id="36" w:name="_Toc87543869"/>
      <w:r w:rsidRPr="002702ED">
        <w:lastRenderedPageBreak/>
        <w:t>Monitoring and reporting implementation of responses to recommendation</w:t>
      </w:r>
      <w:bookmarkEnd w:id="36"/>
    </w:p>
    <w:p w14:paraId="02BE082C" w14:textId="323729A7" w:rsidR="002702ED" w:rsidRDefault="002702ED" w:rsidP="002702ED">
      <w:pPr>
        <w:pStyle w:val="Heading3"/>
      </w:pPr>
      <w:bookmarkStart w:id="37" w:name="_Toc87543870"/>
      <w:r w:rsidRPr="002702ED">
        <w:t>Governance Module, Planning Hub</w:t>
      </w:r>
      <w:bookmarkEnd w:id="37"/>
    </w:p>
    <w:p w14:paraId="300B42B0" w14:textId="37BF54BB" w:rsidR="002702ED" w:rsidRDefault="002702ED" w:rsidP="002702ED">
      <w:r>
        <w:t>The department uses the Governance Module in Planning Hub to manage, record and track the implementation of recommendations from audits and reviews</w:t>
      </w:r>
      <w:r w:rsidR="004722CD">
        <w:t>,</w:t>
      </w:r>
      <w:r>
        <w:t xml:space="preserve"> including Inspector-General of Biosecurity, Inspector-General of Live Animal Exports, </w:t>
      </w:r>
      <w:r w:rsidR="00FE56A3">
        <w:t>ANAO</w:t>
      </w:r>
      <w:r>
        <w:t xml:space="preserve"> and internal audit (</w:t>
      </w:r>
      <w:r w:rsidRPr="006B7C00">
        <w:t>DAWE n</w:t>
      </w:r>
      <w:r w:rsidR="005A7B77">
        <w:t>.</w:t>
      </w:r>
      <w:r w:rsidRPr="006B7C00">
        <w:t>d</w:t>
      </w:r>
      <w:r w:rsidR="005A7B77">
        <w:t>.</w:t>
      </w:r>
      <w:r w:rsidRPr="006B7C00">
        <w:t>).</w:t>
      </w:r>
      <w:r>
        <w:t xml:space="preserve"> </w:t>
      </w:r>
    </w:p>
    <w:p w14:paraId="4D1AF765" w14:textId="77777777" w:rsidR="00450EEE" w:rsidRDefault="002702ED" w:rsidP="002702ED">
      <w:r>
        <w:t xml:space="preserve">The Inspector-General, through consultation with the department’s biosecurity and some other areas of management, has ascertained that </w:t>
      </w:r>
      <w:r w:rsidR="00F8059B">
        <w:t xml:space="preserve">there is a broadly held view that </w:t>
      </w:r>
      <w:r>
        <w:t xml:space="preserve">Planning Hub does not satisfactorily support the department’s governance arrangements or </w:t>
      </w:r>
      <w:r w:rsidRPr="00A81ED6">
        <w:t>processes, including the recording of actions and decisions being taken, and the monitoring and tracking of the progress made to implement recommendations.</w:t>
      </w:r>
      <w:r>
        <w:t xml:space="preserve"> </w:t>
      </w:r>
    </w:p>
    <w:p w14:paraId="3B0A33DA" w14:textId="7BA339E2" w:rsidR="002702ED" w:rsidRDefault="002702ED" w:rsidP="002702ED">
      <w:r>
        <w:t xml:space="preserve">Planning Hub is widely regarded as being </w:t>
      </w:r>
      <w:bookmarkStart w:id="38" w:name="_Hlk86067792"/>
      <w:r>
        <w:t xml:space="preserve">neither user-friendly nor fit-for-purpose </w:t>
      </w:r>
      <w:bookmarkEnd w:id="38"/>
      <w:r>
        <w:t xml:space="preserve">to manage Inspector-General recommendations. As a result, some </w:t>
      </w:r>
      <w:r w:rsidR="00F8059B">
        <w:t>biosecurity</w:t>
      </w:r>
      <w:r>
        <w:t xml:space="preserve"> divisions </w:t>
      </w:r>
      <w:r w:rsidR="00F8059B">
        <w:t>have been</w:t>
      </w:r>
      <w:r>
        <w:t xml:space="preserve"> managing implementation and monitoring of Inspector-General recommendations </w:t>
      </w:r>
      <w:r w:rsidR="004722CD">
        <w:t xml:space="preserve">using </w:t>
      </w:r>
      <w:r>
        <w:t xml:space="preserve">alternative processes, such as spreadsheets. </w:t>
      </w:r>
      <w:r w:rsidR="00154AA3" w:rsidRPr="00A81ED6">
        <w:t>Therefore</w:t>
      </w:r>
      <w:r w:rsidRPr="00A81ED6">
        <w:t xml:space="preserve">, Planning Hub does not appropriately support management’s oversight of performance and </w:t>
      </w:r>
      <w:r w:rsidR="00A81ED6">
        <w:t xml:space="preserve">its </w:t>
      </w:r>
      <w:r w:rsidRPr="00A81ED6">
        <w:t>ability to monitor implementation progress</w:t>
      </w:r>
      <w:r w:rsidR="004722CD" w:rsidRPr="00A81ED6">
        <w:t>.</w:t>
      </w:r>
      <w:r>
        <w:t xml:space="preserve"> </w:t>
      </w:r>
      <w:r w:rsidR="004722CD">
        <w:t xml:space="preserve">This </w:t>
      </w:r>
      <w:r>
        <w:t>in turn impedes the timeliness of overall implementation and improvements to Australia’s preventative biosecurity.</w:t>
      </w:r>
      <w:r w:rsidR="00154AA3">
        <w:t xml:space="preserve"> The department has advised that it is working with the external provider to streamline Planning Hub functionality for project management, risk management and governance activities</w:t>
      </w:r>
      <w:r w:rsidR="001F4CE1">
        <w:t>.</w:t>
      </w:r>
    </w:p>
    <w:p w14:paraId="11740AD7" w14:textId="35056C58" w:rsidR="002702ED" w:rsidRDefault="002702ED" w:rsidP="002702ED">
      <w:r>
        <w:t>As a matter of sound governance</w:t>
      </w:r>
      <w:r w:rsidR="00F8059B">
        <w:t xml:space="preserve"> using the existing software</w:t>
      </w:r>
      <w:r>
        <w:t xml:space="preserve">, review recommendations should be created in the Governance Module in Planning Hub (or replacement system) </w:t>
      </w:r>
      <w:r w:rsidR="004722CD">
        <w:t xml:space="preserve">at the time the Director of Biosecurity receives </w:t>
      </w:r>
      <w:r>
        <w:t>the Inspector-General</w:t>
      </w:r>
      <w:r w:rsidR="004722CD">
        <w:t>’s</w:t>
      </w:r>
      <w:r>
        <w:t xml:space="preserve"> review recommendations</w:t>
      </w:r>
      <w:r w:rsidR="00F57598">
        <w:t>.</w:t>
      </w:r>
      <w:r>
        <w:t xml:space="preserve"> </w:t>
      </w:r>
      <w:r w:rsidR="00F57598">
        <w:t xml:space="preserve">This would enable </w:t>
      </w:r>
      <w:r>
        <w:t>the department’s response to recommendations, including those not accepted, agreed</w:t>
      </w:r>
      <w:r w:rsidR="00A375F6">
        <w:t>, agreed</w:t>
      </w:r>
      <w:r w:rsidR="004722CD">
        <w:t xml:space="preserve"> </w:t>
      </w:r>
      <w:r>
        <w:t>in</w:t>
      </w:r>
      <w:r w:rsidR="004E79DD">
        <w:t>-</w:t>
      </w:r>
      <w:r>
        <w:t>principle and noted</w:t>
      </w:r>
      <w:r w:rsidR="004722CD">
        <w:t>, to be tracked</w:t>
      </w:r>
      <w:r>
        <w:t>.</w:t>
      </w:r>
      <w:r w:rsidR="00EB33B2">
        <w:t xml:space="preserve"> </w:t>
      </w:r>
    </w:p>
    <w:p w14:paraId="2BD08903" w14:textId="67C23651" w:rsidR="002702ED" w:rsidRDefault="002702ED" w:rsidP="002702ED">
      <w:r w:rsidRPr="001613D9">
        <w:t xml:space="preserve">From that point forward, the records in Planning Hub would include the recommendations, corresponding departmental responses and </w:t>
      </w:r>
      <w:r w:rsidR="001613D9" w:rsidRPr="00A375F6">
        <w:t xml:space="preserve">which </w:t>
      </w:r>
      <w:r w:rsidR="00A375F6">
        <w:t>F</w:t>
      </w:r>
      <w:r w:rsidR="00A375F6" w:rsidRPr="001613D9">
        <w:t>irst</w:t>
      </w:r>
      <w:r w:rsidRPr="001613D9">
        <w:t xml:space="preserve"> Assistant Secretary position </w:t>
      </w:r>
      <w:r w:rsidR="001613D9" w:rsidRPr="00A375F6">
        <w:t xml:space="preserve">is </w:t>
      </w:r>
      <w:r w:rsidRPr="001613D9">
        <w:t>the accountable owner of each recommendation.</w:t>
      </w:r>
    </w:p>
    <w:p w14:paraId="0945B7CC" w14:textId="20AAA80B" w:rsidR="002702ED" w:rsidRDefault="002702ED" w:rsidP="002702ED">
      <w:r>
        <w:t xml:space="preserve">This system would be facilitated by the department’s corporate areas, but ownership and accountability for addressing recommendations would always sit with the relevant </w:t>
      </w:r>
      <w:r w:rsidR="001613D9">
        <w:t>b</w:t>
      </w:r>
      <w:r w:rsidR="00A111ED">
        <w:t>iosecurity</w:t>
      </w:r>
      <w:r>
        <w:t xml:space="preserve"> divisions.</w:t>
      </w:r>
    </w:p>
    <w:p w14:paraId="047C4B25" w14:textId="6F82D2FC" w:rsidR="002702ED" w:rsidRDefault="002702ED" w:rsidP="002702ED">
      <w:pPr>
        <w:pStyle w:val="Heading3"/>
      </w:pPr>
      <w:bookmarkStart w:id="39" w:name="_Toc87543871"/>
      <w:r w:rsidRPr="002702ED">
        <w:t>Responsibilities for implementing recommendations</w:t>
      </w:r>
      <w:bookmarkEnd w:id="39"/>
    </w:p>
    <w:p w14:paraId="2EF80FF4" w14:textId="270B998E" w:rsidR="002702ED" w:rsidRDefault="002702ED" w:rsidP="002702ED">
      <w:r>
        <w:t xml:space="preserve">The </w:t>
      </w:r>
      <w:r w:rsidR="00A81ED6">
        <w:t xml:space="preserve">departmental positions currently responsible </w:t>
      </w:r>
      <w:r>
        <w:t>for implementing Inspector-General recommendations are:</w:t>
      </w:r>
    </w:p>
    <w:p w14:paraId="7D88C99F" w14:textId="030EB588" w:rsidR="002702ED" w:rsidRDefault="002702ED" w:rsidP="002702ED">
      <w:pPr>
        <w:pStyle w:val="ListBullet"/>
      </w:pPr>
      <w:r>
        <w:t>the ‘responsible officer’</w:t>
      </w:r>
      <w:r w:rsidR="001613D9">
        <w:t>,</w:t>
      </w:r>
      <w:r>
        <w:t xml:space="preserve"> which is a specific position/section responsible for progressing the implementation of their recommendation/s and recording the decisions and actions being taken in Planning Hub</w:t>
      </w:r>
    </w:p>
    <w:p w14:paraId="03ABCBA1" w14:textId="343F484D" w:rsidR="002702ED" w:rsidRDefault="002702ED" w:rsidP="002702ED">
      <w:pPr>
        <w:pStyle w:val="ListBullet"/>
      </w:pPr>
      <w:bookmarkStart w:id="40" w:name="_Hlk86052578"/>
      <w:r>
        <w:lastRenderedPageBreak/>
        <w:t>the ‘record owner’</w:t>
      </w:r>
      <w:r w:rsidR="001613D9">
        <w:t>,</w:t>
      </w:r>
      <w:r>
        <w:t xml:space="preserve"> which is a senior executive (First Assistant Secretary) </w:t>
      </w:r>
      <w:bookmarkEnd w:id="40"/>
      <w:r>
        <w:t xml:space="preserve">responsible for overall management and oversight of the implementation of recommendation/s in Planning Hub </w:t>
      </w:r>
    </w:p>
    <w:p w14:paraId="70AFA47F" w14:textId="56A78C89" w:rsidR="002702ED" w:rsidRDefault="002702ED" w:rsidP="002702ED">
      <w:pPr>
        <w:pStyle w:val="ListBullet"/>
      </w:pPr>
      <w:r>
        <w:t>the ‘record approver’</w:t>
      </w:r>
      <w:r w:rsidR="001613D9">
        <w:t>,</w:t>
      </w:r>
      <w:r>
        <w:t xml:space="preserve"> which is a senior executive (Deputy Secretary, Biosecurity) </w:t>
      </w:r>
      <w:r w:rsidR="001613D9">
        <w:t xml:space="preserve">who is </w:t>
      </w:r>
      <w:r>
        <w:t>responsible for the final approval to close recommendations when they have been implemented and has overarching management accountability for the implementation of recommendations.</w:t>
      </w:r>
    </w:p>
    <w:p w14:paraId="1D468124" w14:textId="04AEBD7A" w:rsidR="002702ED" w:rsidRDefault="002702ED" w:rsidP="002702ED">
      <w:r>
        <w:t xml:space="preserve">The former Inspector-General (2019) found that record owners did not always understand their responsibilities to update Planning Hub with the progress of the implementation of recommendations. </w:t>
      </w:r>
      <w:r w:rsidRPr="00A81ED6">
        <w:t xml:space="preserve">The record owner also did not have visibility of what other divisions in the department may be progressing in relation to recommendations </w:t>
      </w:r>
      <w:r w:rsidR="008F769A" w:rsidRPr="00A81ED6">
        <w:t>from</w:t>
      </w:r>
      <w:r w:rsidRPr="00A81ED6">
        <w:t xml:space="preserve"> the same review.</w:t>
      </w:r>
    </w:p>
    <w:p w14:paraId="34D51639" w14:textId="77777777" w:rsidR="002702ED" w:rsidRDefault="002702ED" w:rsidP="002702ED">
      <w:r>
        <w:t>The former Inspector-General (2019) recommended that:</w:t>
      </w:r>
    </w:p>
    <w:p w14:paraId="6DC261DF" w14:textId="77777777" w:rsidR="002702ED" w:rsidRDefault="002702ED" w:rsidP="00E37750">
      <w:pPr>
        <w:pStyle w:val="Quote"/>
      </w:pPr>
      <w:r>
        <w:t>For each IGB [Inspector-General] review, the department should assign responsibility for oversight of outcomes, and documenting progress with implementation, to a specific position or section, with access to these records by other relevant sections, as well as periodic overall review by senior management, IGB and other auditors.</w:t>
      </w:r>
    </w:p>
    <w:p w14:paraId="553187B2" w14:textId="7323E044" w:rsidR="002702ED" w:rsidRDefault="002702ED" w:rsidP="002702ED">
      <w:r>
        <w:t>The Inspector-General concurs with th</w:t>
      </w:r>
      <w:r w:rsidR="00F8059B">
        <w:t>is</w:t>
      </w:r>
      <w:r>
        <w:t xml:space="preserve"> finding and recommendation. The department’s senior management </w:t>
      </w:r>
      <w:r w:rsidR="001613D9">
        <w:t xml:space="preserve">does not have </w:t>
      </w:r>
      <w:r>
        <w:t xml:space="preserve">sufficient oversight of the progress of the implementation of recommendations so </w:t>
      </w:r>
      <w:r w:rsidR="001613D9">
        <w:t xml:space="preserve">that </w:t>
      </w:r>
      <w:r>
        <w:t>they can ensure the recommendations are being effectively implemented to address the identified issue and within the agreed due date for completion.</w:t>
      </w:r>
    </w:p>
    <w:p w14:paraId="08E507E9" w14:textId="56C9165E" w:rsidR="002702ED" w:rsidRDefault="002702ED" w:rsidP="002702ED">
      <w:r>
        <w:t xml:space="preserve">The Inspector-General is heartened by significant constructive changes to the department’s </w:t>
      </w:r>
      <w:r w:rsidR="001613D9">
        <w:t>b</w:t>
      </w:r>
      <w:r>
        <w:t>iosecurity management arrangements in recent months. The establishment of the Biosecurity and Compliance Board (involving the Deputy Secretary</w:t>
      </w:r>
      <w:r w:rsidR="00880D2D">
        <w:t xml:space="preserve"> </w:t>
      </w:r>
      <w:r>
        <w:t>Biosecurity</w:t>
      </w:r>
      <w:r w:rsidR="001613D9">
        <w:t>,</w:t>
      </w:r>
      <w:r>
        <w:t xml:space="preserve"> and all </w:t>
      </w:r>
      <w:r w:rsidR="001613D9">
        <w:t>b</w:t>
      </w:r>
      <w:r>
        <w:t>iosecurity First Assistant Secretaries) is a very positive step forward.</w:t>
      </w:r>
    </w:p>
    <w:p w14:paraId="415B1D1B" w14:textId="357726E5" w:rsidR="00E37750" w:rsidRDefault="00E37750" w:rsidP="00E37750">
      <w:pPr>
        <w:pStyle w:val="Heading3"/>
      </w:pPr>
      <w:bookmarkStart w:id="41" w:name="_Toc87543872"/>
      <w:r w:rsidRPr="00E37750">
        <w:t>Project management approach</w:t>
      </w:r>
      <w:r w:rsidR="00A81ED6">
        <w:t>,</w:t>
      </w:r>
      <w:r w:rsidRPr="00E37750">
        <w:t xml:space="preserve"> including project plans</w:t>
      </w:r>
      <w:bookmarkEnd w:id="41"/>
    </w:p>
    <w:p w14:paraId="43A5ADD8" w14:textId="06915726" w:rsidR="00E37750" w:rsidRDefault="00E37750" w:rsidP="00E37750">
      <w:r>
        <w:t xml:space="preserve">The department </w:t>
      </w:r>
      <w:r w:rsidR="00F8059B">
        <w:t>has</w:t>
      </w:r>
      <w:r>
        <w:t xml:space="preserve"> not ha</w:t>
      </w:r>
      <w:r w:rsidR="00F8059B">
        <w:t>d</w:t>
      </w:r>
      <w:r>
        <w:t xml:space="preserve"> a consistent project management and continuous improvement approach</w:t>
      </w:r>
      <w:r w:rsidR="00F8059B">
        <w:t>. As a result, the department does not currently apply a consistent project planning, delivery and monitoring approach for Inspector-General recommendations.</w:t>
      </w:r>
      <w:r>
        <w:t xml:space="preserve"> </w:t>
      </w:r>
      <w:r w:rsidR="00A35D3D">
        <w:t>T</w:t>
      </w:r>
      <w:r>
        <w:t xml:space="preserve">his deficiency was </w:t>
      </w:r>
      <w:r w:rsidRPr="001B143F">
        <w:t xml:space="preserve">highlighted by both </w:t>
      </w:r>
      <w:r w:rsidR="007B577F" w:rsidRPr="001B143F">
        <w:t xml:space="preserve">Inspector-General reviews </w:t>
      </w:r>
      <w:r w:rsidR="001B143F" w:rsidRPr="001B143F">
        <w:t xml:space="preserve">(IGB </w:t>
      </w:r>
      <w:r w:rsidR="00E019D9">
        <w:t xml:space="preserve">2020 </w:t>
      </w:r>
      <w:r w:rsidRPr="001B143F">
        <w:t>(</w:t>
      </w:r>
      <w:r w:rsidR="001613D9" w:rsidRPr="001B143F">
        <w:t>r</w:t>
      </w:r>
      <w:r w:rsidRPr="001B143F">
        <w:t xml:space="preserve">ecommendation 5) and </w:t>
      </w:r>
      <w:r w:rsidR="001B143F" w:rsidRPr="001B143F">
        <w:t xml:space="preserve">IGB </w:t>
      </w:r>
      <w:r w:rsidR="00E70C5E" w:rsidRPr="001B143F">
        <w:t>202</w:t>
      </w:r>
      <w:r w:rsidR="00E70C5E">
        <w:t>1</w:t>
      </w:r>
      <w:r w:rsidR="00E70C5E" w:rsidRPr="001B143F">
        <w:t xml:space="preserve"> </w:t>
      </w:r>
      <w:r w:rsidRPr="001B143F">
        <w:t>(</w:t>
      </w:r>
      <w:r w:rsidR="001613D9" w:rsidRPr="001B143F">
        <w:t>r</w:t>
      </w:r>
      <w:r w:rsidRPr="001B143F">
        <w:t>ecommendation</w:t>
      </w:r>
      <w:r>
        <w:t xml:space="preserve"> 17)</w:t>
      </w:r>
      <w:r w:rsidR="001B143F">
        <w:t>)</w:t>
      </w:r>
      <w:r>
        <w:t xml:space="preserve">. </w:t>
      </w:r>
    </w:p>
    <w:p w14:paraId="460B1E45" w14:textId="3753EEC6" w:rsidR="00E37750" w:rsidRDefault="00E37750" w:rsidP="00E37750">
      <w:r>
        <w:t>The Inspector-General’s observation is that</w:t>
      </w:r>
      <w:r w:rsidR="001613D9">
        <w:t>,</w:t>
      </w:r>
      <w:r>
        <w:t xml:space="preserve"> if the department (as a whole, not only </w:t>
      </w:r>
      <w:r w:rsidR="001613D9">
        <w:t>b</w:t>
      </w:r>
      <w:r>
        <w:t xml:space="preserve">iosecurity) has in place a basic, consistently applied business improvement and project management approach, </w:t>
      </w:r>
      <w:r w:rsidR="001613D9">
        <w:t xml:space="preserve">it may not have been necessary to </w:t>
      </w:r>
      <w:r>
        <w:t>conduct the current review. Clearly</w:t>
      </w:r>
      <w:r w:rsidR="001613D9">
        <w:t>,</w:t>
      </w:r>
      <w:r>
        <w:t xml:space="preserve"> this deficiency has not resulted from recent action or inaction but is a longstanding weakness in commitment to routine organisational good practice.</w:t>
      </w:r>
    </w:p>
    <w:p w14:paraId="33951F00" w14:textId="3F036B29" w:rsidR="00E37750" w:rsidRDefault="00E37750" w:rsidP="00E37750">
      <w:r>
        <w:t xml:space="preserve">The development of project plans is required for the successful implementation of recommendations (ANAO </w:t>
      </w:r>
      <w:r w:rsidR="00D75EA7">
        <w:t>2021</w:t>
      </w:r>
      <w:r>
        <w:t xml:space="preserve">). The ANAO </w:t>
      </w:r>
      <w:r w:rsidR="00F8059B">
        <w:t>has</w:t>
      </w:r>
      <w:r>
        <w:t xml:space="preserve"> emphasised that</w:t>
      </w:r>
      <w:r w:rsidR="001613D9">
        <w:t>,</w:t>
      </w:r>
      <w:r>
        <w:t xml:space="preserve"> when project plans are not developed, actions that address the recommendation </w:t>
      </w:r>
      <w:r w:rsidR="001613D9">
        <w:t xml:space="preserve">are generally not implemented at all </w:t>
      </w:r>
      <w:r>
        <w:t xml:space="preserve">or </w:t>
      </w:r>
      <w:r w:rsidR="001613D9">
        <w:t xml:space="preserve">are not </w:t>
      </w:r>
      <w:r>
        <w:t xml:space="preserve">implemented </w:t>
      </w:r>
      <w:r w:rsidR="001613D9">
        <w:t xml:space="preserve">in a </w:t>
      </w:r>
      <w:r>
        <w:t>timely manner.</w:t>
      </w:r>
    </w:p>
    <w:p w14:paraId="0C997D3A" w14:textId="344AA244" w:rsidR="00E37750" w:rsidRDefault="00E37750" w:rsidP="00E37750">
      <w:r>
        <w:t xml:space="preserve">An embedded project management and continuous improvement approach would provide oversight to the new Biosecurity and Compliance Board, the department’s executive </w:t>
      </w:r>
      <w:r>
        <w:lastRenderedPageBreak/>
        <w:t>management team and the PAC on progress with organisational improvements, and likely impediments to consistent</w:t>
      </w:r>
      <w:r w:rsidR="003A2195">
        <w:t xml:space="preserve"> implementation of recommendations</w:t>
      </w:r>
      <w:r>
        <w:t xml:space="preserve">. </w:t>
      </w:r>
    </w:p>
    <w:p w14:paraId="668DD7F8" w14:textId="65E4D844" w:rsidR="00E37750" w:rsidRDefault="00E37750" w:rsidP="00E37750">
      <w:pPr>
        <w:pStyle w:val="Heading3"/>
      </w:pPr>
      <w:bookmarkStart w:id="42" w:name="_Toc87543873"/>
      <w:r w:rsidRPr="00E37750">
        <w:t>Industry engagement</w:t>
      </w:r>
      <w:bookmarkEnd w:id="42"/>
    </w:p>
    <w:p w14:paraId="2694D43E" w14:textId="7EA21ACB" w:rsidR="00E37750" w:rsidRDefault="00E37750" w:rsidP="00E37750">
      <w:r>
        <w:t>The Inspector-</w:t>
      </w:r>
      <w:r w:rsidRPr="001B143F">
        <w:t xml:space="preserve">General’s previous Operational Model review (IGB 2021) identified that the department should work in </w:t>
      </w:r>
      <w:r w:rsidR="00F8059B" w:rsidRPr="001B143F">
        <w:t xml:space="preserve">closer </w:t>
      </w:r>
      <w:r w:rsidRPr="001B143F">
        <w:t xml:space="preserve">partnership with industry on improvements across different </w:t>
      </w:r>
      <w:r w:rsidR="00255AF9" w:rsidRPr="001B143F">
        <w:t>areas of</w:t>
      </w:r>
      <w:r w:rsidRPr="001B143F">
        <w:t xml:space="preserve"> the biosecurity system</w:t>
      </w:r>
      <w:r w:rsidR="00255AF9" w:rsidRPr="001B143F">
        <w:t>,</w:t>
      </w:r>
      <w:r w:rsidRPr="001B143F">
        <w:t xml:space="preserve"> including the development of an improvement plan or ‘road map’ and during the implementation of the Operational Model review </w:t>
      </w:r>
      <w:r w:rsidRPr="00A81ED6">
        <w:t xml:space="preserve">recommendations. </w:t>
      </w:r>
    </w:p>
    <w:p w14:paraId="369F0AEB" w14:textId="1E236151" w:rsidR="00E37750" w:rsidRDefault="001613D9" w:rsidP="00325C14">
      <w:pPr>
        <w:pStyle w:val="Quote"/>
      </w:pPr>
      <w:r>
        <w:t>[The department and industry must work collaboratively in a] ‘</w:t>
      </w:r>
      <w:r w:rsidR="00255AF9">
        <w:t>shared responsibility</w:t>
      </w:r>
      <w:r>
        <w:t>’</w:t>
      </w:r>
      <w:r w:rsidR="00255AF9">
        <w:t xml:space="preserve"> (and </w:t>
      </w:r>
      <w:r>
        <w:t>‘</w:t>
      </w:r>
      <w:r w:rsidR="00255AF9">
        <w:t>shared accountability</w:t>
      </w:r>
      <w:r>
        <w:t>’</w:t>
      </w:r>
      <w:r w:rsidR="00255AF9">
        <w:t xml:space="preserve">) approach </w:t>
      </w:r>
      <w:r w:rsidR="00E37750">
        <w:t xml:space="preserve">to undertake continuous improvement </w:t>
      </w:r>
      <w:r w:rsidR="00255AF9">
        <w:t xml:space="preserve">that would include </w:t>
      </w:r>
      <w:r w:rsidR="00E37750">
        <w:t>successful</w:t>
      </w:r>
      <w:r w:rsidR="00255AF9">
        <w:t xml:space="preserve"> </w:t>
      </w:r>
      <w:r w:rsidR="00E37750">
        <w:t>implement</w:t>
      </w:r>
      <w:r w:rsidR="00255AF9">
        <w:t>ation of</w:t>
      </w:r>
      <w:r w:rsidR="00E37750">
        <w:t xml:space="preserve"> relevant Inspector-General recommendations. The implementation of Inspector-General recommendations can provide a context in which the department and industry can ‘build new engagement processes and engage in new dialogue about how ‘we’ build the future biosecurity system</w:t>
      </w:r>
      <w:r w:rsidR="00325C14">
        <w:t>’</w:t>
      </w:r>
      <w:r>
        <w:t>.</w:t>
      </w:r>
    </w:p>
    <w:p w14:paraId="0D72F6ED" w14:textId="66B424E9" w:rsidR="00E37750" w:rsidRDefault="00E37750" w:rsidP="0013257E">
      <w:pPr>
        <w:pStyle w:val="BoxHeading"/>
      </w:pPr>
      <w:r>
        <w:t xml:space="preserve">Recommendation </w:t>
      </w:r>
      <w:r w:rsidR="00D515E0">
        <w:t>5</w:t>
      </w:r>
    </w:p>
    <w:p w14:paraId="75D6B3E8" w14:textId="074880C7" w:rsidR="007F1FEB" w:rsidRDefault="002E003E" w:rsidP="0013257E">
      <w:pPr>
        <w:pStyle w:val="BoxText"/>
      </w:pPr>
      <w:r w:rsidRPr="002E003E">
        <w:t>An overt commitment to continuous improvement should include, and be demonstrated by, the department engaging and collaborating with relevant industry sectors more constructively and effectively.</w:t>
      </w:r>
    </w:p>
    <w:p w14:paraId="5EFC031B" w14:textId="1C2FB6D0" w:rsidR="00E37750" w:rsidRDefault="00E37750" w:rsidP="001E3160">
      <w:pPr>
        <w:pStyle w:val="Heading3"/>
      </w:pPr>
      <w:bookmarkStart w:id="43" w:name="_Toc87543874"/>
      <w:r w:rsidRPr="00E37750">
        <w:t>Executive oversight of implementation of recommendations</w:t>
      </w:r>
      <w:bookmarkEnd w:id="43"/>
    </w:p>
    <w:p w14:paraId="665AB18C" w14:textId="1B33DF0C" w:rsidR="00E37750" w:rsidRDefault="00E37750" w:rsidP="00E37750">
      <w:r>
        <w:t xml:space="preserve">The department needs to </w:t>
      </w:r>
      <w:r w:rsidR="00255AF9">
        <w:t xml:space="preserve">have an </w:t>
      </w:r>
      <w:r>
        <w:t>embed</w:t>
      </w:r>
      <w:r w:rsidR="00255AF9">
        <w:t>ded</w:t>
      </w:r>
      <w:r>
        <w:t xml:space="preserve"> formal process to provide oversight and </w:t>
      </w:r>
      <w:r w:rsidR="001613D9">
        <w:t xml:space="preserve">to </w:t>
      </w:r>
      <w:r>
        <w:t>track and monitor the overall progress of the implementation</w:t>
      </w:r>
      <w:r w:rsidR="008E36D0">
        <w:t xml:space="preserve"> of</w:t>
      </w:r>
      <w:r>
        <w:t xml:space="preserve"> Inspector-General recommendations, through the department’s Biosecurity and Compliance Board, executive </w:t>
      </w:r>
      <w:r w:rsidR="00255AF9">
        <w:t>management,</w:t>
      </w:r>
      <w:r>
        <w:t xml:space="preserve"> and </w:t>
      </w:r>
      <w:r w:rsidR="00686C7C">
        <w:t xml:space="preserve">the </w:t>
      </w:r>
      <w:r>
        <w:t>PAC. An appropriate practical framework and process will strengthen the department’s internal accountability and oversight and improve the consistency and timeliness of</w:t>
      </w:r>
      <w:r w:rsidR="00EB33B2">
        <w:t xml:space="preserve"> </w:t>
      </w:r>
      <w:r>
        <w:t>implementation of recommendations.</w:t>
      </w:r>
    </w:p>
    <w:p w14:paraId="07E615AB" w14:textId="3D644A09" w:rsidR="000E5BD4" w:rsidRDefault="008E36D0" w:rsidP="00E37750">
      <w:r>
        <w:t xml:space="preserve">The Inspector-General commends the department’s commitment to establishing markedly improved governance arrangements to monitor and review the progress of the implementation of recommendations. </w:t>
      </w:r>
      <w:r w:rsidR="00E37750">
        <w:t xml:space="preserve">The department’s executive management has </w:t>
      </w:r>
      <w:r w:rsidR="00E37750" w:rsidRPr="00A81ED6">
        <w:t>committed that the Biosecurity</w:t>
      </w:r>
      <w:r w:rsidR="00E37750">
        <w:t xml:space="preserve"> and Compliance Board will review the progress of the implementation of Inspector-General recommendations every 6 months (see</w:t>
      </w:r>
      <w:r w:rsidR="00DD32F4">
        <w:t xml:space="preserve"> </w:t>
      </w:r>
      <w:r w:rsidR="001613D9">
        <w:t>s</w:t>
      </w:r>
      <w:r w:rsidR="00DD32F4">
        <w:t>ection</w:t>
      </w:r>
      <w:r w:rsidR="0037608C">
        <w:t xml:space="preserve"> </w:t>
      </w:r>
      <w:r w:rsidR="0037608C">
        <w:fldChar w:fldCharType="begin"/>
      </w:r>
      <w:r w:rsidR="0037608C">
        <w:instrText xml:space="preserve"> REF _Ref82170133 \r \h </w:instrText>
      </w:r>
      <w:r w:rsidR="0037608C">
        <w:fldChar w:fldCharType="separate"/>
      </w:r>
      <w:r w:rsidR="0037608C">
        <w:t>6.2</w:t>
      </w:r>
      <w:r w:rsidR="0037608C">
        <w:fldChar w:fldCharType="end"/>
      </w:r>
      <w:r w:rsidR="00E37750">
        <w:t xml:space="preserve">). The department’s PAC has </w:t>
      </w:r>
      <w:r w:rsidR="00255AF9">
        <w:t>a role in</w:t>
      </w:r>
      <w:r w:rsidR="00E37750">
        <w:t xml:space="preserve"> monitoring the implementation progress of recommendations and </w:t>
      </w:r>
      <w:r w:rsidR="001613D9">
        <w:t xml:space="preserve">whether </w:t>
      </w:r>
      <w:r w:rsidR="00E37750">
        <w:t>this implementation is occurring in a timely manner (</w:t>
      </w:r>
      <w:r w:rsidR="001613D9">
        <w:t>see s</w:t>
      </w:r>
      <w:r w:rsidR="00E37750">
        <w:t>ection</w:t>
      </w:r>
      <w:r w:rsidR="00F85391">
        <w:t xml:space="preserve"> </w:t>
      </w:r>
      <w:r w:rsidR="00F85391">
        <w:fldChar w:fldCharType="begin"/>
      </w:r>
      <w:r w:rsidR="00F85391">
        <w:instrText xml:space="preserve"> REF _Ref82170165 \r \h </w:instrText>
      </w:r>
      <w:r w:rsidR="00F85391">
        <w:fldChar w:fldCharType="separate"/>
      </w:r>
      <w:r w:rsidR="00F85391">
        <w:t>6.3</w:t>
      </w:r>
      <w:r w:rsidR="00F85391">
        <w:fldChar w:fldCharType="end"/>
      </w:r>
      <w:r w:rsidR="00E37750">
        <w:t>).</w:t>
      </w:r>
    </w:p>
    <w:p w14:paraId="405A3E65" w14:textId="4227A8FF" w:rsidR="00E37750" w:rsidRDefault="001613D9" w:rsidP="00E37750">
      <w:r>
        <w:t>When the Inspector-General requests it, t</w:t>
      </w:r>
      <w:r w:rsidR="002E7E09">
        <w:t xml:space="preserve">he department is required to </w:t>
      </w:r>
      <w:r w:rsidR="00FB4A83">
        <w:t xml:space="preserve">give </w:t>
      </w:r>
      <w:r w:rsidR="002E7E09">
        <w:t xml:space="preserve">the Inspector-General </w:t>
      </w:r>
      <w:r w:rsidR="002E7E09" w:rsidRPr="002E7E09">
        <w:t xml:space="preserve">the </w:t>
      </w:r>
      <w:r w:rsidR="002E7E09">
        <w:t xml:space="preserve">implementation </w:t>
      </w:r>
      <w:r w:rsidR="002E7E09" w:rsidRPr="002E7E09">
        <w:t>status of recommendations.</w:t>
      </w:r>
      <w:r w:rsidR="00154AA3">
        <w:t xml:space="preserve"> This will </w:t>
      </w:r>
      <w:r w:rsidR="000F766B">
        <w:t>continue to provide ongoing Inspector-General monitoring access (beyond the planned annual public report</w:t>
      </w:r>
      <w:r w:rsidR="00892B3C">
        <w:t>s published</w:t>
      </w:r>
      <w:r w:rsidR="000F766B">
        <w:t xml:space="preserve"> by the department) as</w:t>
      </w:r>
      <w:r w:rsidR="00154AA3">
        <w:t xml:space="preserve"> the department takes </w:t>
      </w:r>
      <w:r w:rsidR="005C7F48">
        <w:t>full accountability for managing and monitoring implementation of responses to Inspector-General recommendations</w:t>
      </w:r>
      <w:r w:rsidR="000F766B">
        <w:t>.</w:t>
      </w:r>
    </w:p>
    <w:p w14:paraId="6118902A" w14:textId="2D3FD082" w:rsidR="00E37750" w:rsidRDefault="00E37750" w:rsidP="00E37750">
      <w:r>
        <w:t xml:space="preserve">The improvements being implemented collectively for the department’s </w:t>
      </w:r>
      <w:r w:rsidR="00FB4A83">
        <w:t>b</w:t>
      </w:r>
      <w:r w:rsidR="00A111ED">
        <w:t>iosecurity</w:t>
      </w:r>
      <w:r>
        <w:t xml:space="preserve"> divisions (under the Biosecurity and Compliance Board) need to be integrated with improved </w:t>
      </w:r>
      <w:r>
        <w:lastRenderedPageBreak/>
        <w:t xml:space="preserve">governance arrangements for the department more broadly. To provide ongoing assurance that the department’s biosecurity functions are being improved through implementation of recommendations, the Inspector-General needs to be confident that the Director of </w:t>
      </w:r>
      <w:r w:rsidRPr="00A81ED6">
        <w:t>Biosecurity has clear line of sight, and monitoring and reporting in place</w:t>
      </w:r>
      <w:r w:rsidR="00A81ED6">
        <w:t>,</w:t>
      </w:r>
      <w:r w:rsidRPr="00A81ED6">
        <w:t xml:space="preserve"> for progress with implementation of recommendations.</w:t>
      </w:r>
    </w:p>
    <w:p w14:paraId="5D04A9D8" w14:textId="5534936F" w:rsidR="006D1269" w:rsidRDefault="007C0DA1" w:rsidP="006D1269">
      <w:r>
        <w:t xml:space="preserve">The department has committed to delivering an annual report on the implementation of Inspector-General review recommendations </w:t>
      </w:r>
      <w:r w:rsidR="00FB4A83">
        <w:t>(see s</w:t>
      </w:r>
      <w:r>
        <w:t>ection</w:t>
      </w:r>
      <w:r w:rsidR="00526CE2">
        <w:t xml:space="preserve"> </w:t>
      </w:r>
      <w:r w:rsidR="00526CE2">
        <w:fldChar w:fldCharType="begin"/>
      </w:r>
      <w:r w:rsidR="00526CE2">
        <w:instrText xml:space="preserve"> REF _Ref82170104 \r \h </w:instrText>
      </w:r>
      <w:r w:rsidR="00526CE2">
        <w:fldChar w:fldCharType="separate"/>
      </w:r>
      <w:r w:rsidR="00526CE2">
        <w:t>6.1</w:t>
      </w:r>
      <w:r w:rsidR="00526CE2">
        <w:fldChar w:fldCharType="end"/>
      </w:r>
      <w:r w:rsidR="00FB4A83">
        <w:t>)</w:t>
      </w:r>
      <w:r>
        <w:t>.</w:t>
      </w:r>
      <w:r w:rsidR="002117AE">
        <w:t xml:space="preserve"> </w:t>
      </w:r>
      <w:r w:rsidR="006D1269">
        <w:t>The relevant First Assistant Secretary should be responsible for providing recommendation</w:t>
      </w:r>
      <w:r w:rsidR="003A3354">
        <w:t>s</w:t>
      </w:r>
      <w:r w:rsidR="006D1269">
        <w:t xml:space="preserve"> to the Deputy Secretary</w:t>
      </w:r>
      <w:r w:rsidR="001449A7">
        <w:t xml:space="preserve">, </w:t>
      </w:r>
      <w:r w:rsidR="006D1269">
        <w:t>Biosecurity</w:t>
      </w:r>
      <w:r w:rsidR="00FB4A83">
        <w:t>,</w:t>
      </w:r>
      <w:r w:rsidR="006D1269">
        <w:t xml:space="preserve"> to close recommendations when they have been implemented.</w:t>
      </w:r>
    </w:p>
    <w:p w14:paraId="16F49D29" w14:textId="23CFBA0F" w:rsidR="006D1269" w:rsidRDefault="006D1269" w:rsidP="006D1269">
      <w:r>
        <w:t>This will ensure that the Director of Biosecurity’s most senior delegate has the overall accountability for</w:t>
      </w:r>
      <w:r w:rsidR="008E36D0">
        <w:t>,</w:t>
      </w:r>
      <w:r>
        <w:t xml:space="preserve"> and oversight of</w:t>
      </w:r>
      <w:r w:rsidR="008E36D0">
        <w:t>,</w:t>
      </w:r>
      <w:r>
        <w:t xml:space="preserve"> the implementation of recommendations that will improve the department’s delivery of biosecurity functions under the </w:t>
      </w:r>
      <w:r w:rsidRPr="00315143">
        <w:rPr>
          <w:i/>
          <w:iCs/>
        </w:rPr>
        <w:t>Biosecurity Act 2015</w:t>
      </w:r>
      <w:r>
        <w:t>.</w:t>
      </w:r>
    </w:p>
    <w:p w14:paraId="065F958B" w14:textId="0D31A712" w:rsidR="00E37750" w:rsidRDefault="00E37750" w:rsidP="0013257E">
      <w:pPr>
        <w:pStyle w:val="BoxHeading"/>
      </w:pPr>
      <w:r>
        <w:t xml:space="preserve">Recommendation </w:t>
      </w:r>
      <w:r w:rsidR="00D515E0">
        <w:t>6</w:t>
      </w:r>
    </w:p>
    <w:p w14:paraId="5275F14D" w14:textId="46DE7039" w:rsidR="00E37750" w:rsidRDefault="0031670F" w:rsidP="0013257E">
      <w:pPr>
        <w:pStyle w:val="BoxText"/>
      </w:pPr>
      <w:r w:rsidRPr="0031670F">
        <w:t xml:space="preserve">Monitoring and progress reporting against Inspector-General review recommendations should be routinely done, including reporting to the Portfolio Audit Committee and public annual reporting, </w:t>
      </w:r>
      <w:r w:rsidR="00650984">
        <w:t xml:space="preserve">in order </w:t>
      </w:r>
      <w:r w:rsidRPr="0031670F">
        <w:t>to maintain strong governance processes that provide the Director of Biosecurity with clear line of sight.</w:t>
      </w:r>
    </w:p>
    <w:p w14:paraId="342B19AF" w14:textId="39D2FB37" w:rsidR="00E37750" w:rsidRDefault="007C0DA1" w:rsidP="00E37750">
      <w:pPr>
        <w:pStyle w:val="Heading3"/>
      </w:pPr>
      <w:bookmarkStart w:id="44" w:name="_Toc87543875"/>
      <w:r>
        <w:t xml:space="preserve">Verification of </w:t>
      </w:r>
      <w:r w:rsidR="00D26F42">
        <w:t>recommendation implementation</w:t>
      </w:r>
      <w:bookmarkEnd w:id="44"/>
    </w:p>
    <w:p w14:paraId="1F21F23E" w14:textId="3F16A833" w:rsidR="00400BE7" w:rsidRDefault="00E37750" w:rsidP="00E37750">
      <w:r>
        <w:t xml:space="preserve">The department does not have a formalised process to verify that Inspectors-General review recommendations are effectively implemented. The Inspector-General has been the </w:t>
      </w:r>
      <w:r w:rsidR="00400BE7">
        <w:t xml:space="preserve">primary </w:t>
      </w:r>
      <w:r>
        <w:t>mechanism that assessed the department’s implementation of Inspectors-General review recommendations.</w:t>
      </w:r>
      <w:r w:rsidR="00CD0F5A">
        <w:t xml:space="preserve"> Turner (2020) advocates the establishment of a follow-up process to monitor if actions have been implemented to address audit recommendations including evaluating the</w:t>
      </w:r>
      <w:r w:rsidR="007C0DA1" w:rsidRPr="0047410D">
        <w:t xml:space="preserve"> adequacy, effectiveness </w:t>
      </w:r>
      <w:r w:rsidR="00CD0F5A">
        <w:t>and</w:t>
      </w:r>
      <w:r w:rsidR="00CD0F5A" w:rsidRPr="0047410D">
        <w:t xml:space="preserve"> </w:t>
      </w:r>
      <w:r w:rsidR="007C0DA1" w:rsidRPr="0047410D">
        <w:t>timeliness of actions and decisions taken</w:t>
      </w:r>
      <w:r w:rsidR="00267BF6">
        <w:t xml:space="preserve"> by management</w:t>
      </w:r>
      <w:r w:rsidR="007C0DA1" w:rsidRPr="0047410D">
        <w:t>.</w:t>
      </w:r>
    </w:p>
    <w:p w14:paraId="463CEC18" w14:textId="571D4378" w:rsidR="00400BE7" w:rsidRDefault="00E37750" w:rsidP="00E37750">
      <w:r>
        <w:t xml:space="preserve">The former Interim Inspector-General, the former Inspector-General and the current Inspector-General </w:t>
      </w:r>
      <w:r w:rsidR="008E36D0">
        <w:t>all decided to include in their annual work program reviews assessing the implementation of recommendation</w:t>
      </w:r>
      <w:r w:rsidR="009D6FD9">
        <w:t>s</w:t>
      </w:r>
      <w:r w:rsidR="008E36D0">
        <w:t xml:space="preserve">. So far, </w:t>
      </w:r>
      <w:r w:rsidR="00FB4A83">
        <w:t xml:space="preserve">5 </w:t>
      </w:r>
      <w:r w:rsidR="008E36D0">
        <w:t>such</w:t>
      </w:r>
      <w:r>
        <w:t xml:space="preserve"> reviews </w:t>
      </w:r>
      <w:r w:rsidR="008E36D0">
        <w:t>have been undertaken</w:t>
      </w:r>
      <w:r>
        <w:t xml:space="preserve"> (including this review</w:t>
      </w:r>
      <w:r w:rsidR="0047410D">
        <w:t>)</w:t>
      </w:r>
      <w:r>
        <w:t xml:space="preserve"> </w:t>
      </w:r>
      <w:r w:rsidR="0047410D">
        <w:t>(</w:t>
      </w:r>
      <w:r>
        <w:t>IGB 2019; IGB 2018; IIGB 2016</w:t>
      </w:r>
      <w:r w:rsidR="00FB4A83">
        <w:t>;</w:t>
      </w:r>
      <w:r>
        <w:t xml:space="preserve"> IIGB 2015). </w:t>
      </w:r>
    </w:p>
    <w:p w14:paraId="6A493BAB" w14:textId="36F35271" w:rsidR="007C0DA1" w:rsidRDefault="00E37750" w:rsidP="00E37750">
      <w:r>
        <w:t xml:space="preserve">The department should be accountable </w:t>
      </w:r>
      <w:r w:rsidR="007C0DA1">
        <w:t xml:space="preserve">to the Director of Biosecurity </w:t>
      </w:r>
      <w:r>
        <w:t xml:space="preserve">for the </w:t>
      </w:r>
      <w:r w:rsidR="007C0DA1">
        <w:t xml:space="preserve">verified </w:t>
      </w:r>
      <w:r>
        <w:t xml:space="preserve">implementation of Inspector-General recommendations through </w:t>
      </w:r>
      <w:r w:rsidR="007C0DA1">
        <w:t xml:space="preserve">processes managed by Internal Audit and on advice </w:t>
      </w:r>
      <w:r w:rsidR="00D26F42">
        <w:t>from</w:t>
      </w:r>
      <w:r w:rsidR="00A5093F">
        <w:t xml:space="preserve"> the</w:t>
      </w:r>
      <w:r w:rsidR="00D26F42">
        <w:t xml:space="preserve"> PAC.</w:t>
      </w:r>
      <w:r>
        <w:t xml:space="preserve"> </w:t>
      </w:r>
      <w:r w:rsidR="00FB4A83">
        <w:t xml:space="preserve">Because the </w:t>
      </w:r>
      <w:r w:rsidR="007C0DA1">
        <w:t xml:space="preserve">department </w:t>
      </w:r>
      <w:r w:rsidR="00FB4A83">
        <w:t xml:space="preserve">has </w:t>
      </w:r>
      <w:r w:rsidR="007C0DA1">
        <w:t xml:space="preserve">not </w:t>
      </w:r>
      <w:r w:rsidR="00FB4A83">
        <w:t xml:space="preserve">had </w:t>
      </w:r>
      <w:r w:rsidR="007C0DA1">
        <w:t>this process in place</w:t>
      </w:r>
      <w:r w:rsidR="00FB4A83">
        <w:t>,</w:t>
      </w:r>
      <w:r w:rsidR="007C0DA1">
        <w:t xml:space="preserve"> some recommendations </w:t>
      </w:r>
      <w:r w:rsidR="00FB4A83">
        <w:t xml:space="preserve">were </w:t>
      </w:r>
      <w:r w:rsidR="007C0DA1">
        <w:t xml:space="preserve">not implemented </w:t>
      </w:r>
      <w:r w:rsidR="00FB4A83">
        <w:t xml:space="preserve">effectively in a way that </w:t>
      </w:r>
      <w:r w:rsidR="007C0DA1">
        <w:t>address</w:t>
      </w:r>
      <w:r w:rsidR="00FB4A83">
        <w:t>ed</w:t>
      </w:r>
      <w:r w:rsidR="007C0DA1">
        <w:t xml:space="preserve"> the identified issue, </w:t>
      </w:r>
      <w:r w:rsidR="00FB4A83">
        <w:t xml:space="preserve">were not implemented </w:t>
      </w:r>
      <w:r w:rsidR="007C0DA1">
        <w:t xml:space="preserve">in a timely way or </w:t>
      </w:r>
      <w:r w:rsidR="00FB4A83">
        <w:t xml:space="preserve">were </w:t>
      </w:r>
      <w:r w:rsidR="007C0DA1">
        <w:t>not implemented at all, despite what the department’s records might indicate.</w:t>
      </w:r>
    </w:p>
    <w:p w14:paraId="5A11E05B" w14:textId="2FAE9789" w:rsidR="007C0DA1" w:rsidRDefault="00E37750" w:rsidP="007C0DA1">
      <w:r>
        <w:t>Verif</w:t>
      </w:r>
      <w:r w:rsidR="008E36D0">
        <w:t xml:space="preserve">ication could be undertaken on </w:t>
      </w:r>
      <w:r w:rsidR="00005A46">
        <w:t xml:space="preserve">a </w:t>
      </w:r>
      <w:r w:rsidR="007C0DA1">
        <w:t>sample of</w:t>
      </w:r>
      <w:r>
        <w:t xml:space="preserve"> recommendations</w:t>
      </w:r>
      <w:r w:rsidR="00005A46">
        <w:t xml:space="preserve"> randomly selected for th</w:t>
      </w:r>
      <w:r w:rsidR="009D6FD9">
        <w:t>is</w:t>
      </w:r>
      <w:r w:rsidR="00005A46">
        <w:t xml:space="preserve"> purpose. This </w:t>
      </w:r>
      <w:r>
        <w:t>would provide assurance</w:t>
      </w:r>
      <w:r w:rsidR="00005A46">
        <w:t xml:space="preserve"> that</w:t>
      </w:r>
      <w:r>
        <w:t xml:space="preserve"> </w:t>
      </w:r>
      <w:r w:rsidR="007C0DA1">
        <w:t>there is</w:t>
      </w:r>
      <w:r w:rsidR="00F40CF8">
        <w:t xml:space="preserve"> an</w:t>
      </w:r>
      <w:r w:rsidR="007C0DA1">
        <w:t xml:space="preserve"> adequate strong commitment to continuous </w:t>
      </w:r>
      <w:r>
        <w:t>improvement</w:t>
      </w:r>
      <w:r w:rsidR="007C0DA1">
        <w:t xml:space="preserve"> and sound corporate governance</w:t>
      </w:r>
      <w:r>
        <w:t xml:space="preserve">. </w:t>
      </w:r>
      <w:r w:rsidR="00005A46">
        <w:t>V</w:t>
      </w:r>
      <w:r>
        <w:t xml:space="preserve">erification activities would identify areas that worked well, </w:t>
      </w:r>
      <w:bookmarkStart w:id="45" w:name="_Hlk82073848"/>
      <w:r>
        <w:t>improvements and lessons learned</w:t>
      </w:r>
      <w:bookmarkEnd w:id="45"/>
      <w:r>
        <w:t>.</w:t>
      </w:r>
      <w:r w:rsidR="007C0DA1" w:rsidRPr="007C0DA1">
        <w:t xml:space="preserve"> </w:t>
      </w:r>
    </w:p>
    <w:p w14:paraId="6DBE4E39" w14:textId="380A48D6" w:rsidR="00420760" w:rsidRDefault="007C0DA1" w:rsidP="00420760">
      <w:r>
        <w:t>It should not be the responsibility of the Inspector-General to assess and verify the department</w:t>
      </w:r>
      <w:r w:rsidR="00FB4A83">
        <w:t>’s</w:t>
      </w:r>
      <w:r>
        <w:t xml:space="preserve"> effective</w:t>
      </w:r>
      <w:r w:rsidR="00FB4A83">
        <w:t>ness in</w:t>
      </w:r>
      <w:r>
        <w:t xml:space="preserve"> implement</w:t>
      </w:r>
      <w:r w:rsidR="00FB4A83">
        <w:t>ing</w:t>
      </w:r>
      <w:r>
        <w:t xml:space="preserve"> these recommendations</w:t>
      </w:r>
      <w:r w:rsidR="00420760">
        <w:t>.</w:t>
      </w:r>
    </w:p>
    <w:p w14:paraId="6B8DC159" w14:textId="50191819" w:rsidR="00E37750" w:rsidRPr="00420760" w:rsidRDefault="00E37750" w:rsidP="0013257E">
      <w:pPr>
        <w:pStyle w:val="BoxHeading"/>
      </w:pPr>
      <w:r w:rsidRPr="00420760">
        <w:lastRenderedPageBreak/>
        <w:t xml:space="preserve">Recommendation </w:t>
      </w:r>
      <w:r w:rsidR="00BD6C67" w:rsidRPr="00420760">
        <w:t>7</w:t>
      </w:r>
    </w:p>
    <w:p w14:paraId="383F5111" w14:textId="7E62A1D7" w:rsidR="00E37750" w:rsidRPr="00420760" w:rsidRDefault="00E37750" w:rsidP="0013257E">
      <w:pPr>
        <w:pStyle w:val="BoxText"/>
      </w:pPr>
      <w:r w:rsidRPr="00420760">
        <w:t>The department</w:t>
      </w:r>
      <w:r w:rsidR="00D515E0" w:rsidRPr="00420760">
        <w:t xml:space="preserve">’s internal audit functions should include </w:t>
      </w:r>
      <w:r w:rsidRPr="00420760">
        <w:t xml:space="preserve">a process to </w:t>
      </w:r>
      <w:r w:rsidR="007C0DA1" w:rsidRPr="00420760">
        <w:t xml:space="preserve">verify appropriate </w:t>
      </w:r>
      <w:r w:rsidRPr="00420760">
        <w:t>closure of Inspector-General recommendations including validating evidence.</w:t>
      </w:r>
    </w:p>
    <w:p w14:paraId="790B45FD" w14:textId="4A44572C" w:rsidR="00371210" w:rsidRDefault="00371210" w:rsidP="00D26F42">
      <w:pPr>
        <w:pStyle w:val="Heading2"/>
      </w:pPr>
      <w:bookmarkStart w:id="46" w:name="_Toc87543876"/>
      <w:r>
        <w:lastRenderedPageBreak/>
        <w:t>Recent biosecurity governance improvements</w:t>
      </w:r>
      <w:bookmarkEnd w:id="46"/>
    </w:p>
    <w:p w14:paraId="75A80DAB" w14:textId="79959647" w:rsidR="00371210" w:rsidRDefault="00371210" w:rsidP="00371210">
      <w:pPr>
        <w:pStyle w:val="Heading3"/>
      </w:pPr>
      <w:bookmarkStart w:id="47" w:name="_Ref82170104"/>
      <w:bookmarkStart w:id="48" w:name="_Ref82170111"/>
      <w:bookmarkStart w:id="49" w:name="_Ref82170186"/>
      <w:bookmarkStart w:id="50" w:name="_Toc87543877"/>
      <w:r>
        <w:t xml:space="preserve">Commonwealth Biosecurity 2030 </w:t>
      </w:r>
      <w:r w:rsidR="00F42855">
        <w:t>s</w:t>
      </w:r>
      <w:r>
        <w:t>trategy</w:t>
      </w:r>
      <w:bookmarkEnd w:id="47"/>
      <w:bookmarkEnd w:id="48"/>
      <w:bookmarkEnd w:id="49"/>
      <w:bookmarkEnd w:id="50"/>
    </w:p>
    <w:p w14:paraId="4B213F2C" w14:textId="2667BECE" w:rsidR="00371210" w:rsidRDefault="00371210" w:rsidP="00371210">
      <w:r>
        <w:t xml:space="preserve">On 26 May 2021 the department published </w:t>
      </w:r>
      <w:r w:rsidRPr="00F40CF8">
        <w:rPr>
          <w:rStyle w:val="Emphasis"/>
        </w:rPr>
        <w:t>Commonwealth Biosecurity 2030</w:t>
      </w:r>
      <w:r w:rsidR="00FB4A83">
        <w:t xml:space="preserve"> (DAWE 2021</w:t>
      </w:r>
      <w:r w:rsidR="0020169D">
        <w:t>b</w:t>
      </w:r>
      <w:r w:rsidR="00FB4A83">
        <w:t>),</w:t>
      </w:r>
      <w:r>
        <w:t xml:space="preserve"> which</w:t>
      </w:r>
      <w:r w:rsidR="00DC5249">
        <w:t xml:space="preserve"> will</w:t>
      </w:r>
      <w:r w:rsidR="00E54EA4">
        <w:t>:</w:t>
      </w:r>
    </w:p>
    <w:p w14:paraId="313310BE" w14:textId="6E8E6720" w:rsidR="00DC5249" w:rsidRPr="005B666D" w:rsidRDefault="005B666D" w:rsidP="005B666D">
      <w:pPr>
        <w:pStyle w:val="ListBullet"/>
      </w:pPr>
      <w:r w:rsidRPr="005B666D">
        <w:t>p</w:t>
      </w:r>
      <w:r w:rsidR="00371210" w:rsidRPr="005B666D">
        <w:t xml:space="preserve">rovide a clear and practical roadmap to direct and guide projects, initiatives and investments associated with the Australian Government’s biosecurity remit. Annual action plans will be developed to guide delivery and ensure transparency in </w:t>
      </w:r>
      <w:r w:rsidR="00FB4A83">
        <w:t xml:space="preserve">the department’s </w:t>
      </w:r>
      <w:r w:rsidR="00371210" w:rsidRPr="005B666D">
        <w:t>efforts</w:t>
      </w:r>
    </w:p>
    <w:p w14:paraId="49D39ED8" w14:textId="356101C5" w:rsidR="006F16A1" w:rsidRPr="005B666D" w:rsidRDefault="006F16A1" w:rsidP="005B666D">
      <w:pPr>
        <w:pStyle w:val="ListBullet"/>
      </w:pPr>
      <w:r w:rsidRPr="005B666D">
        <w:t>include implementation of a performance and evaluation framework and prepar</w:t>
      </w:r>
      <w:r w:rsidR="00FB4A83">
        <w:t>ation of</w:t>
      </w:r>
      <w:r w:rsidRPr="005B666D">
        <w:t xml:space="preserve"> annual reports detailing efforts to address system issues identified by the Inspector-General and in other independent reports</w:t>
      </w:r>
    </w:p>
    <w:p w14:paraId="5581641C" w14:textId="713B6D93" w:rsidR="00371210" w:rsidRPr="005B666D" w:rsidRDefault="00DC5249" w:rsidP="005B666D">
      <w:pPr>
        <w:pStyle w:val="ListBullet"/>
      </w:pPr>
      <w:r w:rsidRPr="005B666D">
        <w:t xml:space="preserve">deliver </w:t>
      </w:r>
      <w:r w:rsidR="00FB4A83">
        <w:t xml:space="preserve">the </w:t>
      </w:r>
      <w:r w:rsidRPr="005B666D">
        <w:t>first annual report on progress implementing the Inspector-General</w:t>
      </w:r>
      <w:r w:rsidR="00FB4A83">
        <w:t>’s</w:t>
      </w:r>
      <w:r w:rsidRPr="005B666D">
        <w:t xml:space="preserve"> recommendations to enhance </w:t>
      </w:r>
      <w:r w:rsidR="00FB4A83">
        <w:t xml:space="preserve">the department’s </w:t>
      </w:r>
      <w:r w:rsidRPr="005B666D">
        <w:t>risk-based biosecurity approach</w:t>
      </w:r>
      <w:r w:rsidR="00FB4A83">
        <w:t>.</w:t>
      </w:r>
    </w:p>
    <w:p w14:paraId="6A727AAC" w14:textId="6AC56959" w:rsidR="00FB4A83" w:rsidRDefault="00FB4A83" w:rsidP="00FB4A83">
      <w:r>
        <w:t>As part of the strategy presented in Commonwealth Biosecurity 2030, the department has committed to publishing an annual report on the department’s progress in implementing Inspectors-General review recommendations, with the first report due to be finalised by the end of 2021. The Inspector-General commends the department for this</w:t>
      </w:r>
      <w:r w:rsidR="004E79DD">
        <w:t xml:space="preserve"> initiative</w:t>
      </w:r>
      <w:r>
        <w:t>.</w:t>
      </w:r>
    </w:p>
    <w:p w14:paraId="7AB1A515" w14:textId="57FB2B18" w:rsidR="00371210" w:rsidRDefault="00371210" w:rsidP="00371210">
      <w:r>
        <w:t xml:space="preserve">It is understood that the annual report will provide a formal summary of how the </w:t>
      </w:r>
      <w:r w:rsidRPr="0047410D">
        <w:t>department tracks, monitors and reports recommendations through to their closure, thus providing oversight of the</w:t>
      </w:r>
      <w:r>
        <w:t xml:space="preserve"> department</w:t>
      </w:r>
      <w:r w:rsidR="0047410D">
        <w:t>’s</w:t>
      </w:r>
      <w:r>
        <w:t xml:space="preserve"> </w:t>
      </w:r>
      <w:r w:rsidR="0047410D">
        <w:t xml:space="preserve">implementation of </w:t>
      </w:r>
      <w:r>
        <w:t>review recommendations. The department has advised that this report will be published on the department’s website; this transparency is also commended.</w:t>
      </w:r>
    </w:p>
    <w:p w14:paraId="0C17133D" w14:textId="28E7BF93" w:rsidR="00371210" w:rsidRDefault="00371210" w:rsidP="0013257E">
      <w:pPr>
        <w:pStyle w:val="BoxHeading"/>
      </w:pPr>
      <w:r>
        <w:t xml:space="preserve">Recommendation </w:t>
      </w:r>
      <w:r w:rsidR="00BD6C67">
        <w:t>8</w:t>
      </w:r>
    </w:p>
    <w:p w14:paraId="6C49C155" w14:textId="59B1250A" w:rsidR="00371210" w:rsidRDefault="0031670F" w:rsidP="0013257E">
      <w:pPr>
        <w:pStyle w:val="BoxText"/>
      </w:pPr>
      <w:r w:rsidRPr="0031670F">
        <w:t xml:space="preserve">The department should drive and strengthen accountability throughout the department’s </w:t>
      </w:r>
      <w:r w:rsidR="0013257E">
        <w:t>b</w:t>
      </w:r>
      <w:r w:rsidRPr="0031670F">
        <w:t>iosecurity divisions by utilising annual progress reporting against the strategy Commonwealth Biosecurity 2030, and the implementation status of Inspector-General review recommendations.</w:t>
      </w:r>
    </w:p>
    <w:p w14:paraId="648AC03B" w14:textId="387AAFFD" w:rsidR="00371210" w:rsidRDefault="00371210" w:rsidP="00371210">
      <w:pPr>
        <w:pStyle w:val="Heading3"/>
      </w:pPr>
      <w:bookmarkStart w:id="51" w:name="_Ref82170133"/>
      <w:bookmarkStart w:id="52" w:name="_Toc87543878"/>
      <w:r>
        <w:t>Biosecurity and Compliance Board</w:t>
      </w:r>
      <w:bookmarkEnd w:id="51"/>
      <w:bookmarkEnd w:id="52"/>
    </w:p>
    <w:p w14:paraId="39FD7612" w14:textId="7C3855B7" w:rsidR="00371210" w:rsidRDefault="00371210" w:rsidP="00371210">
      <w:r>
        <w:t xml:space="preserve">In May 2021 the department </w:t>
      </w:r>
      <w:r w:rsidR="00222716">
        <w:t xml:space="preserve">advised that it had </w:t>
      </w:r>
      <w:r>
        <w:t>established the Biosecurity and Compliance Board, with the following purpose:</w:t>
      </w:r>
    </w:p>
    <w:p w14:paraId="5172CD6D" w14:textId="2CDB2630" w:rsidR="00371210" w:rsidRPr="00E43770" w:rsidRDefault="00371210" w:rsidP="000D1692">
      <w:pPr>
        <w:pStyle w:val="Quote"/>
      </w:pPr>
      <w:r w:rsidRPr="000D1692">
        <w:t>The Biosecurity and Compliance Board (the Board) will help ensure the Biosecurity and Compliance Group (the Group) can address the significant and growing pressures faced by the Australian biosecurity system due to cargo volumes, traveller requirements and a limited staffing envelope.</w:t>
      </w:r>
    </w:p>
    <w:p w14:paraId="3C3F9F25" w14:textId="77777777" w:rsidR="00371210" w:rsidRPr="000D1692" w:rsidRDefault="00371210" w:rsidP="00E43770">
      <w:pPr>
        <w:pStyle w:val="Quote"/>
      </w:pPr>
      <w:r w:rsidRPr="000D1692">
        <w:t>The Board will look across the whole-of-biosecurity system to achieve two main goals:</w:t>
      </w:r>
    </w:p>
    <w:p w14:paraId="6FC93265" w14:textId="77777777" w:rsidR="00371210" w:rsidRPr="000D1692" w:rsidRDefault="00371210">
      <w:pPr>
        <w:pStyle w:val="Quote"/>
      </w:pPr>
      <w:r w:rsidRPr="000D1692">
        <w:t>1. Enable better regulatory practice</w:t>
      </w:r>
    </w:p>
    <w:p w14:paraId="149F325F" w14:textId="77777777" w:rsidR="00371210" w:rsidRPr="000D1692" w:rsidRDefault="00371210">
      <w:pPr>
        <w:pStyle w:val="Quote"/>
      </w:pPr>
      <w:r w:rsidRPr="000D1692">
        <w:t>2. Anticipate and act on emerging threats.</w:t>
      </w:r>
    </w:p>
    <w:p w14:paraId="4D4844F1" w14:textId="3A5C2CB8" w:rsidR="00371210" w:rsidRPr="000D1692" w:rsidRDefault="00371210">
      <w:pPr>
        <w:pStyle w:val="Quote"/>
      </w:pPr>
      <w:r w:rsidRPr="000D1692">
        <w:lastRenderedPageBreak/>
        <w:t>It will do this through a four-year transformation program, closely managed and monitored to ensure the outcomes and benefits are being achieved.</w:t>
      </w:r>
    </w:p>
    <w:p w14:paraId="22243E9B" w14:textId="10358389" w:rsidR="00371210" w:rsidRDefault="00371210" w:rsidP="00371210">
      <w:r>
        <w:t xml:space="preserve">Although this is not explicit in the </w:t>
      </w:r>
      <w:r w:rsidR="00FB4A83">
        <w:t>b</w:t>
      </w:r>
      <w:r>
        <w:t xml:space="preserve">oard’s terms of reference, the department has advised that the </w:t>
      </w:r>
      <w:r w:rsidR="00FB4A83">
        <w:t>b</w:t>
      </w:r>
      <w:r>
        <w:t>oard will review the progress, track the performance and provide oversight of the implementation of Inspector-General recommendations every 6 months</w:t>
      </w:r>
      <w:r w:rsidR="008B4F34">
        <w:t>.</w:t>
      </w:r>
      <w:r>
        <w:t xml:space="preserve"> </w:t>
      </w:r>
      <w:r w:rsidR="008B4F34">
        <w:t>P</w:t>
      </w:r>
      <w:r>
        <w:t xml:space="preserve">resumably, this biannual review will be part of the department’s annual reporting under Commonwealth Biosecurity 2030. </w:t>
      </w:r>
    </w:p>
    <w:p w14:paraId="638279DA" w14:textId="1FAF4865" w:rsidR="00371210" w:rsidRDefault="00371210" w:rsidP="00371210">
      <w:r>
        <w:t xml:space="preserve">The Inspector-General commends the department for </w:t>
      </w:r>
      <w:r w:rsidR="00FB4A83">
        <w:t xml:space="preserve">making a commitment </w:t>
      </w:r>
      <w:r>
        <w:t xml:space="preserve">to provide coordinated oversight of the overall progress and performance of the implementation </w:t>
      </w:r>
      <w:r w:rsidR="00B0374D">
        <w:t xml:space="preserve">of </w:t>
      </w:r>
      <w:r>
        <w:t xml:space="preserve">Inspector-General recommendations. It is vital that the strengthened biosecurity governance </w:t>
      </w:r>
      <w:r w:rsidR="00FB4A83">
        <w:t xml:space="preserve">that the board </w:t>
      </w:r>
      <w:r>
        <w:t>provide</w:t>
      </w:r>
      <w:r w:rsidR="00FB4A83">
        <w:t>s</w:t>
      </w:r>
      <w:r>
        <w:t xml:space="preserve"> also links directly to enhanced processes for the department’s overall governance, including reporting to the department’s executive management group and PAC.</w:t>
      </w:r>
    </w:p>
    <w:p w14:paraId="1F898D38" w14:textId="70C29A18" w:rsidR="00371210" w:rsidRDefault="00371210" w:rsidP="00371210">
      <w:bookmarkStart w:id="53" w:name="_Hlk87872083"/>
      <w:r>
        <w:t xml:space="preserve">The Inspector-General </w:t>
      </w:r>
      <w:r w:rsidR="003E2A76">
        <w:t>expresses</w:t>
      </w:r>
      <w:r>
        <w:t xml:space="preserve"> no view on how the department assigns responsibilities between </w:t>
      </w:r>
      <w:r w:rsidR="00FB4A83">
        <w:t>b</w:t>
      </w:r>
      <w:r>
        <w:t xml:space="preserve">iosecurity divisions (via the </w:t>
      </w:r>
      <w:r w:rsidR="00FB4A83">
        <w:t>b</w:t>
      </w:r>
      <w:r>
        <w:t xml:space="preserve">oard) and corporate (governance and </w:t>
      </w:r>
      <w:r w:rsidRPr="0047410D">
        <w:t>reporting) areas</w:t>
      </w:r>
      <w:r w:rsidR="003E2A76">
        <w:t xml:space="preserve">, or </w:t>
      </w:r>
      <w:r w:rsidRPr="0047410D">
        <w:t xml:space="preserve">how </w:t>
      </w:r>
      <w:r w:rsidR="003E2A76">
        <w:t>it</w:t>
      </w:r>
      <w:r w:rsidRPr="0047410D">
        <w:t xml:space="preserve"> improve</w:t>
      </w:r>
      <w:r w:rsidR="003E2A76">
        <w:t>s</w:t>
      </w:r>
      <w:r w:rsidRPr="0047410D">
        <w:t xml:space="preserve"> </w:t>
      </w:r>
      <w:r w:rsidR="004E79DD">
        <w:t xml:space="preserve">overall </w:t>
      </w:r>
      <w:r w:rsidRPr="0047410D">
        <w:t>governance functions, p</w:t>
      </w:r>
      <w:r>
        <w:t xml:space="preserve">rovided that transparent assurance can be given </w:t>
      </w:r>
      <w:r w:rsidR="00B343A4">
        <w:t>regarding</w:t>
      </w:r>
      <w:r>
        <w:t xml:space="preserve"> the functionality and accountability of the improved </w:t>
      </w:r>
      <w:r w:rsidR="004E79DD">
        <w:t xml:space="preserve">biosecurity </w:t>
      </w:r>
      <w:r>
        <w:t>arrangements.</w:t>
      </w:r>
    </w:p>
    <w:bookmarkEnd w:id="53"/>
    <w:p w14:paraId="7AFB5BD5" w14:textId="6E70A152" w:rsidR="00371210" w:rsidRDefault="00371210" w:rsidP="0013257E">
      <w:pPr>
        <w:pStyle w:val="BoxHeading"/>
      </w:pPr>
      <w:r>
        <w:t xml:space="preserve">Recommendation </w:t>
      </w:r>
      <w:r w:rsidR="00BD6C67">
        <w:t>9</w:t>
      </w:r>
    </w:p>
    <w:p w14:paraId="17FEE6F4" w14:textId="4235BA8E" w:rsidR="00371210" w:rsidRDefault="00371210" w:rsidP="0013257E">
      <w:pPr>
        <w:pStyle w:val="BoxText"/>
      </w:pPr>
      <w:r>
        <w:t xml:space="preserve">The department needs to determine how coordinated oversight of implementation of the Inspector-General recommendations by the Biosecurity and Compliance Board will integrate with the department’s overall governance arrangements, including the executive management and corporate governance areas. The </w:t>
      </w:r>
      <w:r w:rsidR="0013257E">
        <w:t>b</w:t>
      </w:r>
      <w:r>
        <w:t xml:space="preserve">oard’s terms of reference should be amended to include this responsibility and the </w:t>
      </w:r>
      <w:r w:rsidR="0013257E">
        <w:t>b</w:t>
      </w:r>
      <w:r>
        <w:t>oard’s accountability to the Director of Biosecurity.</w:t>
      </w:r>
    </w:p>
    <w:p w14:paraId="28EED9C3" w14:textId="39903A2D" w:rsidR="00371210" w:rsidRDefault="00371210" w:rsidP="004125C2">
      <w:pPr>
        <w:pStyle w:val="Heading3"/>
      </w:pPr>
      <w:bookmarkStart w:id="54" w:name="_Ref82170165"/>
      <w:bookmarkStart w:id="55" w:name="_Toc87543879"/>
      <w:r>
        <w:t>Portfolio Audit Committee</w:t>
      </w:r>
      <w:bookmarkEnd w:id="54"/>
      <w:bookmarkEnd w:id="55"/>
    </w:p>
    <w:p w14:paraId="41104B84" w14:textId="260CA7FE" w:rsidR="00B343A4" w:rsidRDefault="00371210" w:rsidP="00371210">
      <w:r>
        <w:t xml:space="preserve">The </w:t>
      </w:r>
      <w:r w:rsidR="001C7249">
        <w:t xml:space="preserve">Inspector-General </w:t>
      </w:r>
      <w:r>
        <w:t xml:space="preserve">has </w:t>
      </w:r>
      <w:r w:rsidR="001C7249">
        <w:t xml:space="preserve">been </w:t>
      </w:r>
      <w:r>
        <w:t xml:space="preserve">advised </w:t>
      </w:r>
      <w:r w:rsidR="001C7249">
        <w:t xml:space="preserve">by the PAC Chair </w:t>
      </w:r>
      <w:r>
        <w:t>that the PAC will monitor th</w:t>
      </w:r>
      <w:r w:rsidR="008D0519">
        <w:t xml:space="preserve">e </w:t>
      </w:r>
      <w:r>
        <w:t>implement</w:t>
      </w:r>
      <w:r w:rsidR="001C7249">
        <w:t xml:space="preserve">ation </w:t>
      </w:r>
      <w:r w:rsidR="00C177A1">
        <w:t>of Inspector-General’s</w:t>
      </w:r>
      <w:r>
        <w:t xml:space="preserve"> recommendations </w:t>
      </w:r>
      <w:r w:rsidR="001E0F1F">
        <w:t>to ensure it is occurring</w:t>
      </w:r>
      <w:r w:rsidR="0047410D">
        <w:t>,</w:t>
      </w:r>
      <w:r w:rsidR="001E0F1F">
        <w:t xml:space="preserve"> </w:t>
      </w:r>
      <w:r>
        <w:t xml:space="preserve">and in a timely manner. </w:t>
      </w:r>
      <w:r w:rsidR="005061C6">
        <w:t xml:space="preserve">Departmental officers within the </w:t>
      </w:r>
      <w:r w:rsidR="001E0F1F">
        <w:t>b</w:t>
      </w:r>
      <w:r w:rsidR="005061C6">
        <w:t xml:space="preserve">iosecurity group have responsibility </w:t>
      </w:r>
      <w:r w:rsidR="001E0F1F">
        <w:t xml:space="preserve">for </w:t>
      </w:r>
      <w:r w:rsidR="005061C6">
        <w:t>managing and implementing recommendations and tracking of that performance.</w:t>
      </w:r>
    </w:p>
    <w:p w14:paraId="6E24CD60" w14:textId="566A660D" w:rsidR="00371210" w:rsidRDefault="00371210" w:rsidP="00371210">
      <w:r>
        <w:t xml:space="preserve">Currently, the Corporate Secretariats section prepares a report showing the number of open and closed recommendations for each Inspector-General review for noting by the PAC. However, no evidence has been provided that the PAC </w:t>
      </w:r>
      <w:r w:rsidR="00352E96">
        <w:t xml:space="preserve">has previously </w:t>
      </w:r>
      <w:r>
        <w:t>do</w:t>
      </w:r>
      <w:r w:rsidR="00352E96">
        <w:t xml:space="preserve">ne </w:t>
      </w:r>
      <w:r>
        <w:t>more than note the statistical report</w:t>
      </w:r>
      <w:r w:rsidR="00352E96">
        <w:t xml:space="preserve">. It seems that members of the </w:t>
      </w:r>
      <w:r w:rsidR="001E0F1F">
        <w:t>b</w:t>
      </w:r>
      <w:r w:rsidR="00352E96">
        <w:t>iosecurity executive team have never been asked to attend a PAC meeting</w:t>
      </w:r>
      <w:r>
        <w:t xml:space="preserve"> to provide assurance to the PAC </w:t>
      </w:r>
      <w:r w:rsidR="00352E96">
        <w:t>that appropriate arrangements are in place</w:t>
      </w:r>
      <w:r>
        <w:t>.</w:t>
      </w:r>
    </w:p>
    <w:p w14:paraId="5A9D1D3B" w14:textId="08874EE3" w:rsidR="00C037AE" w:rsidRDefault="00371210" w:rsidP="00371210">
      <w:r>
        <w:t>I</w:t>
      </w:r>
      <w:r w:rsidR="00C037AE">
        <w:t>t would normally be expected that the internal audit</w:t>
      </w:r>
      <w:r w:rsidR="00343F7B">
        <w:t xml:space="preserve"> area</w:t>
      </w:r>
      <w:r w:rsidR="00F552CC">
        <w:t xml:space="preserve"> </w:t>
      </w:r>
      <w:r w:rsidR="00C037AE">
        <w:t xml:space="preserve">would ensure that </w:t>
      </w:r>
      <w:r>
        <w:t xml:space="preserve">the PAC </w:t>
      </w:r>
      <w:r w:rsidR="00C037AE">
        <w:t>is provided with relevant reports that would enable the PAC to evaluate the adequacy, effectiveness and timeliness of actions and decisions undertaken by management to address Inspector-General recommendations (for example, Turner 2020)</w:t>
      </w:r>
      <w:r w:rsidR="00933FF8">
        <w:t>.</w:t>
      </w:r>
      <w:r w:rsidR="00C037AE">
        <w:t xml:space="preserve"> </w:t>
      </w:r>
      <w:r w:rsidR="00933FF8">
        <w:t>T</w:t>
      </w:r>
      <w:r w:rsidR="00C037AE">
        <w:t xml:space="preserve">his would normally </w:t>
      </w:r>
      <w:r w:rsidR="00C037AE">
        <w:lastRenderedPageBreak/>
        <w:t>include sufficient audit/verification work to provide assurance that reporting was complete and accurate.</w:t>
      </w:r>
    </w:p>
    <w:p w14:paraId="7A7BA997" w14:textId="60CE6473" w:rsidR="00C037AE" w:rsidRDefault="00371210" w:rsidP="00371210">
      <w:r>
        <w:t>The Inspector-General</w:t>
      </w:r>
      <w:r w:rsidR="00C037AE">
        <w:t>’s observation is that</w:t>
      </w:r>
      <w:r>
        <w:t xml:space="preserve"> the PAC is </w:t>
      </w:r>
      <w:r w:rsidR="00C037AE">
        <w:t xml:space="preserve">not yet sufficiently well </w:t>
      </w:r>
      <w:r w:rsidR="00D26F42">
        <w:t>supported to</w:t>
      </w:r>
      <w:r w:rsidR="00C037AE">
        <w:t xml:space="preserve"> be able to </w:t>
      </w:r>
      <w:r>
        <w:t xml:space="preserve">provide </w:t>
      </w:r>
      <w:r w:rsidR="00C037AE">
        <w:t>appropriate</w:t>
      </w:r>
      <w:r>
        <w:t xml:space="preserve"> advice to the Director of Biosecurity </w:t>
      </w:r>
      <w:r w:rsidR="00C037AE">
        <w:t>in this regard</w:t>
      </w:r>
      <w:r>
        <w:t xml:space="preserve">. </w:t>
      </w:r>
    </w:p>
    <w:p w14:paraId="14E7DD47" w14:textId="6E26B82C" w:rsidR="00371210" w:rsidRDefault="00371210" w:rsidP="00371210">
      <w:r>
        <w:t xml:space="preserve">The Inspector-General will provide all future Inspector-General review reports </w:t>
      </w:r>
      <w:r w:rsidR="00C037AE">
        <w:t xml:space="preserve">directly </w:t>
      </w:r>
      <w:r>
        <w:t>to the PAC to increase its visibility of organi</w:t>
      </w:r>
      <w:r w:rsidR="00640FED">
        <w:t>s</w:t>
      </w:r>
      <w:r>
        <w:t>ational and national biosecurity risks.</w:t>
      </w:r>
      <w:r w:rsidR="00C037AE">
        <w:t xml:space="preserve"> A copy of each </w:t>
      </w:r>
      <w:r w:rsidR="00A12CEA">
        <w:t xml:space="preserve">Inspector-General review </w:t>
      </w:r>
      <w:r w:rsidR="00C037AE">
        <w:t xml:space="preserve">report is also provided to the ANAO. </w:t>
      </w:r>
    </w:p>
    <w:p w14:paraId="1E20BAF2" w14:textId="5E746A31" w:rsidR="00371210" w:rsidRDefault="00371210" w:rsidP="0013257E">
      <w:pPr>
        <w:pStyle w:val="BoxHeading"/>
      </w:pPr>
      <w:r>
        <w:t xml:space="preserve">Recommendation </w:t>
      </w:r>
      <w:r w:rsidR="00BD6C67">
        <w:t>10</w:t>
      </w:r>
    </w:p>
    <w:p w14:paraId="65CEB9E6" w14:textId="64F31EC1" w:rsidR="00371210" w:rsidRPr="00371210" w:rsidRDefault="00371210" w:rsidP="0013257E">
      <w:pPr>
        <w:pStyle w:val="BoxText"/>
      </w:pPr>
      <w:r>
        <w:t xml:space="preserve">The Portfolio Audit Committee should </w:t>
      </w:r>
      <w:r w:rsidR="00C037AE">
        <w:t xml:space="preserve">be appropriately supported to enable it to advise the Director of Biosecurity </w:t>
      </w:r>
      <w:r w:rsidR="00D4051C">
        <w:t xml:space="preserve">on </w:t>
      </w:r>
      <w:r>
        <w:t>risks to the department’s effective delivery of its biosecurity functions as highlighted through Inspector-General reviews and recommendations, and the timeliness and completeness of the</w:t>
      </w:r>
      <w:r w:rsidR="007E6B0C">
        <w:t xml:space="preserve"> </w:t>
      </w:r>
      <w:r>
        <w:t>implementation</w:t>
      </w:r>
      <w:r w:rsidR="00D4051C">
        <w:t xml:space="preserve"> of response to recommendations</w:t>
      </w:r>
      <w:r>
        <w:t>.</w:t>
      </w:r>
    </w:p>
    <w:p w14:paraId="5B8CEEFC" w14:textId="10BB42CA" w:rsidR="00D57507" w:rsidRPr="00595916" w:rsidRDefault="002F6732" w:rsidP="00037A8F">
      <w:pPr>
        <w:pStyle w:val="Heading2"/>
      </w:pPr>
      <w:bookmarkStart w:id="56" w:name="_Toc87543880"/>
      <w:r w:rsidRPr="002F6732">
        <w:lastRenderedPageBreak/>
        <w:t xml:space="preserve">Summary </w:t>
      </w:r>
      <w:r w:rsidR="00EC557B">
        <w:t>comments</w:t>
      </w:r>
      <w:bookmarkEnd w:id="56"/>
    </w:p>
    <w:p w14:paraId="1868CE46" w14:textId="175713FB" w:rsidR="00BD6C67" w:rsidRDefault="002F6732" w:rsidP="00BD6C67">
      <w:r w:rsidRPr="002F6732">
        <w:t xml:space="preserve">There has been a long sequence of interaction between </w:t>
      </w:r>
      <w:r w:rsidR="00BD6C67">
        <w:t xml:space="preserve">Interim Inspectors-General and </w:t>
      </w:r>
      <w:r w:rsidRPr="002F6732">
        <w:t>Inspectors-General and the department regarding the implementation of recommendations made in Inspectors-General review reports</w:t>
      </w:r>
      <w:r w:rsidR="00BD6C67">
        <w:t xml:space="preserve">. </w:t>
      </w:r>
      <w:r w:rsidR="001E0F1F">
        <w:t>T</w:t>
      </w:r>
      <w:r w:rsidR="00BD6C67">
        <w:t xml:space="preserve">he department’s implementation of Inspectors-General recommendations </w:t>
      </w:r>
      <w:r w:rsidR="001E0F1F">
        <w:t xml:space="preserve">has been </w:t>
      </w:r>
      <w:r w:rsidR="00CF2893">
        <w:t xml:space="preserve">previously </w:t>
      </w:r>
      <w:r w:rsidR="001E0F1F">
        <w:t xml:space="preserve">reviewed </w:t>
      </w:r>
      <w:r w:rsidR="00BD6C67">
        <w:t>in 2019, 2018, 2016 and 2015 (IGB 2019; IGB 2018; IIGB 2016</w:t>
      </w:r>
      <w:r w:rsidR="00EF18DB">
        <w:t>;</w:t>
      </w:r>
      <w:r w:rsidR="00BD6C67">
        <w:t xml:space="preserve"> IIGB 2015) and now </w:t>
      </w:r>
      <w:r w:rsidR="001E0F1F">
        <w:t xml:space="preserve">in </w:t>
      </w:r>
      <w:r w:rsidR="00BD6C67">
        <w:t>2021.</w:t>
      </w:r>
    </w:p>
    <w:p w14:paraId="0C3EEC70" w14:textId="5B3DBE71" w:rsidR="00BD6C67" w:rsidRDefault="00BD6C67" w:rsidP="00CE120A">
      <w:r>
        <w:t xml:space="preserve">None of these reviews </w:t>
      </w:r>
      <w:r w:rsidR="001E0F1F">
        <w:t>w</w:t>
      </w:r>
      <w:r>
        <w:t>ould have been necessary if the department had an established commitment and sound process for continuous improvement and appropriate</w:t>
      </w:r>
      <w:r w:rsidR="00F90105">
        <w:t>ly</w:t>
      </w:r>
      <w:r>
        <w:t xml:space="preserve"> accountab</w:t>
      </w:r>
      <w:r w:rsidR="00F90105">
        <w:t xml:space="preserve">le </w:t>
      </w:r>
      <w:r>
        <w:t xml:space="preserve">mechanisms within </w:t>
      </w:r>
      <w:r w:rsidR="001E0F1F">
        <w:t>b</w:t>
      </w:r>
      <w:r>
        <w:t xml:space="preserve">iosecurity and </w:t>
      </w:r>
      <w:r w:rsidR="00C97E22">
        <w:t xml:space="preserve">for </w:t>
      </w:r>
      <w:r w:rsidR="001E0F1F">
        <w:t xml:space="preserve">the department </w:t>
      </w:r>
      <w:r>
        <w:t>more broadly.</w:t>
      </w:r>
    </w:p>
    <w:p w14:paraId="50B390F0" w14:textId="0F886121" w:rsidR="00D57507" w:rsidRDefault="00BD6C67" w:rsidP="00CE120A">
      <w:r>
        <w:t xml:space="preserve">The department has struggled to </w:t>
      </w:r>
      <w:r w:rsidR="001E0F1F">
        <w:t xml:space="preserve">understand </w:t>
      </w:r>
      <w:r w:rsidR="000E5BD4">
        <w:t xml:space="preserve">how to handle the </w:t>
      </w:r>
      <w:r w:rsidR="001E0F1F">
        <w:t xml:space="preserve">independent role of </w:t>
      </w:r>
      <w:r>
        <w:t xml:space="preserve">Inspector-General established under the </w:t>
      </w:r>
      <w:r w:rsidRPr="00271C3E">
        <w:rPr>
          <w:i/>
          <w:iCs/>
        </w:rPr>
        <w:t>Biosecurity Act 2015</w:t>
      </w:r>
      <w:r w:rsidR="001E0F1F">
        <w:t xml:space="preserve">, the </w:t>
      </w:r>
      <w:r w:rsidR="00AC69CE">
        <w:t xml:space="preserve">seriousness of Inspectors-General recommendations, </w:t>
      </w:r>
      <w:r w:rsidR="00B14DDD">
        <w:t xml:space="preserve">and the necessity for the small staff team assigned to support the Inspector-General to also </w:t>
      </w:r>
      <w:r w:rsidR="004E79DD">
        <w:t>provide</w:t>
      </w:r>
      <w:r w:rsidR="00B14DDD">
        <w:t xml:space="preserve"> independent</w:t>
      </w:r>
      <w:r w:rsidR="004E79DD">
        <w:t xml:space="preserve"> support</w:t>
      </w:r>
      <w:r w:rsidR="00B14DDD">
        <w:t xml:space="preserve">. The flipside of this is that the department, in some areas and ways, has regarded Inspector-General recommendations more </w:t>
      </w:r>
      <w:r w:rsidR="001E0F1F">
        <w:t xml:space="preserve">as </w:t>
      </w:r>
      <w:r w:rsidR="00B14DDD">
        <w:t>internal working group recommendations tha</w:t>
      </w:r>
      <w:r w:rsidR="00F90105">
        <w:t>n</w:t>
      </w:r>
      <w:r w:rsidR="00B14DDD">
        <w:t xml:space="preserve"> </w:t>
      </w:r>
      <w:r w:rsidR="00600405">
        <w:t xml:space="preserve">as </w:t>
      </w:r>
      <w:r w:rsidR="00B14DDD">
        <w:t>external scrutiny</w:t>
      </w:r>
      <w:r w:rsidR="001E0F1F">
        <w:t>,</w:t>
      </w:r>
      <w:r w:rsidR="00B14DDD">
        <w:t xml:space="preserve"> such as that provided by the ANAO.</w:t>
      </w:r>
    </w:p>
    <w:p w14:paraId="375BF10A" w14:textId="0A3533E7" w:rsidR="00B14DDD" w:rsidRDefault="00B14DDD" w:rsidP="00CE120A">
      <w:r>
        <w:t>This has not been the case at the level of the Director of Biosecurity</w:t>
      </w:r>
      <w:r w:rsidR="001E0F1F">
        <w:t>.</w:t>
      </w:r>
      <w:r>
        <w:t xml:space="preserve"> </w:t>
      </w:r>
      <w:r w:rsidR="001E0F1F">
        <w:t xml:space="preserve">The Director of Biosecurity </w:t>
      </w:r>
      <w:r>
        <w:t xml:space="preserve">has, without exception, responded </w:t>
      </w:r>
      <w:r w:rsidR="00C60FD8">
        <w:t xml:space="preserve">formally </w:t>
      </w:r>
      <w:r>
        <w:t xml:space="preserve">to Inspectors-General review reports as required under the </w:t>
      </w:r>
      <w:r w:rsidRPr="00271C3E">
        <w:rPr>
          <w:i/>
          <w:iCs/>
        </w:rPr>
        <w:t>Biosecurity Act 2015</w:t>
      </w:r>
      <w:r>
        <w:rPr>
          <w:i/>
          <w:iCs/>
        </w:rPr>
        <w:t>.</w:t>
      </w:r>
      <w:r>
        <w:t xml:space="preserve"> It has been endemic weaknesses in governance with</w:t>
      </w:r>
      <w:r w:rsidR="00F90105">
        <w:t xml:space="preserve">in </w:t>
      </w:r>
      <w:r>
        <w:t xml:space="preserve">both corporate areas and </w:t>
      </w:r>
      <w:r w:rsidR="001E0F1F">
        <w:t>b</w:t>
      </w:r>
      <w:r>
        <w:t>iosecurity divisions</w:t>
      </w:r>
      <w:r w:rsidR="00AC69CE">
        <w:t xml:space="preserve"> of the department</w:t>
      </w:r>
      <w:r>
        <w:t xml:space="preserve"> that </w:t>
      </w:r>
      <w:r w:rsidR="00F90105">
        <w:t>h</w:t>
      </w:r>
      <w:r>
        <w:t xml:space="preserve">as led to confusion, poor accountability and inefficiency in the handling of advice to the Director of Biosecurity on Inspectors-General recommendations, and then accountable, timely implementation of responses to recommendations. </w:t>
      </w:r>
      <w:r w:rsidR="00AC69CE">
        <w:t xml:space="preserve">Clear leadership from the department’s Secretary (who is also </w:t>
      </w:r>
      <w:r w:rsidR="00E43770">
        <w:t xml:space="preserve">the </w:t>
      </w:r>
      <w:r w:rsidR="00AC69CE">
        <w:t xml:space="preserve">Director of Biosecurity) will be required in order to substantially ‘shift the dial’ </w:t>
      </w:r>
      <w:r w:rsidR="00715C4A">
        <w:t>in the department’s attitude to accountability and governance processes.</w:t>
      </w:r>
    </w:p>
    <w:p w14:paraId="6A446563" w14:textId="2E128D9A" w:rsidR="00B14DDD" w:rsidRDefault="001E0F1F" w:rsidP="00CE120A">
      <w:r>
        <w:t xml:space="preserve">In </w:t>
      </w:r>
      <w:r w:rsidR="00B14DDD">
        <w:t xml:space="preserve">2021 </w:t>
      </w:r>
      <w:r>
        <w:t xml:space="preserve">there were </w:t>
      </w:r>
      <w:r w:rsidR="00B14DDD">
        <w:t xml:space="preserve">significant improvements in governance for </w:t>
      </w:r>
      <w:r>
        <w:t>b</w:t>
      </w:r>
      <w:r w:rsidR="00B14DDD">
        <w:t xml:space="preserve">iosecurity divisions through </w:t>
      </w:r>
      <w:r w:rsidR="00B03C32">
        <w:t xml:space="preserve">the </w:t>
      </w:r>
      <w:r w:rsidR="00B14DDD">
        <w:t>establishment and operation of the Biosecurity and Compliance Board</w:t>
      </w:r>
      <w:r>
        <w:t>. This</w:t>
      </w:r>
      <w:r w:rsidR="00B14DDD">
        <w:t xml:space="preserve"> is strongly welcomed. Similarly, the significant strengthening of project management capability </w:t>
      </w:r>
      <w:r w:rsidR="00BC279C">
        <w:t xml:space="preserve">and more </w:t>
      </w:r>
      <w:r w:rsidR="0065132B">
        <w:t xml:space="preserve">embedded </w:t>
      </w:r>
      <w:r w:rsidR="00BC279C">
        <w:t xml:space="preserve">approach to continuous improvement to address both systemic capability and specific </w:t>
      </w:r>
      <w:r w:rsidR="00BC279C" w:rsidRPr="00EF18DB">
        <w:t xml:space="preserve">needs is also </w:t>
      </w:r>
      <w:r w:rsidR="00C97E22">
        <w:t>commended</w:t>
      </w:r>
      <w:r w:rsidR="00BC279C" w:rsidRPr="00EF18DB">
        <w:t>.</w:t>
      </w:r>
      <w:r w:rsidR="00BC279C">
        <w:t xml:space="preserve"> </w:t>
      </w:r>
    </w:p>
    <w:p w14:paraId="22014D70" w14:textId="18A9F73B" w:rsidR="00BC279C" w:rsidRDefault="00BC279C" w:rsidP="00CE120A">
      <w:r>
        <w:t xml:space="preserve">The </w:t>
      </w:r>
      <w:r w:rsidR="00715C4A">
        <w:t xml:space="preserve">improvement program being driven by the </w:t>
      </w:r>
      <w:r>
        <w:t>Biosecurity and Compliance Board needs to be matched by further improvements in the efficiency and accountability of the department’s overall governance arrangements. The department’s corporate areas need to establish and support corporate systems</w:t>
      </w:r>
      <w:r w:rsidR="001E0F1F">
        <w:t>,</w:t>
      </w:r>
      <w:r>
        <w:t xml:space="preserve"> including practical tracking and reporting software</w:t>
      </w:r>
      <w:r w:rsidR="001E0F1F">
        <w:t>;</w:t>
      </w:r>
      <w:r>
        <w:t xml:space="preserve"> integration of improved biosecurity planning, delivery and monitoring into corporate improvement approach</w:t>
      </w:r>
      <w:r w:rsidR="001E0F1F">
        <w:t>;</w:t>
      </w:r>
      <w:r>
        <w:t xml:space="preserve"> </w:t>
      </w:r>
      <w:r w:rsidR="001E0F1F">
        <w:t xml:space="preserve">and </w:t>
      </w:r>
      <w:r>
        <w:t xml:space="preserve">timely, valuable reporting to </w:t>
      </w:r>
      <w:r w:rsidR="00F62D5E">
        <w:t xml:space="preserve">the </w:t>
      </w:r>
      <w:r>
        <w:t xml:space="preserve">PAC and </w:t>
      </w:r>
      <w:r w:rsidR="00F62D5E">
        <w:t xml:space="preserve">the </w:t>
      </w:r>
      <w:r>
        <w:t>Director of Biosecurity</w:t>
      </w:r>
      <w:r w:rsidR="00F62D5E">
        <w:t xml:space="preserve">. </w:t>
      </w:r>
    </w:p>
    <w:p w14:paraId="11193C9C" w14:textId="18CF27FC" w:rsidR="00F62D5E" w:rsidRPr="00B14DDD" w:rsidRDefault="00F62D5E" w:rsidP="00CE120A">
      <w:r>
        <w:t xml:space="preserve">Australia needs the department to be better at what it does in providing biosecurity functions for our nation. That improvement requires better governance, not </w:t>
      </w:r>
      <w:r w:rsidR="001E0F1F">
        <w:t xml:space="preserve">just </w:t>
      </w:r>
      <w:r>
        <w:t>more resources and more hard work from its committed workforce.</w:t>
      </w:r>
    </w:p>
    <w:p w14:paraId="7649312D" w14:textId="1D023E35" w:rsidR="00A87F31" w:rsidRDefault="007E34D9" w:rsidP="00143433">
      <w:pPr>
        <w:pStyle w:val="Heading2"/>
        <w:numPr>
          <w:ilvl w:val="0"/>
          <w:numId w:val="0"/>
        </w:numPr>
        <w:ind w:left="567" w:hanging="567"/>
      </w:pPr>
      <w:bookmarkStart w:id="57" w:name="_Toc87543881"/>
      <w:r>
        <w:lastRenderedPageBreak/>
        <w:t>Appendix A</w:t>
      </w:r>
      <w:r w:rsidR="009C1B25">
        <w:t xml:space="preserve">: Agency </w:t>
      </w:r>
      <w:r w:rsidR="00993DC5">
        <w:t>r</w:t>
      </w:r>
      <w:r w:rsidR="009C1B25">
        <w:t>esponse</w:t>
      </w:r>
      <w:bookmarkEnd w:id="57"/>
    </w:p>
    <w:p w14:paraId="6F8F4CA2" w14:textId="38CC8C78" w:rsidR="00E7466C" w:rsidRDefault="00E7466C" w:rsidP="009C1B25">
      <w:r>
        <w:rPr>
          <w:noProof/>
        </w:rPr>
        <w:drawing>
          <wp:inline distT="0" distB="0" distL="0" distR="0" wp14:anchorId="51763FA0" wp14:editId="4073C98C">
            <wp:extent cx="5086350" cy="769620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26"/>
                    <a:stretch>
                      <a:fillRect/>
                    </a:stretch>
                  </pic:blipFill>
                  <pic:spPr>
                    <a:xfrm>
                      <a:off x="0" y="0"/>
                      <a:ext cx="5086350" cy="7696200"/>
                    </a:xfrm>
                    <a:prstGeom prst="rect">
                      <a:avLst/>
                    </a:prstGeom>
                  </pic:spPr>
                </pic:pic>
              </a:graphicData>
            </a:graphic>
          </wp:inline>
        </w:drawing>
      </w:r>
    </w:p>
    <w:p w14:paraId="3B9AB2DD" w14:textId="2CD0C165" w:rsidR="00E7466C" w:rsidRDefault="00E7466C">
      <w:pPr>
        <w:spacing w:before="0"/>
      </w:pPr>
      <w:r>
        <w:br w:type="page"/>
      </w:r>
    </w:p>
    <w:p w14:paraId="5F980C44" w14:textId="17922C99" w:rsidR="00E7466C" w:rsidRDefault="00E7466C" w:rsidP="00E7466C">
      <w:pPr>
        <w:spacing w:before="0"/>
      </w:pPr>
      <w:r>
        <w:rPr>
          <w:noProof/>
        </w:rPr>
        <w:lastRenderedPageBreak/>
        <w:drawing>
          <wp:inline distT="0" distB="0" distL="0" distR="0" wp14:anchorId="1C87E5C2" wp14:editId="24861407">
            <wp:extent cx="4972050" cy="7229475"/>
            <wp:effectExtent l="0" t="0" r="0" b="952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27"/>
                    <a:stretch>
                      <a:fillRect/>
                    </a:stretch>
                  </pic:blipFill>
                  <pic:spPr>
                    <a:xfrm>
                      <a:off x="0" y="0"/>
                      <a:ext cx="4972050" cy="7229475"/>
                    </a:xfrm>
                    <a:prstGeom prst="rect">
                      <a:avLst/>
                    </a:prstGeom>
                  </pic:spPr>
                </pic:pic>
              </a:graphicData>
            </a:graphic>
          </wp:inline>
        </w:drawing>
      </w:r>
    </w:p>
    <w:p w14:paraId="6A511569" w14:textId="6663F083" w:rsidR="00E7466C" w:rsidRDefault="00E7466C" w:rsidP="00E7466C">
      <w:pPr>
        <w:spacing w:before="0"/>
      </w:pPr>
      <w:r>
        <w:br w:type="page"/>
      </w:r>
    </w:p>
    <w:p w14:paraId="1C558313" w14:textId="58822229" w:rsidR="00E7466C" w:rsidRDefault="00E7466C" w:rsidP="00E7466C">
      <w:pPr>
        <w:spacing w:before="0"/>
      </w:pPr>
      <w:r>
        <w:rPr>
          <w:noProof/>
        </w:rPr>
        <w:lastRenderedPageBreak/>
        <w:drawing>
          <wp:inline distT="0" distB="0" distL="0" distR="0" wp14:anchorId="6A38C57A" wp14:editId="1EFCB7CF">
            <wp:extent cx="4914900" cy="7343775"/>
            <wp:effectExtent l="0" t="0" r="0" b="9525"/>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28"/>
                    <a:stretch>
                      <a:fillRect/>
                    </a:stretch>
                  </pic:blipFill>
                  <pic:spPr>
                    <a:xfrm>
                      <a:off x="0" y="0"/>
                      <a:ext cx="4914900" cy="7343775"/>
                    </a:xfrm>
                    <a:prstGeom prst="rect">
                      <a:avLst/>
                    </a:prstGeom>
                  </pic:spPr>
                </pic:pic>
              </a:graphicData>
            </a:graphic>
          </wp:inline>
        </w:drawing>
      </w:r>
    </w:p>
    <w:p w14:paraId="054C3B0D" w14:textId="170B728C" w:rsidR="00E7466C" w:rsidRDefault="00E7466C" w:rsidP="00E7466C">
      <w:pPr>
        <w:spacing w:before="0"/>
        <w:sectPr w:rsidR="00E7466C" w:rsidSect="006C4664">
          <w:pgSz w:w="11906" w:h="16838"/>
          <w:pgMar w:top="1418" w:right="1418" w:bottom="1418" w:left="1418" w:header="709" w:footer="709" w:gutter="0"/>
          <w:cols w:space="708"/>
          <w:docGrid w:linePitch="360"/>
        </w:sectPr>
      </w:pPr>
      <w:r>
        <w:br w:type="page"/>
      </w:r>
      <w:r>
        <w:rPr>
          <w:noProof/>
        </w:rPr>
        <w:lastRenderedPageBreak/>
        <w:drawing>
          <wp:inline distT="0" distB="0" distL="0" distR="0" wp14:anchorId="17201EE8" wp14:editId="464E5537">
            <wp:extent cx="4914900" cy="7381875"/>
            <wp:effectExtent l="0" t="0" r="0" b="9525"/>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29"/>
                    <a:stretch>
                      <a:fillRect/>
                    </a:stretch>
                  </pic:blipFill>
                  <pic:spPr>
                    <a:xfrm>
                      <a:off x="0" y="0"/>
                      <a:ext cx="4914900" cy="7381875"/>
                    </a:xfrm>
                    <a:prstGeom prst="rect">
                      <a:avLst/>
                    </a:prstGeom>
                  </pic:spPr>
                </pic:pic>
              </a:graphicData>
            </a:graphic>
          </wp:inline>
        </w:drawing>
      </w:r>
    </w:p>
    <w:p w14:paraId="5C57D1A0" w14:textId="0439A0F6" w:rsidR="009C1B25" w:rsidRDefault="009C1B25" w:rsidP="00271C3E">
      <w:pPr>
        <w:pStyle w:val="Heading2"/>
        <w:numPr>
          <w:ilvl w:val="0"/>
          <w:numId w:val="0"/>
        </w:numPr>
      </w:pPr>
      <w:bookmarkStart w:id="58" w:name="_Toc87543882"/>
      <w:r>
        <w:lastRenderedPageBreak/>
        <w:t>Appendix B:</w:t>
      </w:r>
      <w:r w:rsidR="00A87F31" w:rsidRPr="00A87F31">
        <w:t xml:space="preserve"> </w:t>
      </w:r>
      <w:r w:rsidR="00A87F31">
        <w:t>A</w:t>
      </w:r>
      <w:r w:rsidR="00A87F31" w:rsidRPr="00A87F31">
        <w:t>udit of review recommendations</w:t>
      </w:r>
      <w:bookmarkEnd w:id="58"/>
    </w:p>
    <w:p w14:paraId="1D413053" w14:textId="4F821138" w:rsidR="00A87F31" w:rsidRDefault="006C4664" w:rsidP="006C4664">
      <w:pPr>
        <w:pStyle w:val="Caption"/>
      </w:pPr>
      <w:bookmarkStart w:id="59" w:name="_Ref83885758"/>
      <w:bookmarkStart w:id="60" w:name="_Toc88487905"/>
      <w:r>
        <w:t xml:space="preserve">Table </w:t>
      </w:r>
      <w:r w:rsidR="00D60801">
        <w:fldChar w:fldCharType="begin"/>
      </w:r>
      <w:r w:rsidR="00D60801">
        <w:instrText xml:space="preserve"> SEQ Table \* ARABIC </w:instrText>
      </w:r>
      <w:r w:rsidR="00D60801">
        <w:fldChar w:fldCharType="separate"/>
      </w:r>
      <w:r>
        <w:rPr>
          <w:noProof/>
        </w:rPr>
        <w:t>4</w:t>
      </w:r>
      <w:r w:rsidR="00D60801">
        <w:rPr>
          <w:noProof/>
        </w:rPr>
        <w:fldChar w:fldCharType="end"/>
      </w:r>
      <w:bookmarkEnd w:id="59"/>
      <w:r w:rsidR="00A87F31" w:rsidRPr="00A87F31">
        <w:t xml:space="preserve"> Outcomes of the audit of review recommendations</w:t>
      </w:r>
      <w:bookmarkEnd w:id="6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063"/>
        <w:gridCol w:w="2143"/>
        <w:gridCol w:w="2712"/>
        <w:gridCol w:w="5397"/>
        <w:gridCol w:w="1272"/>
      </w:tblGrid>
      <w:tr w:rsidR="00AE56D6" w14:paraId="188932DF" w14:textId="77777777" w:rsidTr="002246A8">
        <w:trPr>
          <w:tblHeader/>
        </w:trPr>
        <w:tc>
          <w:tcPr>
            <w:tcW w:w="1418" w:type="dxa"/>
          </w:tcPr>
          <w:p w14:paraId="201A8A41" w14:textId="39925D19" w:rsidR="00A87F31" w:rsidRDefault="00A87F31" w:rsidP="00C9755E">
            <w:pPr>
              <w:pStyle w:val="TableHeading"/>
            </w:pPr>
            <w:r w:rsidRPr="00483184">
              <w:t>Inspector</w:t>
            </w:r>
            <w:r w:rsidR="004B3F74">
              <w:t>-</w:t>
            </w:r>
            <w:r w:rsidRPr="00483184">
              <w:t>General review title</w:t>
            </w:r>
          </w:p>
        </w:tc>
        <w:tc>
          <w:tcPr>
            <w:tcW w:w="1063" w:type="dxa"/>
          </w:tcPr>
          <w:p w14:paraId="3536AEAA" w14:textId="77777777" w:rsidR="00A87F31" w:rsidRDefault="00A87F31" w:rsidP="00C9755E">
            <w:pPr>
              <w:pStyle w:val="TableHeading"/>
            </w:pPr>
            <w:r w:rsidRPr="00483184">
              <w:t>Publication date</w:t>
            </w:r>
          </w:p>
        </w:tc>
        <w:tc>
          <w:tcPr>
            <w:tcW w:w="2155" w:type="dxa"/>
          </w:tcPr>
          <w:p w14:paraId="0DD77B70" w14:textId="3F0A6538" w:rsidR="00A87F31" w:rsidRDefault="00A87F31" w:rsidP="00C9755E">
            <w:pPr>
              <w:pStyle w:val="TableHeading"/>
            </w:pPr>
            <w:r w:rsidRPr="00483184">
              <w:t>Inspector</w:t>
            </w:r>
            <w:r w:rsidR="004B3F74">
              <w:t>-</w:t>
            </w:r>
            <w:r w:rsidRPr="00483184">
              <w:t>General review recommendation</w:t>
            </w:r>
          </w:p>
        </w:tc>
        <w:tc>
          <w:tcPr>
            <w:tcW w:w="2736" w:type="dxa"/>
          </w:tcPr>
          <w:p w14:paraId="1EA73CB3" w14:textId="77777777" w:rsidR="00A87F31" w:rsidRDefault="00A87F31" w:rsidP="00C9755E">
            <w:pPr>
              <w:pStyle w:val="TableHeading"/>
            </w:pPr>
            <w:r w:rsidRPr="00483184">
              <w:t>Department’s original management response</w:t>
            </w:r>
          </w:p>
        </w:tc>
        <w:tc>
          <w:tcPr>
            <w:tcW w:w="5472" w:type="dxa"/>
          </w:tcPr>
          <w:p w14:paraId="10D05DAC" w14:textId="77777777" w:rsidR="00A87F31" w:rsidRDefault="00A87F31" w:rsidP="00C9755E">
            <w:pPr>
              <w:pStyle w:val="TableHeading"/>
            </w:pPr>
            <w:r>
              <w:t xml:space="preserve">Current </w:t>
            </w:r>
            <w:r w:rsidRPr="00483184">
              <w:t>Inspector-General’s assessment (2021)</w:t>
            </w:r>
          </w:p>
        </w:tc>
        <w:tc>
          <w:tcPr>
            <w:tcW w:w="1060" w:type="dxa"/>
          </w:tcPr>
          <w:p w14:paraId="24A63D44" w14:textId="57FF3879" w:rsidR="00A87F31" w:rsidRDefault="00A87F31" w:rsidP="00C9755E">
            <w:pPr>
              <w:pStyle w:val="TableHeading"/>
            </w:pPr>
            <w:r w:rsidRPr="00483184">
              <w:t>Inspector-General’s rating</w:t>
            </w:r>
          </w:p>
        </w:tc>
      </w:tr>
      <w:tr w:rsidR="00AE56D6" w14:paraId="04E062AA" w14:textId="77777777" w:rsidTr="002246A8">
        <w:tc>
          <w:tcPr>
            <w:tcW w:w="1418" w:type="dxa"/>
          </w:tcPr>
          <w:p w14:paraId="62714E55" w14:textId="77777777" w:rsidR="00A87F31" w:rsidRDefault="00A87F31" w:rsidP="00C9755E">
            <w:pPr>
              <w:pStyle w:val="TableText"/>
            </w:pPr>
            <w:r w:rsidRPr="00612BD3">
              <w:t>Effectiveness of biosecurity controls for importation of tomato and carrot seeds</w:t>
            </w:r>
          </w:p>
          <w:p w14:paraId="2FD6EAFF" w14:textId="77777777" w:rsidR="00A87F31" w:rsidRDefault="00A87F31" w:rsidP="00C9755E">
            <w:pPr>
              <w:pStyle w:val="TableText"/>
            </w:pPr>
          </w:p>
        </w:tc>
        <w:tc>
          <w:tcPr>
            <w:tcW w:w="1063" w:type="dxa"/>
          </w:tcPr>
          <w:p w14:paraId="6302037D" w14:textId="77777777" w:rsidR="00A87F31" w:rsidRDefault="00A87F31" w:rsidP="00C9755E">
            <w:pPr>
              <w:pStyle w:val="TableText"/>
            </w:pPr>
            <w:r>
              <w:t>May 2016</w:t>
            </w:r>
          </w:p>
        </w:tc>
        <w:tc>
          <w:tcPr>
            <w:tcW w:w="2155" w:type="dxa"/>
          </w:tcPr>
          <w:p w14:paraId="5F4CBDDB" w14:textId="77777777" w:rsidR="00A87F31" w:rsidRDefault="00A87F31" w:rsidP="00C9755E">
            <w:pPr>
              <w:pStyle w:val="TableText"/>
            </w:pPr>
            <w:r>
              <w:t xml:space="preserve">Recommendation </w:t>
            </w:r>
            <w:r w:rsidRPr="00612BD3">
              <w:t>05: The department should ensure that staff conducting inspections at the border are well trained, aware of biosecurity risks associated with imported seeds, adhere to standard operating procedures and carry inspection kits to minimise cross contamination of imported consignments. The department should update work instructions to ensure up to date information is available to inspecting staff.</w:t>
            </w:r>
          </w:p>
        </w:tc>
        <w:tc>
          <w:tcPr>
            <w:tcW w:w="2736" w:type="dxa"/>
          </w:tcPr>
          <w:p w14:paraId="1E1C6688" w14:textId="77777777" w:rsidR="00A87F31" w:rsidRDefault="00A87F31" w:rsidP="00C9755E">
            <w:pPr>
              <w:pStyle w:val="TableText"/>
            </w:pPr>
            <w:r w:rsidRPr="00612BD3">
              <w:t>The department agrees with this recommendation. The processes outlined in response to Recommendation 2 of this report will also address this recommendation.</w:t>
            </w:r>
          </w:p>
        </w:tc>
        <w:tc>
          <w:tcPr>
            <w:tcW w:w="5472" w:type="dxa"/>
          </w:tcPr>
          <w:p w14:paraId="0A197FB3" w14:textId="77777777" w:rsidR="00AE56D6" w:rsidRDefault="00AE56D6" w:rsidP="00AE56D6">
            <w:pPr>
              <w:pStyle w:val="TableText"/>
            </w:pPr>
            <w:r>
              <w:t xml:space="preserve">The department developed an e-learning training package in 2017 which was updated in 2020. The training has 2 modules: </w:t>
            </w:r>
          </w:p>
          <w:p w14:paraId="0171983F" w14:textId="77777777" w:rsidR="002246A8" w:rsidRDefault="00AE56D6" w:rsidP="00AE56D6">
            <w:pPr>
              <w:pStyle w:val="TableBullet"/>
            </w:pPr>
            <w:r>
              <w:t>Module 1: Introduction to imported seed sampling and inspection provides techniques for small, imported seed consignments.</w:t>
            </w:r>
          </w:p>
          <w:p w14:paraId="5AC82D46" w14:textId="407DF310" w:rsidR="00AE56D6" w:rsidRDefault="00AE56D6" w:rsidP="00AE56D6">
            <w:pPr>
              <w:pStyle w:val="TableBullet"/>
            </w:pPr>
            <w:r>
              <w:t xml:space="preserve">Module 2: Imported seed sampling and inspection – </w:t>
            </w:r>
            <w:r w:rsidR="001E0F1F">
              <w:t xml:space="preserve">the </w:t>
            </w:r>
            <w:r>
              <w:t>International Seed Testing Association</w:t>
            </w:r>
            <w:r w:rsidR="001E0F1F">
              <w:t xml:space="preserve"> (ISTA)</w:t>
            </w:r>
            <w:r>
              <w:t xml:space="preserve"> provides techniques for advanced sampling for larger consignments or consignments requiring inspection using the ISTA rules.</w:t>
            </w:r>
          </w:p>
          <w:p w14:paraId="4C7DAA93" w14:textId="77777777" w:rsidR="00AE56D6" w:rsidRDefault="00AE56D6" w:rsidP="00AE56D6">
            <w:pPr>
              <w:pStyle w:val="TableText"/>
            </w:pPr>
            <w:r>
              <w:t>Biosecurity officers who work at airports and mail centres need to complete module 1. Biosecurity officers who inspect larger consignments and use the ISTA rules need to complete modules 1 and 2.</w:t>
            </w:r>
          </w:p>
          <w:p w14:paraId="0C05A292" w14:textId="3AE278A4" w:rsidR="00AE56D6" w:rsidRDefault="00AE56D6" w:rsidP="00AE56D6">
            <w:pPr>
              <w:pStyle w:val="TableText"/>
            </w:pPr>
            <w:r>
              <w:t xml:space="preserve">The department also developed work instructions and reference documents: </w:t>
            </w:r>
          </w:p>
          <w:p w14:paraId="0FBCE983" w14:textId="1D3AFE87" w:rsidR="002246A8" w:rsidRDefault="001E0F1F" w:rsidP="00AE56D6">
            <w:pPr>
              <w:pStyle w:val="TableBullet"/>
            </w:pPr>
            <w:r>
              <w:t>The ‘S</w:t>
            </w:r>
            <w:r w:rsidR="00AE56D6">
              <w:t>eed sampling and inspection</w:t>
            </w:r>
            <w:r>
              <w:t>’</w:t>
            </w:r>
            <w:r w:rsidR="00AE56D6">
              <w:t xml:space="preserve"> </w:t>
            </w:r>
            <w:r>
              <w:t xml:space="preserve">work instruction </w:t>
            </w:r>
            <w:r w:rsidR="00AE56D6">
              <w:t xml:space="preserve">was revised in December 2020. This work instruction contains information about how to undertake sampling and inspection of imported seed and </w:t>
            </w:r>
            <w:r>
              <w:t xml:space="preserve">the </w:t>
            </w:r>
            <w:r w:rsidR="00AE56D6">
              <w:t>inspection equipment required to undertake seed sampling and inspections.</w:t>
            </w:r>
          </w:p>
          <w:p w14:paraId="7B258E1F" w14:textId="1F71D910" w:rsidR="002246A8" w:rsidRDefault="001E0F1F" w:rsidP="00AE56D6">
            <w:pPr>
              <w:pStyle w:val="TableBullet"/>
            </w:pPr>
            <w:r>
              <w:t>The ‘</w:t>
            </w:r>
            <w:r w:rsidR="00AE56D6">
              <w:t>Assessing and sampling imported seeds for sowing requiring pathogen testing</w:t>
            </w:r>
            <w:r>
              <w:t>’</w:t>
            </w:r>
            <w:r w:rsidR="00AE56D6">
              <w:t xml:space="preserve"> </w:t>
            </w:r>
            <w:r>
              <w:t xml:space="preserve">work instruction </w:t>
            </w:r>
            <w:r w:rsidR="00AE56D6">
              <w:t xml:space="preserve">was revised in April 2021. This work instruction contains information </w:t>
            </w:r>
            <w:r>
              <w:t xml:space="preserve">on </w:t>
            </w:r>
            <w:r w:rsidR="00AE56D6">
              <w:t>how to assess import documentation and sample imported seed lots which require pathogen testing.</w:t>
            </w:r>
          </w:p>
          <w:p w14:paraId="3AA85745" w14:textId="7B433770" w:rsidR="002246A8" w:rsidRDefault="001E0F1F" w:rsidP="00AE56D6">
            <w:pPr>
              <w:pStyle w:val="TableBullet"/>
            </w:pPr>
            <w:r>
              <w:t>The ‘</w:t>
            </w:r>
            <w:r w:rsidR="00AE56D6">
              <w:t>Seed inspection and sampling</w:t>
            </w:r>
            <w:r>
              <w:t>’</w:t>
            </w:r>
            <w:r w:rsidR="00AE56D6">
              <w:t xml:space="preserve"> national job card was revised in February 2021. This job card is used to assess biosecurity inspectors</w:t>
            </w:r>
            <w:r>
              <w:t>’</w:t>
            </w:r>
            <w:r w:rsidR="00AE56D6">
              <w:t xml:space="preserve"> competency to undertake inspections on imported seeds.</w:t>
            </w:r>
          </w:p>
          <w:p w14:paraId="42963F6E" w14:textId="50541C1C" w:rsidR="00A87F31" w:rsidRDefault="001E0F1F" w:rsidP="00AE56D6">
            <w:pPr>
              <w:pStyle w:val="TableBullet"/>
            </w:pPr>
            <w:r>
              <w:lastRenderedPageBreak/>
              <w:t>The ‘</w:t>
            </w:r>
            <w:r w:rsidR="00AE56D6" w:rsidRPr="001E0F1F">
              <w:t xml:space="preserve">Seed </w:t>
            </w:r>
            <w:r w:rsidRPr="001E0F1F">
              <w:t>m</w:t>
            </w:r>
            <w:r>
              <w:t>anual'</w:t>
            </w:r>
            <w:r w:rsidR="00AE56D6">
              <w:t xml:space="preserve"> was revised in August 2020. The manual provides information on the seed importation pathway, biosecurity risk of imported seeds, seed categories and inspection processes.</w:t>
            </w:r>
          </w:p>
        </w:tc>
        <w:tc>
          <w:tcPr>
            <w:tcW w:w="1060" w:type="dxa"/>
          </w:tcPr>
          <w:p w14:paraId="190C3881" w14:textId="1B13DD3D" w:rsidR="00A87F31" w:rsidRDefault="00AE56D6" w:rsidP="00C9755E">
            <w:pPr>
              <w:pStyle w:val="TableText"/>
            </w:pPr>
            <w:r>
              <w:lastRenderedPageBreak/>
              <w:t>Optimal</w:t>
            </w:r>
          </w:p>
        </w:tc>
      </w:tr>
      <w:tr w:rsidR="00AE56D6" w14:paraId="2F78DE29" w14:textId="77777777" w:rsidTr="002246A8">
        <w:tc>
          <w:tcPr>
            <w:tcW w:w="1418" w:type="dxa"/>
          </w:tcPr>
          <w:p w14:paraId="2F35D745" w14:textId="77777777" w:rsidR="00A87F31" w:rsidRDefault="00A87F31" w:rsidP="00C9755E">
            <w:pPr>
              <w:pStyle w:val="TableText"/>
            </w:pPr>
            <w:r w:rsidRPr="00612BD3">
              <w:t>Effectiveness of biosecurity controls for importation of tomato and carrot seeds</w:t>
            </w:r>
          </w:p>
        </w:tc>
        <w:tc>
          <w:tcPr>
            <w:tcW w:w="1063" w:type="dxa"/>
          </w:tcPr>
          <w:p w14:paraId="3F903ECB" w14:textId="77777777" w:rsidR="00A87F31" w:rsidRDefault="00A87F31" w:rsidP="00C9755E">
            <w:pPr>
              <w:pStyle w:val="TableText"/>
            </w:pPr>
            <w:r>
              <w:t>May 2016</w:t>
            </w:r>
          </w:p>
        </w:tc>
        <w:tc>
          <w:tcPr>
            <w:tcW w:w="2155" w:type="dxa"/>
          </w:tcPr>
          <w:p w14:paraId="1BC5CB96" w14:textId="77777777" w:rsidR="00A87F31" w:rsidRDefault="00A87F31" w:rsidP="00C9755E">
            <w:pPr>
              <w:pStyle w:val="TableText"/>
            </w:pPr>
            <w:r>
              <w:t xml:space="preserve">Recommendation </w:t>
            </w:r>
            <w:r w:rsidRPr="00612BD3">
              <w:t>08: In consultation with industry, the department should develop a co-regulatory model that involves industry adopting agreed recommendations and principles to improve the regulatory framework for importation of vegetable seeds into Australia.</w:t>
            </w:r>
          </w:p>
        </w:tc>
        <w:tc>
          <w:tcPr>
            <w:tcW w:w="2736" w:type="dxa"/>
          </w:tcPr>
          <w:p w14:paraId="0E200B2B" w14:textId="77777777" w:rsidR="00A87F31" w:rsidRDefault="00A87F31" w:rsidP="00C9755E">
            <w:pPr>
              <w:pStyle w:val="TableText"/>
            </w:pPr>
            <w:r w:rsidRPr="00612BD3">
              <w:t>The department agrees with this recommendation. The concept and benefits of a co-regulatory model will be discussed and progressed through the imported Seeds Regulation Working Group.</w:t>
            </w:r>
          </w:p>
        </w:tc>
        <w:tc>
          <w:tcPr>
            <w:tcW w:w="5472" w:type="dxa"/>
          </w:tcPr>
          <w:p w14:paraId="15A0EF66" w14:textId="77777777" w:rsidR="00AE56D6" w:rsidRDefault="00AE56D6" w:rsidP="00AE56D6">
            <w:pPr>
              <w:pStyle w:val="TableText"/>
            </w:pPr>
            <w:r>
              <w:t xml:space="preserve">The department and industry have agreed to adopt a co-regulatory approach that recognises and guides seed production practices through a systems approach, under the guidance of an annex to the International Standards for Phytosanitary Measures 38 (ISPM 38). The department engages with industry related to co-regulatory approaches to managing phytosanitary risk on seed imports. </w:t>
            </w:r>
          </w:p>
          <w:p w14:paraId="5A0CE0EA" w14:textId="77777777" w:rsidR="00AE56D6" w:rsidRDefault="00AE56D6" w:rsidP="00AE56D6">
            <w:pPr>
              <w:pStyle w:val="TableText"/>
            </w:pPr>
            <w:r>
              <w:t>The department has engaged with industry and international counterparts in the following forums and activities:</w:t>
            </w:r>
          </w:p>
          <w:p w14:paraId="7E84DC9F" w14:textId="77777777" w:rsidR="00AE56D6" w:rsidRDefault="00AE56D6" w:rsidP="00AE56D6">
            <w:pPr>
              <w:pStyle w:val="TableBullet"/>
            </w:pPr>
            <w:r>
              <w:t>Imported Seed Regulation Working Group, between May 2016 and July 2018</w:t>
            </w:r>
          </w:p>
          <w:p w14:paraId="5EF26B53" w14:textId="77777777" w:rsidR="00AE56D6" w:rsidRDefault="00AE56D6" w:rsidP="00AE56D6">
            <w:pPr>
              <w:pStyle w:val="TableBullet"/>
            </w:pPr>
            <w:r>
              <w:t>Organisation of the Global Integrated System of Seed Production Workshop, between 4 and 5 April 2018</w:t>
            </w:r>
          </w:p>
          <w:p w14:paraId="064F20FA" w14:textId="77777777" w:rsidR="00AE56D6" w:rsidRDefault="00AE56D6" w:rsidP="00AE56D6">
            <w:pPr>
              <w:pStyle w:val="TableBullet"/>
            </w:pPr>
            <w:r>
              <w:t>Organisation of the International Clean Seed Pathway Workshop, between 7 and 8 June 2018</w:t>
            </w:r>
          </w:p>
          <w:p w14:paraId="120116E8" w14:textId="77777777" w:rsidR="00AE56D6" w:rsidRDefault="00AE56D6" w:rsidP="00AE56D6">
            <w:pPr>
              <w:pStyle w:val="TableBullet"/>
            </w:pPr>
            <w:r>
              <w:t>Quadrilateral Seed Health Working Group</w:t>
            </w:r>
          </w:p>
          <w:p w14:paraId="0A5DC9E8" w14:textId="77777777" w:rsidR="00AE56D6" w:rsidRDefault="00AE56D6" w:rsidP="00AE56D6">
            <w:pPr>
              <w:pStyle w:val="TableBullet"/>
            </w:pPr>
            <w:r>
              <w:t>supporting the development of an annex to ISPM 38 on the design and use of systems approaches for phytosanitary certification of seeds</w:t>
            </w:r>
          </w:p>
          <w:p w14:paraId="58659E6C" w14:textId="77777777" w:rsidR="00AE56D6" w:rsidRDefault="00AE56D6" w:rsidP="00AE56D6">
            <w:pPr>
              <w:pStyle w:val="TableBullet"/>
            </w:pPr>
            <w:r>
              <w:t>supporting the development of regional implementation guidance material on seed health certification for Asia and Pacific Plant Protection Commission member countries</w:t>
            </w:r>
          </w:p>
          <w:p w14:paraId="7E5923A5" w14:textId="63ABFF14" w:rsidR="00A87F31" w:rsidRDefault="00AE56D6" w:rsidP="00AE56D6">
            <w:pPr>
              <w:pStyle w:val="TableBullet"/>
            </w:pPr>
            <w:r>
              <w:t>International Seeds Federation systems approach pilot, proposed to take place in 2022.</w:t>
            </w:r>
          </w:p>
        </w:tc>
        <w:tc>
          <w:tcPr>
            <w:tcW w:w="1060" w:type="dxa"/>
          </w:tcPr>
          <w:p w14:paraId="3CB96588" w14:textId="16708D37" w:rsidR="00A87F31" w:rsidRDefault="00AE56D6" w:rsidP="00C9755E">
            <w:pPr>
              <w:pStyle w:val="TableText"/>
            </w:pPr>
            <w:r>
              <w:t>Optimal</w:t>
            </w:r>
          </w:p>
        </w:tc>
      </w:tr>
      <w:tr w:rsidR="00AE56D6" w14:paraId="15066BED" w14:textId="77777777" w:rsidTr="002246A8">
        <w:tc>
          <w:tcPr>
            <w:tcW w:w="1418" w:type="dxa"/>
          </w:tcPr>
          <w:p w14:paraId="4AEF96DF" w14:textId="77777777" w:rsidR="00A87F31" w:rsidRDefault="00A87F31" w:rsidP="00C9755E">
            <w:pPr>
              <w:pStyle w:val="TableText"/>
            </w:pPr>
            <w:r w:rsidRPr="00612BD3">
              <w:t xml:space="preserve">Adequacy of preventative border measures to mitigate the risk </w:t>
            </w:r>
            <w:r w:rsidRPr="00612BD3">
              <w:lastRenderedPageBreak/>
              <w:t>of African swine fever</w:t>
            </w:r>
          </w:p>
        </w:tc>
        <w:tc>
          <w:tcPr>
            <w:tcW w:w="1063" w:type="dxa"/>
          </w:tcPr>
          <w:p w14:paraId="647BC9E4" w14:textId="77777777" w:rsidR="00A87F31" w:rsidRDefault="00A87F31" w:rsidP="00C9755E">
            <w:pPr>
              <w:pStyle w:val="TableText"/>
            </w:pPr>
            <w:r>
              <w:lastRenderedPageBreak/>
              <w:t>March 2020</w:t>
            </w:r>
          </w:p>
        </w:tc>
        <w:tc>
          <w:tcPr>
            <w:tcW w:w="2155" w:type="dxa"/>
          </w:tcPr>
          <w:p w14:paraId="7BFD2AB5" w14:textId="77777777" w:rsidR="00A87F31" w:rsidRDefault="00A87F31" w:rsidP="00C9755E">
            <w:pPr>
              <w:pStyle w:val="TableText"/>
            </w:pPr>
            <w:r>
              <w:t xml:space="preserve">Recommendation </w:t>
            </w:r>
            <w:r w:rsidRPr="00612BD3">
              <w:t>03:</w:t>
            </w:r>
            <w:r>
              <w:t xml:space="preserve"> </w:t>
            </w:r>
            <w:r w:rsidRPr="00612BD3">
              <w:t xml:space="preserve">The department should increase screening of express mail service and parcels from African swine fever-affected </w:t>
            </w:r>
            <w:r w:rsidRPr="00612BD3">
              <w:lastRenderedPageBreak/>
              <w:t>countries (in addition to China) at targeted mail centres. The outcomes should be recorded electronically in a central register to allow for a quick post-hoc analysis to inform relevant policies and operations.</w:t>
            </w:r>
          </w:p>
        </w:tc>
        <w:tc>
          <w:tcPr>
            <w:tcW w:w="2736" w:type="dxa"/>
          </w:tcPr>
          <w:p w14:paraId="3A5C5DC3" w14:textId="3B1CCCF0" w:rsidR="00A87F31" w:rsidRDefault="00A87F31" w:rsidP="00C9755E">
            <w:pPr>
              <w:pStyle w:val="TableText"/>
            </w:pPr>
            <w:r>
              <w:lastRenderedPageBreak/>
              <w:t xml:space="preserve">Agreed. </w:t>
            </w:r>
            <w:r w:rsidRPr="00612BD3">
              <w:t xml:space="preserve">The department has increased screening of mail classes (express mail service, parcels and other articles) from ASF-affected countries with implementation of revised mail </w:t>
            </w:r>
            <w:r w:rsidRPr="00612BD3">
              <w:lastRenderedPageBreak/>
              <w:t>profiles commencing in 2020. All detections resulting from the increased screening will be recorded in the Mail and Passenger System (MAPS</w:t>
            </w:r>
            <w:r w:rsidR="00AE56D6" w:rsidRPr="00612BD3">
              <w:t>)</w:t>
            </w:r>
            <w:r w:rsidR="00AE56D6">
              <w:t>,</w:t>
            </w:r>
            <w:r w:rsidR="00AE56D6" w:rsidRPr="00612BD3">
              <w:t xml:space="preserve"> and</w:t>
            </w:r>
            <w:r w:rsidRPr="00612BD3">
              <w:t xml:space="preserve"> will inform frequent data reporting and analysis performed by the department.</w:t>
            </w:r>
          </w:p>
        </w:tc>
        <w:tc>
          <w:tcPr>
            <w:tcW w:w="5472" w:type="dxa"/>
          </w:tcPr>
          <w:p w14:paraId="6D4C5F9B" w14:textId="7AF22238" w:rsidR="00AE56D6" w:rsidRDefault="00AE56D6" w:rsidP="00AE56D6">
            <w:pPr>
              <w:pStyle w:val="TableText"/>
            </w:pPr>
            <w:r>
              <w:lastRenderedPageBreak/>
              <w:t>In 2018 the department increased screening on the mail pathway from African swine fever</w:t>
            </w:r>
            <w:r w:rsidR="00EF4649">
              <w:t xml:space="preserve"> </w:t>
            </w:r>
            <w:r>
              <w:t>affected countries. The department revised and implemented mail profiles to inform the increased screening in the mail pathway.</w:t>
            </w:r>
          </w:p>
          <w:p w14:paraId="0485CCFF" w14:textId="43850193" w:rsidR="00A87F31" w:rsidRDefault="00AE56D6" w:rsidP="00AE56D6">
            <w:pPr>
              <w:pStyle w:val="TableText"/>
            </w:pPr>
            <w:r>
              <w:t xml:space="preserve">The department collected and analysed data from the increased screening which informed the profiles and the mail classes and </w:t>
            </w:r>
            <w:r>
              <w:lastRenderedPageBreak/>
              <w:t xml:space="preserve">countries that were targeted for screening. This included new profiles for screening, profiles for continued screening and revised profiles for ceasing screening. For example, in 2019 the department ceased increased screening of Other Articles (0As) from China arriving in Sydney and Melbourne Gateway facilities. The data was analysed and </w:t>
            </w:r>
            <w:r w:rsidR="00EF4649">
              <w:t xml:space="preserve">it was </w:t>
            </w:r>
            <w:r>
              <w:t>identified that OAs did not contain high volumes of porcine products. Therefore, the increased screening rates of 50% for large OAs and 20% for small OAs were reduced to 20% for all OAs.</w:t>
            </w:r>
          </w:p>
        </w:tc>
        <w:tc>
          <w:tcPr>
            <w:tcW w:w="1060" w:type="dxa"/>
          </w:tcPr>
          <w:p w14:paraId="1C160D3C" w14:textId="10170115" w:rsidR="00A87F31" w:rsidRDefault="00AE56D6" w:rsidP="00C9755E">
            <w:pPr>
              <w:pStyle w:val="TableText"/>
            </w:pPr>
            <w:r w:rsidRPr="00AE56D6">
              <w:lastRenderedPageBreak/>
              <w:t>Optimal</w:t>
            </w:r>
          </w:p>
        </w:tc>
      </w:tr>
      <w:tr w:rsidR="00AE56D6" w14:paraId="5A9B5B74" w14:textId="77777777" w:rsidTr="002246A8">
        <w:tc>
          <w:tcPr>
            <w:tcW w:w="1418" w:type="dxa"/>
          </w:tcPr>
          <w:p w14:paraId="32670E42" w14:textId="77777777" w:rsidR="00A87F31" w:rsidRDefault="00A87F31" w:rsidP="00C9755E">
            <w:pPr>
              <w:pStyle w:val="TableText"/>
            </w:pPr>
            <w:r w:rsidRPr="0008761A">
              <w:t>Adequacy of preventative border measures to mitigate the risk of African swine fever</w:t>
            </w:r>
          </w:p>
        </w:tc>
        <w:tc>
          <w:tcPr>
            <w:tcW w:w="1063" w:type="dxa"/>
          </w:tcPr>
          <w:p w14:paraId="369AC56E" w14:textId="77777777" w:rsidR="00A87F31" w:rsidRDefault="00A87F31" w:rsidP="00C9755E">
            <w:pPr>
              <w:pStyle w:val="TableText"/>
            </w:pPr>
            <w:r>
              <w:t>March 2020</w:t>
            </w:r>
          </w:p>
        </w:tc>
        <w:tc>
          <w:tcPr>
            <w:tcW w:w="2155" w:type="dxa"/>
          </w:tcPr>
          <w:p w14:paraId="6A94E36D" w14:textId="77777777" w:rsidR="00A87F31" w:rsidRDefault="00A87F31" w:rsidP="00C9755E">
            <w:pPr>
              <w:pStyle w:val="TableText"/>
            </w:pPr>
            <w:r>
              <w:t xml:space="preserve">Recommendation 12: </w:t>
            </w:r>
            <w:r w:rsidRPr="0008761A">
              <w:t>The department should include additional criteria in risk assessment for flights from African swine fever- affected countries, including a focus on seasonal farm workers.</w:t>
            </w:r>
          </w:p>
        </w:tc>
        <w:tc>
          <w:tcPr>
            <w:tcW w:w="2736" w:type="dxa"/>
          </w:tcPr>
          <w:p w14:paraId="6CE5BDF6" w14:textId="77777777" w:rsidR="00A87F31" w:rsidRDefault="00A87F31" w:rsidP="00C9755E">
            <w:pPr>
              <w:pStyle w:val="TableText"/>
            </w:pPr>
            <w:r>
              <w:t>Agreed. The department has already commenced work to improve the data used to inform traveller risk assessment and will continue to explore opportunities to further refine the best set of criteria. Implementation of the Mobile Passport Reader application that is currently being trialled will provide additional data on traveller intervention.</w:t>
            </w:r>
          </w:p>
        </w:tc>
        <w:tc>
          <w:tcPr>
            <w:tcW w:w="5472" w:type="dxa"/>
          </w:tcPr>
          <w:p w14:paraId="4ABE1D26" w14:textId="609A3240" w:rsidR="00AE56D6" w:rsidRDefault="00AE56D6" w:rsidP="00AE56D6">
            <w:pPr>
              <w:pStyle w:val="TableText"/>
            </w:pPr>
            <w:r>
              <w:t>The department has not provided evidence demonstrating:</w:t>
            </w:r>
          </w:p>
          <w:p w14:paraId="31541B7C" w14:textId="1686B6E4" w:rsidR="00AE56D6" w:rsidRDefault="00EF4649" w:rsidP="00AE56D6">
            <w:pPr>
              <w:pStyle w:val="TableBullet"/>
            </w:pPr>
            <w:r>
              <w:t xml:space="preserve">how they have </w:t>
            </w:r>
            <w:r w:rsidR="00AE56D6">
              <w:t>included additional criteria or refined criteria in risk assessment for flights from African swine fever affected countries</w:t>
            </w:r>
          </w:p>
          <w:p w14:paraId="3CA27B50" w14:textId="0DC9998D" w:rsidR="00AE56D6" w:rsidRDefault="00EF4649" w:rsidP="00AE56D6">
            <w:pPr>
              <w:pStyle w:val="TableBullet"/>
            </w:pPr>
            <w:r>
              <w:t xml:space="preserve">how they have </w:t>
            </w:r>
            <w:r w:rsidR="00AE56D6">
              <w:t>improved the data used to inform traveller risk assessment</w:t>
            </w:r>
          </w:p>
          <w:p w14:paraId="6F00F1AE" w14:textId="1A4AA4D7" w:rsidR="00AE56D6" w:rsidRDefault="00AE56D6" w:rsidP="00AE56D6">
            <w:pPr>
              <w:pStyle w:val="TableBullet"/>
            </w:pPr>
            <w:r>
              <w:t>the progress and potential implementation of the Mobile Passport Reader application.</w:t>
            </w:r>
          </w:p>
          <w:p w14:paraId="44B57FC0" w14:textId="4923030C" w:rsidR="00A87F31" w:rsidRDefault="00AE56D6" w:rsidP="00AE56D6">
            <w:pPr>
              <w:pStyle w:val="TableText"/>
            </w:pPr>
            <w:r>
              <w:t>The department has advised that profiles and criteria are monitored and updated as part of business-as-usual work.</w:t>
            </w:r>
          </w:p>
        </w:tc>
        <w:tc>
          <w:tcPr>
            <w:tcW w:w="1060" w:type="dxa"/>
          </w:tcPr>
          <w:p w14:paraId="01F2CC7C" w14:textId="272D98C2" w:rsidR="00A87F31" w:rsidRDefault="00AE56D6" w:rsidP="00C9755E">
            <w:pPr>
              <w:pStyle w:val="TableText"/>
            </w:pPr>
            <w:r w:rsidRPr="00AE56D6">
              <w:t>Unsatisfactory</w:t>
            </w:r>
          </w:p>
        </w:tc>
      </w:tr>
      <w:tr w:rsidR="00AE56D6" w14:paraId="4DEE470E" w14:textId="77777777" w:rsidTr="002246A8">
        <w:tc>
          <w:tcPr>
            <w:tcW w:w="1418" w:type="dxa"/>
          </w:tcPr>
          <w:p w14:paraId="15106A01" w14:textId="77777777" w:rsidR="00A87F31" w:rsidRDefault="00A87F31" w:rsidP="00C9755E">
            <w:pPr>
              <w:pStyle w:val="TableText"/>
            </w:pPr>
            <w:r w:rsidRPr="0008761A">
              <w:t>Pest and disease interceptions and incursions in Australia</w:t>
            </w:r>
          </w:p>
        </w:tc>
        <w:tc>
          <w:tcPr>
            <w:tcW w:w="1063" w:type="dxa"/>
          </w:tcPr>
          <w:p w14:paraId="31BF7252" w14:textId="77777777" w:rsidR="00A87F31" w:rsidRDefault="00A87F31" w:rsidP="00C9755E">
            <w:pPr>
              <w:pStyle w:val="TableText"/>
            </w:pPr>
            <w:r>
              <w:t>May 2019</w:t>
            </w:r>
          </w:p>
        </w:tc>
        <w:tc>
          <w:tcPr>
            <w:tcW w:w="2155" w:type="dxa"/>
          </w:tcPr>
          <w:p w14:paraId="189171FB" w14:textId="77777777" w:rsidR="00A87F31" w:rsidRDefault="00A87F31" w:rsidP="00C9755E">
            <w:pPr>
              <w:pStyle w:val="TableText"/>
            </w:pPr>
            <w:r>
              <w:t xml:space="preserve">Recommendation </w:t>
            </w:r>
            <w:r w:rsidRPr="0008761A">
              <w:t>05: The department should strengthen the implementation of verification programs and data capture about them to ensure that biosecurity risk interception and management systems are performing as intended to support Risk Return Resource Allocation modelling, and that this modelling is not based on outdated or over-optimistic assumptions.</w:t>
            </w:r>
          </w:p>
        </w:tc>
        <w:tc>
          <w:tcPr>
            <w:tcW w:w="2736" w:type="dxa"/>
          </w:tcPr>
          <w:p w14:paraId="1ECE7AE2" w14:textId="77777777" w:rsidR="00A87F31" w:rsidRDefault="00A87F31" w:rsidP="00C9755E">
            <w:pPr>
              <w:pStyle w:val="TableText"/>
            </w:pPr>
            <w:r w:rsidRPr="0008761A">
              <w:t>Agreed. The department established a Biosecurity Operations Assurance Model in 2017 to provide a consistent approach to verification and capture qualitative and quantitative data to measure the performance of current management systems. The department will look to strengthen this model to ensure it is operating as intended and data capture supports RRRA and other modelling activity.</w:t>
            </w:r>
          </w:p>
        </w:tc>
        <w:tc>
          <w:tcPr>
            <w:tcW w:w="5472" w:type="dxa"/>
          </w:tcPr>
          <w:p w14:paraId="19E6250F" w14:textId="1F857647" w:rsidR="002246A8" w:rsidRDefault="002246A8" w:rsidP="002246A8">
            <w:pPr>
              <w:pStyle w:val="TableText"/>
            </w:pPr>
            <w:r>
              <w:t>The department has not provided evidence demonstrating how they have strengthened the Biosecurity Operations Assurance Model</w:t>
            </w:r>
            <w:r w:rsidR="00EF4649">
              <w:t>,</w:t>
            </w:r>
            <w:r>
              <w:t xml:space="preserve"> established in 2017. The department</w:t>
            </w:r>
            <w:r w:rsidR="00EF4649">
              <w:t>’</w:t>
            </w:r>
            <w:r>
              <w:t xml:space="preserve">s response outlined that they intended: </w:t>
            </w:r>
          </w:p>
          <w:p w14:paraId="1A735220" w14:textId="3EB36396" w:rsidR="00922234" w:rsidRDefault="002246A8" w:rsidP="002246A8">
            <w:pPr>
              <w:pStyle w:val="TableBullet"/>
            </w:pPr>
            <w:r>
              <w:t>to ensure that the model was operating as intended</w:t>
            </w:r>
            <w:r w:rsidR="00EF4649">
              <w:t xml:space="preserve"> </w:t>
            </w:r>
            <w:r w:rsidR="00EF4649">
              <w:sym w:font="Symbol" w:char="F02D"/>
            </w:r>
            <w:r w:rsidR="00EF4649">
              <w:t xml:space="preserve"> </w:t>
            </w:r>
            <w:r>
              <w:t>that is</w:t>
            </w:r>
            <w:r w:rsidR="00EF4649">
              <w:t>, as</w:t>
            </w:r>
            <w:r>
              <w:t xml:space="preserve"> a consistent and reliable approach for verification and data capture to measure the performance of current management systems</w:t>
            </w:r>
          </w:p>
          <w:p w14:paraId="00F033E3" w14:textId="56F89B86" w:rsidR="002246A8" w:rsidRDefault="002246A8" w:rsidP="002246A8">
            <w:pPr>
              <w:pStyle w:val="TableBullet"/>
            </w:pPr>
            <w:r>
              <w:t>to strengthen the model to operate and provide data capture to support the Risk Return Resource Allocation (RRRA) model and other modelling activity.</w:t>
            </w:r>
          </w:p>
          <w:p w14:paraId="724CFBA0" w14:textId="7E140464" w:rsidR="00A87F31" w:rsidRDefault="002246A8" w:rsidP="002246A8">
            <w:pPr>
              <w:pStyle w:val="TableText"/>
            </w:pPr>
            <w:r>
              <w:t>The department did provide the independent review report of the RRRA model that was procured in 2019 and the department's response to this review. However, the evidence was not provided on the progress and outcomes of the implementation of the review's recommendations.</w:t>
            </w:r>
          </w:p>
        </w:tc>
        <w:tc>
          <w:tcPr>
            <w:tcW w:w="1060" w:type="dxa"/>
          </w:tcPr>
          <w:p w14:paraId="0E5E2CED" w14:textId="32257FB2" w:rsidR="00A87F31" w:rsidRDefault="002246A8" w:rsidP="00C9755E">
            <w:pPr>
              <w:pStyle w:val="TableText"/>
            </w:pPr>
            <w:r w:rsidRPr="002246A8">
              <w:t>Unsatisfactory</w:t>
            </w:r>
          </w:p>
        </w:tc>
      </w:tr>
      <w:tr w:rsidR="00AE56D6" w14:paraId="65D19F4F" w14:textId="77777777" w:rsidTr="002246A8">
        <w:tc>
          <w:tcPr>
            <w:tcW w:w="1418" w:type="dxa"/>
          </w:tcPr>
          <w:p w14:paraId="4928BE73" w14:textId="77777777" w:rsidR="00A87F31" w:rsidRDefault="00A87F31" w:rsidP="00C9755E">
            <w:pPr>
              <w:pStyle w:val="TableText"/>
            </w:pPr>
            <w:r w:rsidRPr="0008761A">
              <w:lastRenderedPageBreak/>
              <w:t>Biosecurity risk management of international express airfreight pathway for non-commercial consignments</w:t>
            </w:r>
          </w:p>
        </w:tc>
        <w:tc>
          <w:tcPr>
            <w:tcW w:w="1063" w:type="dxa"/>
          </w:tcPr>
          <w:p w14:paraId="3B1F1DDD" w14:textId="77777777" w:rsidR="00A87F31" w:rsidRDefault="00A87F31" w:rsidP="00C9755E">
            <w:pPr>
              <w:pStyle w:val="TableText"/>
            </w:pPr>
            <w:r>
              <w:t>July 2020</w:t>
            </w:r>
          </w:p>
        </w:tc>
        <w:tc>
          <w:tcPr>
            <w:tcW w:w="2155" w:type="dxa"/>
          </w:tcPr>
          <w:p w14:paraId="33C98A31" w14:textId="77777777" w:rsidR="00A87F31" w:rsidRDefault="00A87F31" w:rsidP="00C9755E">
            <w:pPr>
              <w:pStyle w:val="TableText"/>
            </w:pPr>
            <w:r>
              <w:t xml:space="preserve">Recommendation </w:t>
            </w:r>
            <w:r w:rsidRPr="0008761A">
              <w:t>24</w:t>
            </w:r>
            <w:r>
              <w:t>:</w:t>
            </w:r>
            <w:r w:rsidRPr="0008761A">
              <w:t xml:space="preserve"> The department should develop an operational policy framework for biosecurity officers to exercise regulatory powers to issue infringement notices and civil penalties for non-compliance with provisions under the Act relating to the management of biosecurity risk associated with imported goods.</w:t>
            </w:r>
          </w:p>
        </w:tc>
        <w:tc>
          <w:tcPr>
            <w:tcW w:w="2736" w:type="dxa"/>
          </w:tcPr>
          <w:p w14:paraId="55C74AA6" w14:textId="77777777" w:rsidR="00A87F31" w:rsidRDefault="00A87F31" w:rsidP="00C9755E">
            <w:pPr>
              <w:pStyle w:val="TableText"/>
            </w:pPr>
            <w:r>
              <w:t>Agreed. The department has an operational policy framework (supported by IT systems and instructional material) for biosecurity officers to issue infringement notices and otherwise deal with non-compliance at first points of entry.</w:t>
            </w:r>
          </w:p>
          <w:p w14:paraId="59879BC5" w14:textId="77777777" w:rsidR="00A87F31" w:rsidRDefault="00A87F31" w:rsidP="00C9755E">
            <w:pPr>
              <w:pStyle w:val="TableText"/>
            </w:pPr>
            <w:r>
              <w:t>Policy and guidance material is also being developed for the broader use of civil sanctions (i.e. infringement notices, civil penalty orders, injunctions and enforceable undertakings).</w:t>
            </w:r>
          </w:p>
        </w:tc>
        <w:tc>
          <w:tcPr>
            <w:tcW w:w="5472" w:type="dxa"/>
          </w:tcPr>
          <w:p w14:paraId="5A53A674" w14:textId="030056CD" w:rsidR="002246A8" w:rsidRDefault="002246A8" w:rsidP="002246A8">
            <w:pPr>
              <w:pStyle w:val="TableText"/>
            </w:pPr>
            <w:r>
              <w:t>The department has not developed an operational policy framework for noncompliance or regulatory intervention tools in the non-commercial airfreight pathway as recommended by the Inspector-General of Biosecurity.</w:t>
            </w:r>
          </w:p>
          <w:p w14:paraId="56258688" w14:textId="2BB4224A" w:rsidR="002246A8" w:rsidRDefault="002246A8" w:rsidP="002246A8">
            <w:pPr>
              <w:pStyle w:val="TableText"/>
            </w:pPr>
            <w:r>
              <w:t xml:space="preserve">The department maintains that there are legal, practical and policy reasons it is not possible or feasible for biosecurity officers to issue infringement notices in response to noncompliance in the airfreight pathway. For example, a common breach </w:t>
            </w:r>
            <w:r w:rsidR="00EF4649">
              <w:t xml:space="preserve">for which an infringement notice </w:t>
            </w:r>
            <w:r>
              <w:t xml:space="preserve">can be issued is the provision of false or misleading information or documents (sections 532 and 533 of the </w:t>
            </w:r>
            <w:r w:rsidRPr="00E040DE">
              <w:rPr>
                <w:i/>
                <w:iCs/>
              </w:rPr>
              <w:t>Biosecurity Act 2015</w:t>
            </w:r>
            <w:r>
              <w:t xml:space="preserve">). In the airfreight pathway, the self-assessed clearance (SAC) declaration provides basic information about each consignment, including the identity of the sender and importer, consignment details and goods description, delivery location and company or business names. However, the person making a false or misleading declaration is typically overseas and is not subject to an infringement notice. </w:t>
            </w:r>
          </w:p>
          <w:p w14:paraId="78A6F9CD" w14:textId="389431D9" w:rsidR="002246A8" w:rsidRDefault="002246A8" w:rsidP="002246A8">
            <w:pPr>
              <w:pStyle w:val="TableText"/>
            </w:pPr>
            <w:r>
              <w:t>Biosecurity officers working in the airfreight pathway can report suspected noncompliance and escalate compliance action for significant breaches to the department</w:t>
            </w:r>
            <w:r w:rsidR="00EF4649">
              <w:t>’</w:t>
            </w:r>
            <w:r>
              <w:t xml:space="preserve">s Enforcement Branch, via the Non Compliance Reporting Form or </w:t>
            </w:r>
            <w:r w:rsidR="00EF4649">
              <w:t xml:space="preserve">by </w:t>
            </w:r>
            <w:r>
              <w:t>contacting the Enforcement Branch directly. They can also engage directly with regional enforcement staff.</w:t>
            </w:r>
          </w:p>
          <w:p w14:paraId="426FA9C3" w14:textId="1723796E" w:rsidR="00A87F31" w:rsidRDefault="002246A8" w:rsidP="002246A8">
            <w:pPr>
              <w:pStyle w:val="TableText"/>
            </w:pPr>
            <w:r>
              <w:t>Under the department</w:t>
            </w:r>
            <w:r w:rsidR="00EF4649">
              <w:t>’</w:t>
            </w:r>
            <w:r>
              <w:t>s Civil Sanctions Policy, for all pathways with the exception of the airport pathway, a formal investigation of alleged noncompliance is undertaken by an enforcement officer before an infringement notice can be issued for an alleged breach of a civil penalty or strict liability provision. In the airport pathway, biosecurity officers can make an immediate assessment as to whether there is an alleged breach of the Act and can immediately issue an infringement notice.</w:t>
            </w:r>
          </w:p>
        </w:tc>
        <w:tc>
          <w:tcPr>
            <w:tcW w:w="1060" w:type="dxa"/>
          </w:tcPr>
          <w:p w14:paraId="50D06578" w14:textId="7052781D" w:rsidR="00A87F31" w:rsidRDefault="002246A8" w:rsidP="00C9755E">
            <w:pPr>
              <w:pStyle w:val="TableText"/>
            </w:pPr>
            <w:r w:rsidRPr="002246A8">
              <w:t>Unsatisfactory</w:t>
            </w:r>
          </w:p>
        </w:tc>
      </w:tr>
      <w:tr w:rsidR="00AE56D6" w14:paraId="3370B80F" w14:textId="77777777" w:rsidTr="002246A8">
        <w:tc>
          <w:tcPr>
            <w:tcW w:w="1418" w:type="dxa"/>
          </w:tcPr>
          <w:p w14:paraId="35D97710" w14:textId="77777777" w:rsidR="00A87F31" w:rsidRDefault="00A87F31" w:rsidP="00C9755E">
            <w:pPr>
              <w:pStyle w:val="TableText"/>
            </w:pPr>
            <w:r w:rsidRPr="0008761A">
              <w:t xml:space="preserve">Hitchhiker pest and contaminant biosecurity risk </w:t>
            </w:r>
            <w:r w:rsidRPr="0008761A">
              <w:lastRenderedPageBreak/>
              <w:t>management in Australia</w:t>
            </w:r>
          </w:p>
        </w:tc>
        <w:tc>
          <w:tcPr>
            <w:tcW w:w="1063" w:type="dxa"/>
          </w:tcPr>
          <w:p w14:paraId="72B960B9" w14:textId="77777777" w:rsidR="00A87F31" w:rsidRDefault="00A87F31" w:rsidP="00C9755E">
            <w:pPr>
              <w:pStyle w:val="TableText"/>
            </w:pPr>
            <w:r>
              <w:lastRenderedPageBreak/>
              <w:t>July 2018</w:t>
            </w:r>
          </w:p>
        </w:tc>
        <w:tc>
          <w:tcPr>
            <w:tcW w:w="2155" w:type="dxa"/>
          </w:tcPr>
          <w:p w14:paraId="4CC09716" w14:textId="77777777" w:rsidR="00A87F31" w:rsidRDefault="00A87F31" w:rsidP="00C9755E">
            <w:pPr>
              <w:pStyle w:val="TableText"/>
            </w:pPr>
            <w:r>
              <w:t>Recommendation 0</w:t>
            </w:r>
            <w:r w:rsidRPr="0008761A">
              <w:t xml:space="preserve">3: The department should prioritise allocating resources to expand the Sea Container Hygiene System, to enable better </w:t>
            </w:r>
            <w:r w:rsidRPr="0008761A">
              <w:lastRenderedPageBreak/>
              <w:t>offshore management of sea container biosecurity risks from more countries and ports.</w:t>
            </w:r>
          </w:p>
        </w:tc>
        <w:tc>
          <w:tcPr>
            <w:tcW w:w="2736" w:type="dxa"/>
          </w:tcPr>
          <w:p w14:paraId="137106D4" w14:textId="77777777" w:rsidR="00A87F31" w:rsidRDefault="00A87F31" w:rsidP="00C9755E">
            <w:pPr>
              <w:pStyle w:val="TableText"/>
            </w:pPr>
            <w:r w:rsidRPr="0008761A">
              <w:lastRenderedPageBreak/>
              <w:t>Agreed</w:t>
            </w:r>
            <w:r>
              <w:t>.</w:t>
            </w:r>
            <w:r w:rsidRPr="0008761A">
              <w:t xml:space="preserve"> The department will ensure adequate resources are allocated to prioritise expansion of the Sea Container Hygiene System (SCHS) to more countries and ports. However, the uptake </w:t>
            </w:r>
            <w:r w:rsidRPr="0008761A">
              <w:lastRenderedPageBreak/>
              <w:t>of SCHS is dependent on the level of interest shown by industry and overseas government agencies.</w:t>
            </w:r>
          </w:p>
        </w:tc>
        <w:tc>
          <w:tcPr>
            <w:tcW w:w="5472" w:type="dxa"/>
          </w:tcPr>
          <w:p w14:paraId="0FCB7C92" w14:textId="46F635E5" w:rsidR="002246A8" w:rsidRDefault="002246A8" w:rsidP="002246A8">
            <w:pPr>
              <w:pStyle w:val="TableText"/>
            </w:pPr>
            <w:r>
              <w:lastRenderedPageBreak/>
              <w:t xml:space="preserve">The department is progressing the expansion of the Sea Container Hygiene System (SCHS) to additional facilities. The department currently recognises SCHS facilities in Fiji, Papua New Guinea and the Solomon Islands. The work is being completed in </w:t>
            </w:r>
            <w:r w:rsidR="00EF4649">
              <w:t>2</w:t>
            </w:r>
            <w:r>
              <w:t xml:space="preserve"> phases:</w:t>
            </w:r>
          </w:p>
          <w:p w14:paraId="3D6FD1B8" w14:textId="03A43957" w:rsidR="002246A8" w:rsidRDefault="002246A8" w:rsidP="002246A8">
            <w:pPr>
              <w:pStyle w:val="TableBullet"/>
            </w:pPr>
            <w:r>
              <w:lastRenderedPageBreak/>
              <w:t xml:space="preserve">Phase 1 will expand to facilities that are recognised under the New Zealand Ministry of Primary Industries (NZ MPI) SCHS agreement but not recognised by the department. </w:t>
            </w:r>
          </w:p>
          <w:p w14:paraId="1FF2E3C1" w14:textId="665AE2DA" w:rsidR="002246A8" w:rsidRDefault="002246A8" w:rsidP="002246A8">
            <w:pPr>
              <w:pStyle w:val="TableBullet"/>
            </w:pPr>
            <w:r>
              <w:t>Phase 2 will expand to recognise new facilities under the SCHS agreement, working in collaboration between the department and NZ MPI.</w:t>
            </w:r>
          </w:p>
          <w:p w14:paraId="44183802" w14:textId="47BDA9AD" w:rsidR="002246A8" w:rsidRDefault="002246A8" w:rsidP="002246A8">
            <w:pPr>
              <w:pStyle w:val="TableText"/>
            </w:pPr>
            <w:r>
              <w:t xml:space="preserve">Under phase 1, the department has identified </w:t>
            </w:r>
            <w:r w:rsidR="00EF4649">
              <w:t xml:space="preserve">3 </w:t>
            </w:r>
            <w:r>
              <w:t>facilities in Port Apia in Samoa, and Port Vila and Luganville Santo in Vanuatu. The department has undertaken preparatory work</w:t>
            </w:r>
            <w:r w:rsidR="00EF4649">
              <w:t>,</w:t>
            </w:r>
            <w:r>
              <w:t xml:space="preserve"> including the facilities passing a full desktop audit based on historical compliance intervention data held by the department. The department will engage with the identified facilities to discuss their participation in SCHS with Australia.</w:t>
            </w:r>
          </w:p>
          <w:p w14:paraId="702976D8" w14:textId="27E5CC6B" w:rsidR="002246A8" w:rsidRDefault="002246A8" w:rsidP="002246A8">
            <w:pPr>
              <w:pStyle w:val="TableText"/>
            </w:pPr>
            <w:r>
              <w:t>Under phase 2, the department has identified and will work with NZ MPI to expand the SCHS scheme to new facilities in Lautoka in Fiji, Motukea in Papua New Guinea, and Noumea in New Caledonia. The department needs to undertake preparatory work</w:t>
            </w:r>
            <w:r w:rsidR="00EF4649">
              <w:t>,</w:t>
            </w:r>
            <w:r>
              <w:t xml:space="preserve"> including engaging with and undertaking audits of the identified facilities. The department has proposed that these new facilities commence under the SCHS scheme during 2021.</w:t>
            </w:r>
          </w:p>
          <w:p w14:paraId="01C13FAC" w14:textId="736477A1" w:rsidR="002246A8" w:rsidRDefault="002246A8" w:rsidP="002246A8">
            <w:pPr>
              <w:pStyle w:val="TableText"/>
            </w:pPr>
            <w:r>
              <w:t xml:space="preserve">The department is also progressing enhancements to S-Cargo. The enhancement will separate </w:t>
            </w:r>
            <w:r w:rsidR="00135B63">
              <w:t>Integrated Cargo System (</w:t>
            </w:r>
            <w:r w:rsidRPr="00135B63">
              <w:t>ICS</w:t>
            </w:r>
            <w:r w:rsidR="00135B63">
              <w:t>)</w:t>
            </w:r>
            <w:r>
              <w:t xml:space="preserve"> messaging for S-Cargo and SeaPest, rather than relying on messaging being transmitted through ICS and S-Cargo before being received by SeaPest. The enhancement will move to a processing model instead of relying on individual messages. This will enable the pre-processing of the data and reduce the processing time and workload on the IT systems. The department</w:t>
            </w:r>
            <w:r w:rsidR="00EF4649">
              <w:t>’</w:t>
            </w:r>
            <w:r>
              <w:t>s testing has shown more than 95% improvement in processing times</w:t>
            </w:r>
            <w:r w:rsidR="00EF4649">
              <w:t xml:space="preserve"> </w:t>
            </w:r>
            <w:r w:rsidR="00EF4649">
              <w:sym w:font="Symbol" w:char="F02D"/>
            </w:r>
            <w:r w:rsidR="00EF4649">
              <w:t xml:space="preserve"> </w:t>
            </w:r>
            <w:r>
              <w:t>for example, reducing the processing of large-scale messaging from 7 hours to under 15 minutes. The enhancements are proposed to be implemented in September 2021.</w:t>
            </w:r>
          </w:p>
          <w:p w14:paraId="721FB2B4" w14:textId="2320AB72" w:rsidR="00A87F31" w:rsidRDefault="002246A8" w:rsidP="002246A8">
            <w:pPr>
              <w:pStyle w:val="TableText"/>
            </w:pPr>
            <w:r>
              <w:t>However, the department has closed this recommendation based on their proposed outcomes. The implementation of this recommendation is still in progress.</w:t>
            </w:r>
          </w:p>
        </w:tc>
        <w:tc>
          <w:tcPr>
            <w:tcW w:w="1060" w:type="dxa"/>
          </w:tcPr>
          <w:p w14:paraId="45178C5D" w14:textId="0D3E3D45" w:rsidR="00A87F31" w:rsidRDefault="002246A8" w:rsidP="00C9755E">
            <w:pPr>
              <w:pStyle w:val="TableText"/>
            </w:pPr>
            <w:r w:rsidRPr="002246A8">
              <w:lastRenderedPageBreak/>
              <w:t>Satisfactory</w:t>
            </w:r>
          </w:p>
        </w:tc>
      </w:tr>
      <w:tr w:rsidR="00AE56D6" w14:paraId="665A4EB0" w14:textId="77777777" w:rsidTr="002246A8">
        <w:tc>
          <w:tcPr>
            <w:tcW w:w="1418" w:type="dxa"/>
          </w:tcPr>
          <w:p w14:paraId="0651DCFD" w14:textId="77777777" w:rsidR="00A87F31" w:rsidRDefault="00A87F31" w:rsidP="00C9755E">
            <w:pPr>
              <w:pStyle w:val="TableText"/>
            </w:pPr>
            <w:r w:rsidRPr="0008761A">
              <w:lastRenderedPageBreak/>
              <w:t>Pest and disease interceptions and incursions in Australia</w:t>
            </w:r>
          </w:p>
        </w:tc>
        <w:tc>
          <w:tcPr>
            <w:tcW w:w="1063" w:type="dxa"/>
          </w:tcPr>
          <w:p w14:paraId="0D97789B" w14:textId="77777777" w:rsidR="00A87F31" w:rsidRDefault="00A87F31" w:rsidP="00C9755E">
            <w:pPr>
              <w:pStyle w:val="TableText"/>
            </w:pPr>
            <w:r>
              <w:t>May 2019</w:t>
            </w:r>
          </w:p>
        </w:tc>
        <w:tc>
          <w:tcPr>
            <w:tcW w:w="2155" w:type="dxa"/>
          </w:tcPr>
          <w:p w14:paraId="06FA899C" w14:textId="77777777" w:rsidR="00A87F31" w:rsidRDefault="00A87F31" w:rsidP="00C9755E">
            <w:pPr>
              <w:pStyle w:val="TableText"/>
            </w:pPr>
            <w:r>
              <w:t xml:space="preserve">Recommendation </w:t>
            </w:r>
            <w:r w:rsidRPr="0008761A">
              <w:t>02: The department should ensure that targeted annual rates of cargo compliance verification inspections at all ports are maintained at recommended levels commensurate with increasing container arrival numbers and that all non-compliances are actioned systematically and analysed regularly for trends and opportunities to improve compliance. The department should consider expanding the program beyond full container loads to include additional arrival pathways.</w:t>
            </w:r>
          </w:p>
        </w:tc>
        <w:tc>
          <w:tcPr>
            <w:tcW w:w="2736" w:type="dxa"/>
          </w:tcPr>
          <w:p w14:paraId="547DDB18" w14:textId="77777777" w:rsidR="00A87F31" w:rsidRDefault="00A87F31" w:rsidP="00C9755E">
            <w:pPr>
              <w:pStyle w:val="TableText"/>
            </w:pPr>
            <w:r w:rsidRPr="0008761A">
              <w:t>Agreed. The department is committed to the expansion of the cargo compliance verification (CCV) program and maintaining targeted annual rates of inspections as volumes increase. The department has a system in place to capture and action reported cases of non-compliance identified through CCV inspections. This information is used for trend analysis and to identify opportunities to improve compliance. Similarly, arrangements for end-point surveys are in place for international travellers and mail. The transition to automated profiling for travellers in 2018 also allows the department to quickly implement and/or change cohort and random profile selection rates for biosecurity screening at the border.</w:t>
            </w:r>
          </w:p>
        </w:tc>
        <w:tc>
          <w:tcPr>
            <w:tcW w:w="5472" w:type="dxa"/>
          </w:tcPr>
          <w:p w14:paraId="046B2638" w14:textId="1C809DC6" w:rsidR="002246A8" w:rsidRDefault="002246A8" w:rsidP="002246A8">
            <w:pPr>
              <w:pStyle w:val="TableText"/>
            </w:pPr>
            <w:r>
              <w:t>The department commenced the Air Cargo Assurance Program (ACAP) in 2020. The first priority for ACAP was to implement the Air Cargo Compliance Verification (ACCV) for the non-commercial airfreight pathway. The ACCV is a statistical based verification process to test the effectiveness of regulatory controls for managing biosecurity risks and verifying compliance in non-commercial airfreight (i.e. self-assessed clearance (SAC) consignments).</w:t>
            </w:r>
          </w:p>
          <w:p w14:paraId="7B4B151C" w14:textId="41E21210" w:rsidR="00A87F31" w:rsidRDefault="002246A8" w:rsidP="002246A8">
            <w:pPr>
              <w:pStyle w:val="TableText"/>
            </w:pPr>
            <w:r>
              <w:t>SAC ACCV profiles in the Integrated Cargo System randomly refer a percentage of SAC consignments managed by Conference of Asia Pacific Express Carriers (CAPEC) to the department’s Import Management System for verification inspection. SAC ACCV targets SAC consignments that are usually not referred to the department or released based on documents. In May 2021, there were 5,684,481 entries lodged in ICS and 527 entries were referred for ACCV documentation assessment</w:t>
            </w:r>
            <w:r w:rsidR="00EF4649">
              <w:t>,</w:t>
            </w:r>
            <w:r>
              <w:t xml:space="preserve"> including 512 entries </w:t>
            </w:r>
            <w:r w:rsidR="00EF4649">
              <w:t xml:space="preserve">that </w:t>
            </w:r>
            <w:r>
              <w:t>were referred for ACCV inspection.</w:t>
            </w:r>
          </w:p>
        </w:tc>
        <w:tc>
          <w:tcPr>
            <w:tcW w:w="1060" w:type="dxa"/>
          </w:tcPr>
          <w:p w14:paraId="0A75DADF" w14:textId="2BE7DD2D" w:rsidR="00A87F31" w:rsidRDefault="002246A8" w:rsidP="00C9755E">
            <w:pPr>
              <w:pStyle w:val="TableText"/>
            </w:pPr>
            <w:r w:rsidRPr="002246A8">
              <w:t>Optimal</w:t>
            </w:r>
          </w:p>
        </w:tc>
      </w:tr>
      <w:tr w:rsidR="00AE56D6" w14:paraId="583CE43F" w14:textId="77777777" w:rsidTr="002246A8">
        <w:tc>
          <w:tcPr>
            <w:tcW w:w="1418" w:type="dxa"/>
          </w:tcPr>
          <w:p w14:paraId="3189A030" w14:textId="77777777" w:rsidR="00A87F31" w:rsidRDefault="00A87F31" w:rsidP="00C9755E">
            <w:pPr>
              <w:pStyle w:val="TableText"/>
            </w:pPr>
            <w:r w:rsidRPr="0008761A">
              <w:t>Environmental biosecurity risk management in Australia</w:t>
            </w:r>
          </w:p>
        </w:tc>
        <w:tc>
          <w:tcPr>
            <w:tcW w:w="1063" w:type="dxa"/>
          </w:tcPr>
          <w:p w14:paraId="07D31AA5" w14:textId="77777777" w:rsidR="00A87F31" w:rsidRDefault="00A87F31" w:rsidP="00C9755E">
            <w:pPr>
              <w:pStyle w:val="TableText"/>
            </w:pPr>
            <w:r>
              <w:t>April 2019</w:t>
            </w:r>
          </w:p>
        </w:tc>
        <w:tc>
          <w:tcPr>
            <w:tcW w:w="2155" w:type="dxa"/>
          </w:tcPr>
          <w:p w14:paraId="48B1F12D" w14:textId="77777777" w:rsidR="00A87F31" w:rsidRDefault="00A87F31" w:rsidP="00C9755E">
            <w:pPr>
              <w:pStyle w:val="TableText"/>
            </w:pPr>
            <w:r>
              <w:t>Recommendation 0</w:t>
            </w:r>
            <w:r w:rsidRPr="0008761A">
              <w:t>5</w:t>
            </w:r>
            <w:r>
              <w:t xml:space="preserve">: </w:t>
            </w:r>
            <w:r w:rsidRPr="0008761A">
              <w:t xml:space="preserve">The department should establish a dynamic and transparent environmental pest and disease risk prioritisation process, informed by new scientific knowledge, to allow emerging environmental pests and diseases to be added to the priority list as they </w:t>
            </w:r>
            <w:r w:rsidRPr="0008761A">
              <w:lastRenderedPageBreak/>
              <w:t>arise. This list of priority environmental biosecurity pests and diseases, with the basis for their inclusion, should be published on the department’s website and continuously reviewed.</w:t>
            </w:r>
          </w:p>
        </w:tc>
        <w:tc>
          <w:tcPr>
            <w:tcW w:w="2736" w:type="dxa"/>
          </w:tcPr>
          <w:p w14:paraId="6D7E1EE4" w14:textId="77777777" w:rsidR="00A87F31" w:rsidRDefault="00A87F31" w:rsidP="00C9755E">
            <w:pPr>
              <w:pStyle w:val="TableText"/>
            </w:pPr>
            <w:r w:rsidRPr="0008761A">
              <w:lastRenderedPageBreak/>
              <w:t xml:space="preserve">Agreed. The department is working with ABARES to prepare and finalise the National Priority List of Exotic Environmental Pests and Diseases. Once the process is complete and each of the sectoral committees (Environment and Invasives Committee, Animal Health Committee, Marine Pests Sectoral Committee, Plant Health Committee) have been consulted on the list, the department will </w:t>
            </w:r>
            <w:r w:rsidRPr="0008761A">
              <w:lastRenderedPageBreak/>
              <w:t>engage stakeholders and ensure thorough consultation on the draft list. Following consultation, the list and final report will go to the Environment and Invasives Committee and the National Biosecurity Committee for endorsement. The priority list, along with the basis for pest &amp; disease inclusion, will be published on the department’s website. The Environmental Biosecurity Office and Chief Environmental Biosecurity Officer will play a key role in using the data from the list to develop policies that guide priority areas of work in environmental biosecurity. The list will be routinely reviewed every five years, with the first review to occur in three years. The review will include revision of the purpose, use, criteria and methodology. Provision will also be made for ad-hoc amendments to the list, which will allow for the timely addition or removal of a species to ensure that the list remains up to date. This process will be coordinated through the Environment and Invasives Committee, in consultation with the relevant sectoral committees.</w:t>
            </w:r>
          </w:p>
        </w:tc>
        <w:tc>
          <w:tcPr>
            <w:tcW w:w="5472" w:type="dxa"/>
          </w:tcPr>
          <w:p w14:paraId="2D72EA89" w14:textId="0EE4E7B5" w:rsidR="00E32BA0" w:rsidRDefault="00E32BA0" w:rsidP="00E32BA0">
            <w:pPr>
              <w:pStyle w:val="TableText"/>
            </w:pPr>
            <w:r>
              <w:lastRenderedPageBreak/>
              <w:t>The department, through the Australian Bureau of Agricultural and Resource Economics and Sciences (ABARES), led the development of the National Priority List of Exotic Environmental Pests, Weeds and Diseases (EEPL), which included a subset list of higher</w:t>
            </w:r>
            <w:r w:rsidR="00EF4649">
              <w:t xml:space="preserve"> </w:t>
            </w:r>
            <w:r>
              <w:t xml:space="preserve">risk species. </w:t>
            </w:r>
          </w:p>
          <w:p w14:paraId="2C9C523A" w14:textId="7E99CC9D" w:rsidR="00E32BA0" w:rsidRDefault="00E32BA0" w:rsidP="00E32BA0">
            <w:pPr>
              <w:pStyle w:val="TableText"/>
            </w:pPr>
            <w:r>
              <w:t>The EEPL was endorsed by the Environment and Invasives Committee in early 2020 and finalised for release by the National Biosecurity Committee in October 2020. The EEPL is published on the department</w:t>
            </w:r>
            <w:r w:rsidR="00EF4649">
              <w:t>’</w:t>
            </w:r>
            <w:r>
              <w:t>s website.</w:t>
            </w:r>
          </w:p>
          <w:p w14:paraId="040B475A" w14:textId="1973945E" w:rsidR="00E32BA0" w:rsidRDefault="00E32BA0" w:rsidP="00E32BA0">
            <w:pPr>
              <w:pStyle w:val="TableText"/>
            </w:pPr>
            <w:r>
              <w:t>The EEPL identifies 168 exotic species of significant risk to Australia</w:t>
            </w:r>
            <w:r w:rsidR="00EF4649">
              <w:t>’</w:t>
            </w:r>
            <w:r>
              <w:t xml:space="preserve">s environment and social amenity. The subset list of higher risk species identifies 42 species that pose a higher overall risk to the </w:t>
            </w:r>
            <w:r w:rsidR="00B365AA">
              <w:t>environment and</w:t>
            </w:r>
            <w:r>
              <w:t xml:space="preserve"> was compiled from the top </w:t>
            </w:r>
            <w:r w:rsidR="00EF4649">
              <w:t xml:space="preserve">5 </w:t>
            </w:r>
            <w:r>
              <w:t xml:space="preserve">or </w:t>
            </w:r>
            <w:r w:rsidR="00EF4649">
              <w:t xml:space="preserve">6 </w:t>
            </w:r>
            <w:r>
              <w:t xml:space="preserve">species across </w:t>
            </w:r>
            <w:r w:rsidR="00EF4649">
              <w:t xml:space="preserve">8 </w:t>
            </w:r>
            <w:r>
              <w:t xml:space="preserve">biological </w:t>
            </w:r>
            <w:r>
              <w:lastRenderedPageBreak/>
              <w:t>groups in the EEPL. Ad Hoc Provisions have also been developed that outline the governance, roles, responsibilities and procedures for amending and managing the EEPL.</w:t>
            </w:r>
          </w:p>
          <w:p w14:paraId="1A73FEFA" w14:textId="3F2996FE" w:rsidR="00E32BA0" w:rsidRDefault="00E32BA0" w:rsidP="00E32BA0">
            <w:pPr>
              <w:pStyle w:val="TableText"/>
            </w:pPr>
            <w:r>
              <w:t>Through a stakeholder consultation process the Australian Chief Environmental Biosecurity Officer (ACEBO) drafted the EEPL Implementation Plan in early 2021. This implementation plan categorises and prioritises actions for the Commonwealth and stakeholders that will mitigate the risk of entry, establishment and spread of EEPL species in the environment.</w:t>
            </w:r>
          </w:p>
        </w:tc>
        <w:tc>
          <w:tcPr>
            <w:tcW w:w="1060" w:type="dxa"/>
          </w:tcPr>
          <w:p w14:paraId="6F0970E5" w14:textId="5453ADB6" w:rsidR="00A87F31" w:rsidRDefault="002246A8" w:rsidP="00C9755E">
            <w:pPr>
              <w:pStyle w:val="TableText"/>
            </w:pPr>
            <w:r w:rsidRPr="002246A8">
              <w:lastRenderedPageBreak/>
              <w:t>Optimal</w:t>
            </w:r>
          </w:p>
        </w:tc>
      </w:tr>
    </w:tbl>
    <w:p w14:paraId="51A03C95" w14:textId="77777777" w:rsidR="00A87F31" w:rsidRDefault="00A87F31" w:rsidP="00A87F31">
      <w:pPr>
        <w:sectPr w:rsidR="00A87F31" w:rsidSect="00A87F31">
          <w:pgSz w:w="16838" w:h="11906" w:orient="landscape"/>
          <w:pgMar w:top="1418" w:right="1418" w:bottom="1418" w:left="1418" w:header="709" w:footer="709" w:gutter="0"/>
          <w:cols w:space="708"/>
          <w:docGrid w:linePitch="360"/>
        </w:sectPr>
      </w:pPr>
    </w:p>
    <w:p w14:paraId="13CC1DE2" w14:textId="25C6F2A8" w:rsidR="00D57507" w:rsidRPr="00595916" w:rsidRDefault="00D57507" w:rsidP="00271C3E">
      <w:pPr>
        <w:pStyle w:val="Heading2"/>
        <w:numPr>
          <w:ilvl w:val="0"/>
          <w:numId w:val="0"/>
        </w:numPr>
      </w:pPr>
      <w:bookmarkStart w:id="61" w:name="_Toc87543883"/>
      <w:r w:rsidRPr="00595916">
        <w:lastRenderedPageBreak/>
        <w:t>References</w:t>
      </w:r>
      <w:bookmarkEnd w:id="61"/>
    </w:p>
    <w:p w14:paraId="0F04D820" w14:textId="6608B2B0" w:rsidR="00BB4E10" w:rsidRDefault="00CE1215" w:rsidP="00BB4E10">
      <w:pPr>
        <w:rPr>
          <w:lang w:eastAsia="ja-JP"/>
        </w:rPr>
      </w:pPr>
      <w:r>
        <w:rPr>
          <w:lang w:eastAsia="ja-JP"/>
        </w:rPr>
        <w:t xml:space="preserve">ANAO </w:t>
      </w:r>
      <w:r w:rsidR="00D75EA7">
        <w:rPr>
          <w:lang w:eastAsia="ja-JP"/>
        </w:rPr>
        <w:t xml:space="preserve">2019, </w:t>
      </w:r>
      <w:hyperlink r:id="rId30" w:history="1">
        <w:r w:rsidR="00D75EA7" w:rsidRPr="00CE1215">
          <w:rPr>
            <w:rStyle w:val="Hyperlink"/>
          </w:rPr>
          <w:t xml:space="preserve">Implementation of the ANAO and </w:t>
        </w:r>
        <w:r w:rsidR="00D75EA7">
          <w:rPr>
            <w:rStyle w:val="Hyperlink"/>
          </w:rPr>
          <w:t>p</w:t>
        </w:r>
        <w:r w:rsidR="00D75EA7" w:rsidRPr="00CE1215">
          <w:rPr>
            <w:rStyle w:val="Hyperlink"/>
          </w:rPr>
          <w:t xml:space="preserve">arliamentary </w:t>
        </w:r>
        <w:r w:rsidR="00D75EA7">
          <w:rPr>
            <w:rStyle w:val="Hyperlink"/>
          </w:rPr>
          <w:t>c</w:t>
        </w:r>
        <w:r w:rsidR="00D75EA7" w:rsidRPr="00CE1215">
          <w:rPr>
            <w:rStyle w:val="Hyperlink"/>
          </w:rPr>
          <w:t xml:space="preserve">ommittee </w:t>
        </w:r>
        <w:r w:rsidR="00D75EA7">
          <w:rPr>
            <w:rStyle w:val="Hyperlink"/>
          </w:rPr>
          <w:t>r</w:t>
        </w:r>
        <w:r w:rsidR="00D75EA7" w:rsidRPr="00CE1215">
          <w:rPr>
            <w:rStyle w:val="Hyperlink"/>
          </w:rPr>
          <w:t>ecommendations</w:t>
        </w:r>
      </w:hyperlink>
      <w:r w:rsidR="00D75EA7">
        <w:rPr>
          <w:lang w:eastAsia="ja-JP"/>
        </w:rPr>
        <w:t>, Report 6, Australian National Audit Office, Canberra, August.</w:t>
      </w:r>
    </w:p>
    <w:p w14:paraId="1D959C0E" w14:textId="1EC0074D" w:rsidR="00CE1215" w:rsidRDefault="009D131B" w:rsidP="00CE1215">
      <w:pPr>
        <w:rPr>
          <w:lang w:eastAsia="ja-JP"/>
        </w:rPr>
      </w:pPr>
      <w:r>
        <w:rPr>
          <w:lang w:eastAsia="ja-JP"/>
        </w:rPr>
        <w:t xml:space="preserve">ANAO </w:t>
      </w:r>
      <w:r w:rsidR="00D75EA7">
        <w:rPr>
          <w:lang w:eastAsia="ja-JP"/>
        </w:rPr>
        <w:t xml:space="preserve">2021, </w:t>
      </w:r>
      <w:hyperlink r:id="rId31" w:history="1">
        <w:r w:rsidR="00D75EA7" w:rsidRPr="00212251">
          <w:rPr>
            <w:rStyle w:val="Hyperlink"/>
            <w:lang w:eastAsia="ja-JP"/>
          </w:rPr>
          <w:t xml:space="preserve">Audit </w:t>
        </w:r>
        <w:r w:rsidR="00D75EA7">
          <w:rPr>
            <w:rStyle w:val="Hyperlink"/>
            <w:lang w:eastAsia="ja-JP"/>
          </w:rPr>
          <w:t>i</w:t>
        </w:r>
        <w:r w:rsidR="00D75EA7" w:rsidRPr="00212251">
          <w:rPr>
            <w:rStyle w:val="Hyperlink"/>
            <w:lang w:eastAsia="ja-JP"/>
          </w:rPr>
          <w:t xml:space="preserve">nsights: </w:t>
        </w:r>
        <w:r w:rsidR="00D75EA7">
          <w:rPr>
            <w:rStyle w:val="Hyperlink"/>
            <w:lang w:eastAsia="ja-JP"/>
          </w:rPr>
          <w:t>i</w:t>
        </w:r>
        <w:r w:rsidR="00D75EA7" w:rsidRPr="00212251">
          <w:rPr>
            <w:rStyle w:val="Hyperlink"/>
            <w:lang w:eastAsia="ja-JP"/>
          </w:rPr>
          <w:t xml:space="preserve">mplementation of </w:t>
        </w:r>
        <w:r w:rsidR="00D75EA7">
          <w:rPr>
            <w:rStyle w:val="Hyperlink"/>
            <w:lang w:eastAsia="ja-JP"/>
          </w:rPr>
          <w:t>r</w:t>
        </w:r>
        <w:r w:rsidR="00D75EA7" w:rsidRPr="00212251">
          <w:rPr>
            <w:rStyle w:val="Hyperlink"/>
            <w:lang w:eastAsia="ja-JP"/>
          </w:rPr>
          <w:t>ecommendations, Australian National Audit Office</w:t>
        </w:r>
      </w:hyperlink>
      <w:r w:rsidR="00D75EA7">
        <w:rPr>
          <w:lang w:eastAsia="ja-JP"/>
        </w:rPr>
        <w:t>, Canberra, June.</w:t>
      </w:r>
    </w:p>
    <w:p w14:paraId="38730FB0" w14:textId="77777777" w:rsidR="00CE1215" w:rsidRDefault="00CE1215" w:rsidP="00CE1215">
      <w:pPr>
        <w:rPr>
          <w:lang w:eastAsia="ja-JP"/>
        </w:rPr>
      </w:pPr>
      <w:r>
        <w:rPr>
          <w:lang w:eastAsia="ja-JP"/>
        </w:rPr>
        <w:t xml:space="preserve">Beale, R, Fairbrother, J, Inglis, A &amp; Trebeck, D 2008, </w:t>
      </w:r>
      <w:r w:rsidRPr="00212251">
        <w:rPr>
          <w:rStyle w:val="Emphasis"/>
          <w:lang w:eastAsia="ja-JP"/>
        </w:rPr>
        <w:t>One biosecurity: a working partnership. The independent review of Australia’s quarantine and biosecurity arrangements</w:t>
      </w:r>
      <w:r>
        <w:rPr>
          <w:lang w:eastAsia="ja-JP"/>
        </w:rPr>
        <w:t>, Quarantine and Biosecurity review panel report to the Australian Government, Canberra.</w:t>
      </w:r>
    </w:p>
    <w:p w14:paraId="312D9ACC" w14:textId="719A8EFF" w:rsidR="00CE1215" w:rsidRDefault="00CE1215" w:rsidP="00CE1215">
      <w:pPr>
        <w:rPr>
          <w:lang w:eastAsia="ja-JP"/>
        </w:rPr>
      </w:pPr>
      <w:r>
        <w:rPr>
          <w:lang w:eastAsia="ja-JP"/>
        </w:rPr>
        <w:t xml:space="preserve">Callinan, I 2008, </w:t>
      </w:r>
      <w:r w:rsidRPr="00212251">
        <w:rPr>
          <w:rStyle w:val="Emphasis"/>
          <w:lang w:eastAsia="ja-JP"/>
        </w:rPr>
        <w:t>Equine influenza: the August 2007 outbreak in Australia, report of the Equine Influenza Inquiry</w:t>
      </w:r>
      <w:r>
        <w:rPr>
          <w:lang w:eastAsia="ja-JP"/>
        </w:rPr>
        <w:t>, Commonwealth of Australia, Sydney, April.</w:t>
      </w:r>
    </w:p>
    <w:p w14:paraId="516CBB3B" w14:textId="730E3D2D" w:rsidR="00C00A66" w:rsidRDefault="00C00A66" w:rsidP="00CE1215">
      <w:pPr>
        <w:rPr>
          <w:lang w:eastAsia="ja-JP"/>
        </w:rPr>
      </w:pPr>
      <w:r w:rsidRPr="00C00A66">
        <w:rPr>
          <w:lang w:eastAsia="ja-JP"/>
        </w:rPr>
        <w:t xml:space="preserve">Craik, W, Palmer, D &amp; Sheldrake, R 2017, </w:t>
      </w:r>
      <w:r w:rsidRPr="003A388D">
        <w:rPr>
          <w:rStyle w:val="Emphasis"/>
        </w:rPr>
        <w:t>Priorities for Australia’s biosecurity system, an independent review of the capacity of the national biosecurity system and its underpinning intergovernmental agreement</w:t>
      </w:r>
      <w:r w:rsidRPr="00C00A66">
        <w:rPr>
          <w:lang w:eastAsia="ja-JP"/>
        </w:rPr>
        <w:t>, Canberra, July.</w:t>
      </w:r>
    </w:p>
    <w:p w14:paraId="3D983F01" w14:textId="3D99863F" w:rsidR="00CE1215" w:rsidRDefault="00CE1215" w:rsidP="00CE1215">
      <w:pPr>
        <w:rPr>
          <w:lang w:eastAsia="ja-JP"/>
        </w:rPr>
      </w:pPr>
      <w:r>
        <w:rPr>
          <w:lang w:eastAsia="ja-JP"/>
        </w:rPr>
        <w:t>DAWE n</w:t>
      </w:r>
      <w:r w:rsidR="005A7B77">
        <w:rPr>
          <w:lang w:eastAsia="ja-JP"/>
        </w:rPr>
        <w:t>.</w:t>
      </w:r>
      <w:r>
        <w:rPr>
          <w:lang w:eastAsia="ja-JP"/>
        </w:rPr>
        <w:t>d</w:t>
      </w:r>
      <w:r w:rsidR="005A7B77">
        <w:rPr>
          <w:lang w:eastAsia="ja-JP"/>
        </w:rPr>
        <w:t>.</w:t>
      </w:r>
      <w:r>
        <w:rPr>
          <w:lang w:eastAsia="ja-JP"/>
        </w:rPr>
        <w:t xml:space="preserve">, </w:t>
      </w:r>
      <w:r w:rsidRPr="00212251">
        <w:rPr>
          <w:rStyle w:val="Emphasis"/>
          <w:lang w:eastAsia="ja-JP"/>
        </w:rPr>
        <w:t xml:space="preserve">Quick </w:t>
      </w:r>
      <w:r w:rsidR="00B351D5">
        <w:rPr>
          <w:rStyle w:val="Emphasis"/>
          <w:lang w:eastAsia="ja-JP"/>
        </w:rPr>
        <w:t>r</w:t>
      </w:r>
      <w:r w:rsidRPr="00212251">
        <w:rPr>
          <w:rStyle w:val="Emphasis"/>
          <w:lang w:eastAsia="ja-JP"/>
        </w:rPr>
        <w:t xml:space="preserve">eference </w:t>
      </w:r>
      <w:r w:rsidR="00B351D5">
        <w:rPr>
          <w:rStyle w:val="Emphasis"/>
          <w:lang w:eastAsia="ja-JP"/>
        </w:rPr>
        <w:t>g</w:t>
      </w:r>
      <w:r w:rsidRPr="00212251">
        <w:rPr>
          <w:rStyle w:val="Emphasis"/>
          <w:lang w:eastAsia="ja-JP"/>
        </w:rPr>
        <w:t>uide: Governance Module</w:t>
      </w:r>
      <w:r w:rsidRPr="00070A78">
        <w:t>, Department of Agriculture, Water and the Environment, C</w:t>
      </w:r>
      <w:r>
        <w:rPr>
          <w:lang w:eastAsia="ja-JP"/>
        </w:rPr>
        <w:t>anberra.</w:t>
      </w:r>
    </w:p>
    <w:p w14:paraId="14B5DA5D" w14:textId="6A1306B6" w:rsidR="00CE1215" w:rsidRDefault="00CE1215" w:rsidP="00CE1215">
      <w:pPr>
        <w:rPr>
          <w:lang w:eastAsia="ja-JP"/>
        </w:rPr>
      </w:pPr>
      <w:r w:rsidRPr="009F634E">
        <w:rPr>
          <w:lang w:eastAsia="ja-JP"/>
        </w:rPr>
        <w:t>DAWE 202</w:t>
      </w:r>
      <w:r w:rsidR="0020169D">
        <w:rPr>
          <w:lang w:eastAsia="ja-JP"/>
        </w:rPr>
        <w:t>1a</w:t>
      </w:r>
      <w:r w:rsidRPr="009F634E">
        <w:rPr>
          <w:lang w:eastAsia="ja-JP"/>
        </w:rPr>
        <w:t xml:space="preserve">, </w:t>
      </w:r>
      <w:hyperlink r:id="rId32" w:history="1">
        <w:r w:rsidRPr="00CE1215">
          <w:rPr>
            <w:rStyle w:val="Hyperlink"/>
          </w:rPr>
          <w:t xml:space="preserve">Annual </w:t>
        </w:r>
        <w:r w:rsidR="00B351D5">
          <w:rPr>
            <w:rStyle w:val="Hyperlink"/>
          </w:rPr>
          <w:t>r</w:t>
        </w:r>
        <w:r w:rsidRPr="00CE1215">
          <w:rPr>
            <w:rStyle w:val="Hyperlink"/>
          </w:rPr>
          <w:t>eport 2019–20</w:t>
        </w:r>
      </w:hyperlink>
      <w:r w:rsidRPr="009F634E">
        <w:rPr>
          <w:lang w:eastAsia="ja-JP"/>
        </w:rPr>
        <w:t>, Department of Agriculture, Water and the Environment, Canberra</w:t>
      </w:r>
      <w:r w:rsidR="003A388D">
        <w:rPr>
          <w:lang w:eastAsia="ja-JP"/>
        </w:rPr>
        <w:t xml:space="preserve">, </w:t>
      </w:r>
      <w:r w:rsidR="0020169D">
        <w:rPr>
          <w:lang w:eastAsia="ja-JP"/>
        </w:rPr>
        <w:t>September</w:t>
      </w:r>
      <w:r w:rsidR="00B351D5">
        <w:rPr>
          <w:lang w:eastAsia="ja-JP"/>
        </w:rPr>
        <w:t>.</w:t>
      </w:r>
    </w:p>
    <w:p w14:paraId="1F86E2D3" w14:textId="73BD3670" w:rsidR="00CE1215" w:rsidRDefault="00CE1215" w:rsidP="00CE1215">
      <w:pPr>
        <w:rPr>
          <w:lang w:eastAsia="ja-JP"/>
        </w:rPr>
      </w:pPr>
      <w:r>
        <w:rPr>
          <w:lang w:eastAsia="ja-JP"/>
        </w:rPr>
        <w:t>DAWE 2021</w:t>
      </w:r>
      <w:r w:rsidR="0020169D">
        <w:rPr>
          <w:lang w:eastAsia="ja-JP"/>
        </w:rPr>
        <w:t>b</w:t>
      </w:r>
      <w:r>
        <w:rPr>
          <w:lang w:eastAsia="ja-JP"/>
        </w:rPr>
        <w:t xml:space="preserve">, </w:t>
      </w:r>
      <w:hyperlink r:id="rId33" w:history="1">
        <w:r w:rsidRPr="00212251">
          <w:rPr>
            <w:rStyle w:val="Hyperlink"/>
            <w:lang w:eastAsia="ja-JP"/>
          </w:rPr>
          <w:t>Commonwealth Biosecurity 2030</w:t>
        </w:r>
      </w:hyperlink>
      <w:r>
        <w:rPr>
          <w:lang w:eastAsia="ja-JP"/>
        </w:rPr>
        <w:t>, Department of Agriculture, Water and the Environment, Canberra, May.</w:t>
      </w:r>
    </w:p>
    <w:p w14:paraId="0999729D" w14:textId="2FE0ADAE" w:rsidR="00CE1215" w:rsidRDefault="009D131B" w:rsidP="00CE1215">
      <w:pPr>
        <w:rPr>
          <w:lang w:eastAsia="ja-JP"/>
        </w:rPr>
      </w:pPr>
      <w:r>
        <w:rPr>
          <w:lang w:eastAsia="ja-JP"/>
        </w:rPr>
        <w:t xml:space="preserve">IIGB </w:t>
      </w:r>
      <w:r w:rsidR="00CE1215">
        <w:rPr>
          <w:lang w:eastAsia="ja-JP"/>
        </w:rPr>
        <w:t xml:space="preserve">2015, </w:t>
      </w:r>
      <w:hyperlink r:id="rId34" w:history="1">
        <w:r w:rsidR="00CE1215" w:rsidRPr="00212251">
          <w:rPr>
            <w:rStyle w:val="Hyperlink"/>
            <w:lang w:eastAsia="ja-JP"/>
          </w:rPr>
          <w:t>Implementation of previous Interim Inspector-General of Biosecurity recommendations</w:t>
        </w:r>
      </w:hyperlink>
      <w:r w:rsidR="00CE1215">
        <w:rPr>
          <w:lang w:eastAsia="ja-JP"/>
        </w:rPr>
        <w:t xml:space="preserve">, </w:t>
      </w:r>
      <w:r w:rsidRPr="009D131B">
        <w:rPr>
          <w:lang w:eastAsia="ja-JP"/>
        </w:rPr>
        <w:t>Interim Inspector-General of Biosecurity</w:t>
      </w:r>
      <w:r>
        <w:rPr>
          <w:lang w:eastAsia="ja-JP"/>
        </w:rPr>
        <w:t xml:space="preserve">, </w:t>
      </w:r>
      <w:r w:rsidR="00CE1215">
        <w:rPr>
          <w:lang w:eastAsia="ja-JP"/>
        </w:rPr>
        <w:t>Department of Agriculture, Canberra, August.</w:t>
      </w:r>
    </w:p>
    <w:p w14:paraId="5ECEA52F" w14:textId="3D8F3E4E" w:rsidR="00CE1215" w:rsidRDefault="009D131B" w:rsidP="00CE1215">
      <w:pPr>
        <w:rPr>
          <w:lang w:eastAsia="ja-JP"/>
        </w:rPr>
      </w:pPr>
      <w:r>
        <w:rPr>
          <w:lang w:eastAsia="ja-JP"/>
        </w:rPr>
        <w:t xml:space="preserve">IIGB </w:t>
      </w:r>
      <w:r w:rsidR="00CE1215">
        <w:rPr>
          <w:lang w:eastAsia="ja-JP"/>
        </w:rPr>
        <w:t xml:space="preserve">2016, </w:t>
      </w:r>
      <w:hyperlink r:id="rId35" w:history="1">
        <w:r w:rsidR="00CE1215" w:rsidRPr="00212251">
          <w:rPr>
            <w:rStyle w:val="Hyperlink"/>
            <w:lang w:eastAsia="ja-JP"/>
          </w:rPr>
          <w:t>Implementation of previous Interim Inspector-General of Biosecurity recommendations</w:t>
        </w:r>
        <w:r w:rsidR="00B351D5">
          <w:rPr>
            <w:rStyle w:val="Hyperlink"/>
            <w:lang w:eastAsia="ja-JP"/>
          </w:rPr>
          <w:t xml:space="preserve"> </w:t>
        </w:r>
        <w:r w:rsidR="00B351D5">
          <w:rPr>
            <w:rStyle w:val="Hyperlink"/>
            <w:lang w:eastAsia="ja-JP"/>
          </w:rPr>
          <w:sym w:font="Symbol" w:char="F02D"/>
        </w:r>
        <w:r w:rsidR="00B351D5">
          <w:rPr>
            <w:rStyle w:val="Hyperlink"/>
            <w:lang w:eastAsia="ja-JP"/>
          </w:rPr>
          <w:t xml:space="preserve"> </w:t>
        </w:r>
        <w:r w:rsidR="00CE1215" w:rsidRPr="00212251">
          <w:rPr>
            <w:rStyle w:val="Hyperlink"/>
            <w:lang w:eastAsia="ja-JP"/>
          </w:rPr>
          <w:t>review April 2016</w:t>
        </w:r>
      </w:hyperlink>
      <w:r w:rsidR="00CE1215">
        <w:rPr>
          <w:lang w:eastAsia="ja-JP"/>
        </w:rPr>
        <w:t xml:space="preserve">, </w:t>
      </w:r>
      <w:r w:rsidRPr="009D131B">
        <w:rPr>
          <w:lang w:eastAsia="ja-JP"/>
        </w:rPr>
        <w:t>Interim Inspector-General of Biosecurity</w:t>
      </w:r>
      <w:r>
        <w:rPr>
          <w:lang w:eastAsia="ja-JP"/>
        </w:rPr>
        <w:t xml:space="preserve">, </w:t>
      </w:r>
      <w:r w:rsidR="00CE1215">
        <w:rPr>
          <w:lang w:eastAsia="ja-JP"/>
        </w:rPr>
        <w:t>Department of Agriculture, Canberra, April.</w:t>
      </w:r>
    </w:p>
    <w:p w14:paraId="38A3E619" w14:textId="44262E9B" w:rsidR="00CE1215" w:rsidRDefault="00CE1215" w:rsidP="00CE1215">
      <w:pPr>
        <w:rPr>
          <w:lang w:eastAsia="ja-JP"/>
        </w:rPr>
      </w:pPr>
      <w:r>
        <w:rPr>
          <w:lang w:eastAsia="ja-JP"/>
        </w:rPr>
        <w:t xml:space="preserve">IGB </w:t>
      </w:r>
      <w:r w:rsidR="009D131B">
        <w:rPr>
          <w:lang w:eastAsia="ja-JP"/>
        </w:rPr>
        <w:t>2019</w:t>
      </w:r>
      <w:r w:rsidR="0093665D">
        <w:rPr>
          <w:lang w:eastAsia="ja-JP"/>
        </w:rPr>
        <w:t>,</w:t>
      </w:r>
      <w:r>
        <w:rPr>
          <w:lang w:eastAsia="ja-JP"/>
        </w:rPr>
        <w:t xml:space="preserve"> </w:t>
      </w:r>
      <w:r w:rsidRPr="00212251">
        <w:rPr>
          <w:rStyle w:val="Emphasis"/>
          <w:lang w:eastAsia="ja-JP"/>
        </w:rPr>
        <w:t>IGB–</w:t>
      </w:r>
      <w:r w:rsidR="00B351D5">
        <w:rPr>
          <w:rStyle w:val="Emphasis"/>
          <w:lang w:eastAsia="ja-JP"/>
        </w:rPr>
        <w:t>d</w:t>
      </w:r>
      <w:r w:rsidRPr="00212251">
        <w:rPr>
          <w:rStyle w:val="Emphasis"/>
          <w:lang w:eastAsia="ja-JP"/>
        </w:rPr>
        <w:t>epartment (</w:t>
      </w:r>
      <w:r w:rsidR="00B351D5">
        <w:rPr>
          <w:rStyle w:val="Emphasis"/>
          <w:lang w:eastAsia="ja-JP"/>
        </w:rPr>
        <w:t>c</w:t>
      </w:r>
      <w:r w:rsidRPr="00212251">
        <w:rPr>
          <w:rStyle w:val="Emphasis"/>
          <w:lang w:eastAsia="ja-JP"/>
        </w:rPr>
        <w:t xml:space="preserve">orporate) protocol: </w:t>
      </w:r>
      <w:r w:rsidR="00B351D5">
        <w:rPr>
          <w:rStyle w:val="Emphasis"/>
          <w:lang w:eastAsia="ja-JP"/>
        </w:rPr>
        <w:t>p</w:t>
      </w:r>
      <w:r w:rsidRPr="00212251">
        <w:rPr>
          <w:rStyle w:val="Emphasis"/>
          <w:lang w:eastAsia="ja-JP"/>
        </w:rPr>
        <w:t xml:space="preserve">rotocol for management of IGB’s review recommendations in the Planning Hub’s Governance </w:t>
      </w:r>
      <w:r w:rsidR="00B351D5">
        <w:rPr>
          <w:rStyle w:val="Emphasis"/>
          <w:lang w:eastAsia="ja-JP"/>
        </w:rPr>
        <w:t>M</w:t>
      </w:r>
      <w:r w:rsidRPr="00212251">
        <w:rPr>
          <w:rStyle w:val="Emphasis"/>
          <w:lang w:eastAsia="ja-JP"/>
        </w:rPr>
        <w:t>odule by the Department of Agriculture’s biosecurity divisions</w:t>
      </w:r>
      <w:r>
        <w:rPr>
          <w:lang w:eastAsia="ja-JP"/>
        </w:rPr>
        <w:t>, Inspector-General of Biosecurity, Department of Agriculture, Water and the Environment, Canberra.</w:t>
      </w:r>
    </w:p>
    <w:p w14:paraId="02BF27C0" w14:textId="57C63281" w:rsidR="00CE1215" w:rsidRDefault="0034115A" w:rsidP="00CE1215">
      <w:pPr>
        <w:rPr>
          <w:lang w:eastAsia="ja-JP"/>
        </w:rPr>
      </w:pPr>
      <w:r>
        <w:rPr>
          <w:lang w:eastAsia="ja-JP"/>
        </w:rPr>
        <w:t xml:space="preserve">IGB </w:t>
      </w:r>
      <w:r w:rsidR="00CE1215">
        <w:rPr>
          <w:lang w:eastAsia="ja-JP"/>
        </w:rPr>
        <w:t xml:space="preserve">2018, </w:t>
      </w:r>
      <w:hyperlink r:id="rId36" w:history="1">
        <w:r>
          <w:rPr>
            <w:rStyle w:val="Hyperlink"/>
            <w:lang w:eastAsia="ja-JP"/>
          </w:rPr>
          <w:t>Implementation of Interim Inspector-General of Biosecurity recommendations</w:t>
        </w:r>
      </w:hyperlink>
      <w:r w:rsidRPr="00A475F2">
        <w:t>, Inspector-General of Biosecurity</w:t>
      </w:r>
      <w:r w:rsidR="00CE1215">
        <w:rPr>
          <w:lang w:eastAsia="ja-JP"/>
        </w:rPr>
        <w:t>, Department of Agriculture, Water and the Environment, Canberra, September.</w:t>
      </w:r>
    </w:p>
    <w:p w14:paraId="7A649BFB" w14:textId="36E4A8D3" w:rsidR="00CE1215" w:rsidRDefault="0034115A" w:rsidP="00CE1215">
      <w:pPr>
        <w:rPr>
          <w:lang w:eastAsia="ja-JP"/>
        </w:rPr>
      </w:pPr>
      <w:r>
        <w:rPr>
          <w:lang w:eastAsia="ja-JP"/>
        </w:rPr>
        <w:t xml:space="preserve">IGB </w:t>
      </w:r>
      <w:r w:rsidR="00CE1215">
        <w:rPr>
          <w:lang w:eastAsia="ja-JP"/>
        </w:rPr>
        <w:t xml:space="preserve">2019, </w:t>
      </w:r>
      <w:hyperlink r:id="rId37" w:history="1">
        <w:r>
          <w:rPr>
            <w:rStyle w:val="Hyperlink"/>
            <w:lang w:eastAsia="ja-JP"/>
          </w:rPr>
          <w:t>Implementation of Inspector-General of Biosecurity recommendations</w:t>
        </w:r>
      </w:hyperlink>
      <w:r w:rsidR="00CE1215">
        <w:rPr>
          <w:lang w:eastAsia="ja-JP"/>
        </w:rPr>
        <w:t xml:space="preserve">, </w:t>
      </w:r>
      <w:r w:rsidRPr="0034115A">
        <w:rPr>
          <w:lang w:eastAsia="ja-JP"/>
        </w:rPr>
        <w:t>Inspector-General of Biosecurity</w:t>
      </w:r>
      <w:r>
        <w:rPr>
          <w:lang w:eastAsia="ja-JP"/>
        </w:rPr>
        <w:t xml:space="preserve">, </w:t>
      </w:r>
      <w:r w:rsidR="00CE1215">
        <w:rPr>
          <w:lang w:eastAsia="ja-JP"/>
        </w:rPr>
        <w:t>Department of Agriculture, Water and the Environment, Canberra, July.</w:t>
      </w:r>
    </w:p>
    <w:p w14:paraId="14513D72" w14:textId="61505F98" w:rsidR="00E019D9" w:rsidRDefault="00E019D9" w:rsidP="00CE1215">
      <w:pPr>
        <w:rPr>
          <w:lang w:eastAsia="ja-JP"/>
        </w:rPr>
      </w:pPr>
      <w:r>
        <w:t xml:space="preserve">IGB 2020, </w:t>
      </w:r>
      <w:hyperlink r:id="rId38" w:history="1">
        <w:r w:rsidRPr="00E019D9">
          <w:rPr>
            <w:rStyle w:val="Hyperlink"/>
          </w:rPr>
          <w:t>Biosecurity risk management of international express airfreight pathway for non-commercial consignments</w:t>
        </w:r>
      </w:hyperlink>
      <w:r>
        <w:t>, Inspector-General of Biosecurity, Department of Agriculture, Water and the Environment, Canberra, July.</w:t>
      </w:r>
    </w:p>
    <w:p w14:paraId="06EAA29A" w14:textId="24224F56" w:rsidR="00CE1215" w:rsidRDefault="0034115A" w:rsidP="00CE1215">
      <w:pPr>
        <w:rPr>
          <w:lang w:eastAsia="ja-JP"/>
        </w:rPr>
      </w:pPr>
      <w:r>
        <w:rPr>
          <w:lang w:eastAsia="ja-JP"/>
        </w:rPr>
        <w:lastRenderedPageBreak/>
        <w:t xml:space="preserve">IGB </w:t>
      </w:r>
      <w:r w:rsidR="00CE1215">
        <w:rPr>
          <w:lang w:eastAsia="ja-JP"/>
        </w:rPr>
        <w:t xml:space="preserve">2021, </w:t>
      </w:r>
      <w:hyperlink r:id="rId39" w:history="1">
        <w:r w:rsidR="00CE1215" w:rsidRPr="00212251">
          <w:rPr>
            <w:rStyle w:val="Hyperlink"/>
            <w:lang w:eastAsia="ja-JP"/>
          </w:rPr>
          <w:t>Adequacy of department’s operational model to effectively mitigate biosecurity risks in evolving risk and business environments</w:t>
        </w:r>
      </w:hyperlink>
      <w:r w:rsidR="00CE1215">
        <w:rPr>
          <w:lang w:eastAsia="ja-JP"/>
        </w:rPr>
        <w:t>, Inspector-General of Biosecurity, Department of Agriculture, Water and the Environment, Canberra, February.</w:t>
      </w:r>
    </w:p>
    <w:p w14:paraId="70BA943F" w14:textId="4801C321" w:rsidR="001537DD" w:rsidRDefault="001537DD" w:rsidP="00CE1215">
      <w:pPr>
        <w:rPr>
          <w:lang w:eastAsia="ja-JP"/>
        </w:rPr>
      </w:pPr>
      <w:r>
        <w:rPr>
          <w:lang w:eastAsia="ja-JP"/>
        </w:rPr>
        <w:t>Littleproud</w:t>
      </w:r>
      <w:r w:rsidRPr="001537DD">
        <w:rPr>
          <w:lang w:eastAsia="ja-JP"/>
        </w:rPr>
        <w:t xml:space="preserve">, </w:t>
      </w:r>
      <w:r>
        <w:rPr>
          <w:lang w:eastAsia="ja-JP"/>
        </w:rPr>
        <w:t>D</w:t>
      </w:r>
      <w:r w:rsidRPr="001537DD">
        <w:rPr>
          <w:lang w:eastAsia="ja-JP"/>
        </w:rPr>
        <w:t xml:space="preserve"> 2020, </w:t>
      </w:r>
      <w:hyperlink r:id="rId40" w:history="1">
        <w:r w:rsidRPr="00A475F2">
          <w:rPr>
            <w:rStyle w:val="Hyperlink"/>
          </w:rPr>
          <w:t>Ramping up biosecurity to keep ASF out of Australia</w:t>
        </w:r>
      </w:hyperlink>
      <w:r w:rsidRPr="001537DD">
        <w:rPr>
          <w:lang w:eastAsia="ja-JP"/>
        </w:rPr>
        <w:t xml:space="preserve">, media release, the Hon. </w:t>
      </w:r>
      <w:r>
        <w:rPr>
          <w:lang w:eastAsia="ja-JP"/>
        </w:rPr>
        <w:t>David Littleproud</w:t>
      </w:r>
      <w:r w:rsidRPr="001537DD">
        <w:rPr>
          <w:lang w:eastAsia="ja-JP"/>
        </w:rPr>
        <w:t xml:space="preserve"> MP, Minister for </w:t>
      </w:r>
      <w:r>
        <w:rPr>
          <w:lang w:eastAsia="ja-JP"/>
        </w:rPr>
        <w:t>Agriculture</w:t>
      </w:r>
      <w:r w:rsidRPr="001537DD">
        <w:rPr>
          <w:lang w:eastAsia="ja-JP"/>
        </w:rPr>
        <w:t xml:space="preserve">, Canberra, </w:t>
      </w:r>
      <w:r>
        <w:rPr>
          <w:lang w:eastAsia="ja-JP"/>
        </w:rPr>
        <w:t>March</w:t>
      </w:r>
      <w:r w:rsidRPr="001537DD">
        <w:rPr>
          <w:lang w:eastAsia="ja-JP"/>
        </w:rPr>
        <w:t xml:space="preserve">, accessed </w:t>
      </w:r>
      <w:r>
        <w:rPr>
          <w:lang w:eastAsia="ja-JP"/>
        </w:rPr>
        <w:t>23 November </w:t>
      </w:r>
      <w:r w:rsidRPr="001537DD">
        <w:rPr>
          <w:lang w:eastAsia="ja-JP"/>
        </w:rPr>
        <w:t>2021.</w:t>
      </w:r>
    </w:p>
    <w:p w14:paraId="6653B1B9" w14:textId="2333C0F7" w:rsidR="00781A72" w:rsidRDefault="00781A72" w:rsidP="00781A72">
      <w:pPr>
        <w:rPr>
          <w:lang w:eastAsia="ja-JP"/>
        </w:rPr>
      </w:pPr>
      <w:r>
        <w:rPr>
          <w:lang w:eastAsia="ja-JP"/>
        </w:rPr>
        <w:t>Littleproud</w:t>
      </w:r>
      <w:r w:rsidRPr="001537DD">
        <w:rPr>
          <w:lang w:eastAsia="ja-JP"/>
        </w:rPr>
        <w:t xml:space="preserve">, </w:t>
      </w:r>
      <w:r>
        <w:rPr>
          <w:lang w:eastAsia="ja-JP"/>
        </w:rPr>
        <w:t>D</w:t>
      </w:r>
      <w:r w:rsidRPr="001537DD">
        <w:rPr>
          <w:lang w:eastAsia="ja-JP"/>
        </w:rPr>
        <w:t xml:space="preserve"> 202</w:t>
      </w:r>
      <w:r>
        <w:rPr>
          <w:lang w:eastAsia="ja-JP"/>
        </w:rPr>
        <w:t>1a</w:t>
      </w:r>
      <w:r w:rsidRPr="001537DD">
        <w:rPr>
          <w:lang w:eastAsia="ja-JP"/>
        </w:rPr>
        <w:t xml:space="preserve">, </w:t>
      </w:r>
      <w:hyperlink r:id="rId41" w:history="1">
        <w:r w:rsidR="004147D5">
          <w:rPr>
            <w:rStyle w:val="Hyperlink"/>
          </w:rPr>
          <w:t>Biosecurity for a safe Australia and thriving farming sector</w:t>
        </w:r>
      </w:hyperlink>
      <w:r w:rsidRPr="001537DD">
        <w:rPr>
          <w:lang w:eastAsia="ja-JP"/>
        </w:rPr>
        <w:t xml:space="preserve">, media release, the Hon. </w:t>
      </w:r>
      <w:r>
        <w:rPr>
          <w:lang w:eastAsia="ja-JP"/>
        </w:rPr>
        <w:t>David Littleproud</w:t>
      </w:r>
      <w:r w:rsidRPr="001537DD">
        <w:rPr>
          <w:lang w:eastAsia="ja-JP"/>
        </w:rPr>
        <w:t xml:space="preserve"> MP, Minister for </w:t>
      </w:r>
      <w:r>
        <w:rPr>
          <w:lang w:eastAsia="ja-JP"/>
        </w:rPr>
        <w:t>Agriculture</w:t>
      </w:r>
      <w:r w:rsidRPr="001537DD">
        <w:rPr>
          <w:lang w:eastAsia="ja-JP"/>
        </w:rPr>
        <w:t xml:space="preserve">, Canberra, </w:t>
      </w:r>
      <w:r>
        <w:rPr>
          <w:lang w:eastAsia="ja-JP"/>
        </w:rPr>
        <w:t>May</w:t>
      </w:r>
      <w:r w:rsidRPr="001537DD">
        <w:rPr>
          <w:lang w:eastAsia="ja-JP"/>
        </w:rPr>
        <w:t xml:space="preserve">, accessed </w:t>
      </w:r>
      <w:r>
        <w:rPr>
          <w:lang w:eastAsia="ja-JP"/>
        </w:rPr>
        <w:t>23 November </w:t>
      </w:r>
      <w:r w:rsidRPr="001537DD">
        <w:rPr>
          <w:lang w:eastAsia="ja-JP"/>
        </w:rPr>
        <w:t>2021.</w:t>
      </w:r>
    </w:p>
    <w:p w14:paraId="52D88D1F" w14:textId="3AB7612F" w:rsidR="005140F5" w:rsidRDefault="005140F5" w:rsidP="005140F5">
      <w:pPr>
        <w:rPr>
          <w:lang w:eastAsia="ja-JP"/>
        </w:rPr>
      </w:pPr>
      <w:r>
        <w:rPr>
          <w:lang w:eastAsia="ja-JP"/>
        </w:rPr>
        <w:t>Littleproud</w:t>
      </w:r>
      <w:r w:rsidRPr="001537DD">
        <w:rPr>
          <w:lang w:eastAsia="ja-JP"/>
        </w:rPr>
        <w:t xml:space="preserve">, </w:t>
      </w:r>
      <w:r>
        <w:rPr>
          <w:lang w:eastAsia="ja-JP"/>
        </w:rPr>
        <w:t>D</w:t>
      </w:r>
      <w:r w:rsidRPr="001537DD">
        <w:rPr>
          <w:lang w:eastAsia="ja-JP"/>
        </w:rPr>
        <w:t xml:space="preserve"> 202</w:t>
      </w:r>
      <w:r>
        <w:rPr>
          <w:lang w:eastAsia="ja-JP"/>
        </w:rPr>
        <w:t>1</w:t>
      </w:r>
      <w:r w:rsidR="004147D5">
        <w:rPr>
          <w:lang w:eastAsia="ja-JP"/>
        </w:rPr>
        <w:t>b</w:t>
      </w:r>
      <w:r w:rsidRPr="001537DD">
        <w:rPr>
          <w:lang w:eastAsia="ja-JP"/>
        </w:rPr>
        <w:t xml:space="preserve">, </w:t>
      </w:r>
      <w:hyperlink r:id="rId42" w:history="1">
        <w:r w:rsidR="004147D5">
          <w:rPr>
            <w:rStyle w:val="Hyperlink"/>
          </w:rPr>
          <w:t>Morrison Government delivers new AgMove support to help boost harvest workforce</w:t>
        </w:r>
      </w:hyperlink>
      <w:r w:rsidRPr="001537DD">
        <w:rPr>
          <w:lang w:eastAsia="ja-JP"/>
        </w:rPr>
        <w:t xml:space="preserve">, media release, the Hon. </w:t>
      </w:r>
      <w:r>
        <w:rPr>
          <w:lang w:eastAsia="ja-JP"/>
        </w:rPr>
        <w:t>David Littleproud</w:t>
      </w:r>
      <w:r w:rsidRPr="001537DD">
        <w:rPr>
          <w:lang w:eastAsia="ja-JP"/>
        </w:rPr>
        <w:t xml:space="preserve"> MP, Minister for </w:t>
      </w:r>
      <w:r>
        <w:rPr>
          <w:lang w:eastAsia="ja-JP"/>
        </w:rPr>
        <w:t>Agriculture</w:t>
      </w:r>
      <w:r w:rsidRPr="001537DD">
        <w:rPr>
          <w:lang w:eastAsia="ja-JP"/>
        </w:rPr>
        <w:t xml:space="preserve">, Canberra, </w:t>
      </w:r>
      <w:r>
        <w:rPr>
          <w:lang w:eastAsia="ja-JP"/>
        </w:rPr>
        <w:t>May</w:t>
      </w:r>
      <w:r w:rsidRPr="001537DD">
        <w:rPr>
          <w:lang w:eastAsia="ja-JP"/>
        </w:rPr>
        <w:t xml:space="preserve">, accessed </w:t>
      </w:r>
      <w:r>
        <w:rPr>
          <w:lang w:eastAsia="ja-JP"/>
        </w:rPr>
        <w:t>23 November </w:t>
      </w:r>
      <w:r w:rsidRPr="001537DD">
        <w:rPr>
          <w:lang w:eastAsia="ja-JP"/>
        </w:rPr>
        <w:t>2021.</w:t>
      </w:r>
    </w:p>
    <w:p w14:paraId="2197209E" w14:textId="081D8D18" w:rsidR="00CE1215" w:rsidRDefault="00CE1215" w:rsidP="00CE1215">
      <w:pPr>
        <w:rPr>
          <w:lang w:eastAsia="ja-JP"/>
        </w:rPr>
      </w:pPr>
      <w:r>
        <w:rPr>
          <w:lang w:eastAsia="ja-JP"/>
        </w:rPr>
        <w:t xml:space="preserve">Nairn, ME, Allen, PG, Inglis, AR &amp; Tanner, C 1996, </w:t>
      </w:r>
      <w:r w:rsidRPr="005C66EC">
        <w:rPr>
          <w:rStyle w:val="Emphasis"/>
          <w:lang w:eastAsia="ja-JP"/>
        </w:rPr>
        <w:t>Australian quarantine: a shared responsibility</w:t>
      </w:r>
      <w:r>
        <w:rPr>
          <w:lang w:eastAsia="ja-JP"/>
        </w:rPr>
        <w:t>, Australian Government Department of Primary Industries and Energy, Canberra, October.</w:t>
      </w:r>
    </w:p>
    <w:p w14:paraId="46E0132D" w14:textId="71577A4E" w:rsidR="00D57507" w:rsidRPr="00595916" w:rsidRDefault="00CE1215" w:rsidP="00CE120A">
      <w:pPr>
        <w:rPr>
          <w:lang w:eastAsia="ja-JP"/>
        </w:rPr>
      </w:pPr>
      <w:r>
        <w:rPr>
          <w:lang w:eastAsia="ja-JP"/>
        </w:rPr>
        <w:t xml:space="preserve">Turner, B 2020, </w:t>
      </w:r>
      <w:hyperlink r:id="rId43" w:history="1">
        <w:r w:rsidR="00880D2D" w:rsidRPr="003A388D">
          <w:rPr>
            <w:rStyle w:val="Hyperlink"/>
          </w:rPr>
          <w:t>Reporting on the Status of Audit Recommendations</w:t>
        </w:r>
      </w:hyperlink>
      <w:r w:rsidRPr="005C66EC">
        <w:rPr>
          <w:lang w:eastAsia="ja-JP"/>
        </w:rPr>
        <w:t>, Institute of Internal Auditors, Sydney</w:t>
      </w:r>
      <w:r>
        <w:rPr>
          <w:lang w:eastAsia="ja-JP"/>
        </w:rPr>
        <w:t>.</w:t>
      </w:r>
    </w:p>
    <w:sectPr w:rsidR="00D57507" w:rsidRPr="00595916" w:rsidSect="00A87F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6BD1" w14:textId="77777777" w:rsidR="006B661B" w:rsidRDefault="006B661B" w:rsidP="00CE120A">
      <w:r>
        <w:separator/>
      </w:r>
    </w:p>
  </w:endnote>
  <w:endnote w:type="continuationSeparator" w:id="0">
    <w:p w14:paraId="7F39A54B" w14:textId="77777777" w:rsidR="006B661B" w:rsidRDefault="006B661B" w:rsidP="00CE120A">
      <w:r>
        <w:continuationSeparator/>
      </w:r>
    </w:p>
  </w:endnote>
  <w:endnote w:type="continuationNotice" w:id="1">
    <w:p w14:paraId="186176DF" w14:textId="77777777" w:rsidR="006B661B" w:rsidRDefault="006B66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574D" w14:textId="77777777" w:rsidR="00C75907" w:rsidRDefault="00C75907">
    <w:pPr>
      <w:pStyle w:val="Footer"/>
    </w:pPr>
    <w:r>
      <w:t>Inspector-General of Biosecurity</w:t>
    </w:r>
  </w:p>
  <w:p w14:paraId="56A316B6" w14:textId="544C0FBE" w:rsidR="00C75907" w:rsidRDefault="00D60801">
    <w:pPr>
      <w:pStyle w:val="Footer"/>
    </w:pPr>
    <w:sdt>
      <w:sdtPr>
        <w:id w:val="-178581433"/>
        <w:docPartObj>
          <w:docPartGallery w:val="Page Numbers (Bottom of Page)"/>
          <w:docPartUnique/>
        </w:docPartObj>
      </w:sdtPr>
      <w:sdtEndPr>
        <w:rPr>
          <w:noProof/>
        </w:rPr>
      </w:sdtEndPr>
      <w:sdtContent>
        <w:r w:rsidR="00C75907">
          <w:fldChar w:fldCharType="begin"/>
        </w:r>
        <w:r w:rsidR="00C75907">
          <w:instrText xml:space="preserve"> PAGE   \* MERGEFORMAT </w:instrText>
        </w:r>
        <w:r w:rsidR="00C75907">
          <w:fldChar w:fldCharType="separate"/>
        </w:r>
        <w:r w:rsidR="00C75907">
          <w:rPr>
            <w:noProof/>
          </w:rPr>
          <w:t>2</w:t>
        </w:r>
        <w:r w:rsidR="00C7590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5A8F" w14:textId="77777777" w:rsidR="006B661B" w:rsidRDefault="006B661B" w:rsidP="00CE120A">
      <w:r>
        <w:separator/>
      </w:r>
    </w:p>
  </w:footnote>
  <w:footnote w:type="continuationSeparator" w:id="0">
    <w:p w14:paraId="2E5DF1BB" w14:textId="77777777" w:rsidR="006B661B" w:rsidRDefault="006B661B" w:rsidP="00CE120A">
      <w:r>
        <w:continuationSeparator/>
      </w:r>
    </w:p>
  </w:footnote>
  <w:footnote w:type="continuationNotice" w:id="1">
    <w:p w14:paraId="192937FF" w14:textId="77777777" w:rsidR="006B661B" w:rsidRDefault="006B661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0757" w14:textId="4C68E016" w:rsidR="00C75907" w:rsidRPr="00C243F2" w:rsidRDefault="00C75907" w:rsidP="00CE120A">
    <w:pPr>
      <w:pStyle w:val="Header"/>
    </w:pPr>
    <w:r w:rsidRPr="003E7A86">
      <w:t>Accountable implementation of Inspectors-General of Biosecurity review recommendations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CDD7" w14:textId="7F6B0457" w:rsidR="00C75907" w:rsidRDefault="00C75907" w:rsidP="00F2519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7EFA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006C5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E6407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945AE55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C0883E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6A6C97"/>
    <w:multiLevelType w:val="multilevel"/>
    <w:tmpl w:val="50A641D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0615791E"/>
    <w:multiLevelType w:val="multilevel"/>
    <w:tmpl w:val="50A641D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D26265A"/>
    <w:multiLevelType w:val="multilevel"/>
    <w:tmpl w:val="0C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0E4778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D73DEB"/>
    <w:multiLevelType w:val="hybridMultilevel"/>
    <w:tmpl w:val="3B8CC416"/>
    <w:lvl w:ilvl="0" w:tplc="2156424E">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2" w15:restartNumberingAfterBreak="0">
    <w:nsid w:val="162420A2"/>
    <w:multiLevelType w:val="hybridMultilevel"/>
    <w:tmpl w:val="88AC95EC"/>
    <w:lvl w:ilvl="0" w:tplc="EDD49DD8">
      <w:start w:val="1"/>
      <w:numFmt w:val="lowerLetter"/>
      <w:lvlText w:val="%1)"/>
      <w:lvlJc w:val="left"/>
      <w:pPr>
        <w:ind w:left="720" w:hanging="360"/>
      </w:pPr>
      <w:rPr>
        <w:rFonts w:asciiTheme="majorHAnsi" w:hAnsiTheme="maj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192584"/>
    <w:multiLevelType w:val="multilevel"/>
    <w:tmpl w:val="63CE74B2"/>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20731062"/>
    <w:multiLevelType w:val="hybridMultilevel"/>
    <w:tmpl w:val="88AC95EC"/>
    <w:lvl w:ilvl="0" w:tplc="EDD49DD8">
      <w:start w:val="1"/>
      <w:numFmt w:val="lowerLetter"/>
      <w:lvlText w:val="%1)"/>
      <w:lvlJc w:val="left"/>
      <w:pPr>
        <w:ind w:left="720" w:hanging="360"/>
      </w:pPr>
      <w:rPr>
        <w:rFonts w:asciiTheme="majorHAnsi" w:hAnsiTheme="maj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6C80E13"/>
    <w:multiLevelType w:val="multilevel"/>
    <w:tmpl w:val="200607E0"/>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2A913599"/>
    <w:multiLevelType w:val="multilevel"/>
    <w:tmpl w:val="63CE74B2"/>
    <w:numStyleLink w:val="ListBullets"/>
  </w:abstractNum>
  <w:abstractNum w:abstractNumId="20" w15:restartNumberingAfterBreak="0">
    <w:nsid w:val="2DD87DC7"/>
    <w:multiLevelType w:val="multilevel"/>
    <w:tmpl w:val="013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2425AB"/>
    <w:multiLevelType w:val="multilevel"/>
    <w:tmpl w:val="BC8603C0"/>
    <w:numStyleLink w:val="ListNumbers"/>
  </w:abstractNum>
  <w:abstractNum w:abstractNumId="22" w15:restartNumberingAfterBreak="0">
    <w:nsid w:val="321E66FA"/>
    <w:multiLevelType w:val="multilevel"/>
    <w:tmpl w:val="9AE4CAC8"/>
    <w:lvl w:ilvl="0">
      <w:start w:val="1"/>
      <w:numFmt w:val="bullet"/>
      <w:lvlText w:val=""/>
      <w:lvlJc w:val="left"/>
      <w:pPr>
        <w:tabs>
          <w:tab w:val="num" w:pos="425"/>
        </w:tabs>
        <w:ind w:left="425" w:hanging="425"/>
      </w:pPr>
      <w:rPr>
        <w:rFonts w:ascii="Symbol" w:hAnsi="Symbol" w:hint="default"/>
        <w:color w:val="auto"/>
      </w:rPr>
    </w:lvl>
    <w:lvl w:ilvl="1">
      <w:start w:val="1"/>
      <w:numFmt w:val="bullet"/>
      <w:lvlText w:val="o"/>
      <w:lvlJc w:val="left"/>
      <w:pPr>
        <w:ind w:left="794" w:hanging="369"/>
      </w:pPr>
      <w:rPr>
        <w:rFonts w:ascii="Courier New" w:hAnsi="Courier New" w:cs="Courier New"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38567848"/>
    <w:multiLevelType w:val="hybridMultilevel"/>
    <w:tmpl w:val="48ECF610"/>
    <w:lvl w:ilvl="0" w:tplc="50EA87F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C430F67"/>
    <w:multiLevelType w:val="hybridMultilevel"/>
    <w:tmpl w:val="3E26B3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B610F2"/>
    <w:multiLevelType w:val="multilevel"/>
    <w:tmpl w:val="7F50B384"/>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6DD5C12"/>
    <w:multiLevelType w:val="multilevel"/>
    <w:tmpl w:val="20F2356A"/>
    <w:numStyleLink w:val="Appendix"/>
  </w:abstractNum>
  <w:abstractNum w:abstractNumId="2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F21701"/>
    <w:multiLevelType w:val="multilevel"/>
    <w:tmpl w:val="5FF6D1C2"/>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7D048F"/>
    <w:multiLevelType w:val="hybridMultilevel"/>
    <w:tmpl w:val="88AC95EC"/>
    <w:lvl w:ilvl="0" w:tplc="EDD49DD8">
      <w:start w:val="1"/>
      <w:numFmt w:val="lowerLetter"/>
      <w:lvlText w:val="%1)"/>
      <w:lvlJc w:val="left"/>
      <w:pPr>
        <w:ind w:left="720" w:hanging="360"/>
      </w:pPr>
      <w:rPr>
        <w:rFonts w:asciiTheme="majorHAnsi" w:hAnsiTheme="majorHAnsi"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7E73D3"/>
    <w:multiLevelType w:val="hybridMultilevel"/>
    <w:tmpl w:val="29061E42"/>
    <w:lvl w:ilvl="0" w:tplc="40882AA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AC059A"/>
    <w:multiLevelType w:val="multilevel"/>
    <w:tmpl w:val="07F6B092"/>
    <w:lvl w:ilvl="0">
      <w:start w:val="1"/>
      <w:numFmt w:val="decimal"/>
      <w:lvlText w:val="%1"/>
      <w:lvlJc w:val="left"/>
      <w:pPr>
        <w:ind w:left="567" w:hanging="567"/>
      </w:pPr>
      <w:rPr>
        <w:rFonts w:hint="default"/>
      </w:rPr>
    </w:lvl>
    <w:lvl w:ilvl="1">
      <w:start w:val="1"/>
      <w:numFmt w:val="decimal"/>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3415092"/>
    <w:multiLevelType w:val="hybridMultilevel"/>
    <w:tmpl w:val="612A0B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2C043B"/>
    <w:multiLevelType w:val="hybridMultilevel"/>
    <w:tmpl w:val="FE12BCC6"/>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28"/>
  </w:num>
  <w:num w:numId="3">
    <w:abstractNumId w:val="13"/>
  </w:num>
  <w:num w:numId="4">
    <w:abstractNumId w:val="14"/>
  </w:num>
  <w:num w:numId="5">
    <w:abstractNumId w:val="3"/>
  </w:num>
  <w:num w:numId="6">
    <w:abstractNumId w:val="19"/>
  </w:num>
  <w:num w:numId="7">
    <w:abstractNumId w:val="36"/>
  </w:num>
  <w:num w:numId="8">
    <w:abstractNumId w:val="21"/>
  </w:num>
  <w:num w:numId="9">
    <w:abstractNumId w:val="32"/>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3"/>
  </w:num>
  <w:num w:numId="14">
    <w:abstractNumId w:val="2"/>
  </w:num>
  <w:num w:numId="15">
    <w:abstractNumId w:val="1"/>
  </w:num>
  <w:num w:numId="16">
    <w:abstractNumId w:val="0"/>
  </w:num>
  <w:num w:numId="17">
    <w:abstractNumId w:val="6"/>
  </w:num>
  <w:num w:numId="18">
    <w:abstractNumId w:val="26"/>
  </w:num>
  <w:num w:numId="19">
    <w:abstractNumId w:val="22"/>
  </w:num>
  <w:num w:numId="20">
    <w:abstractNumId w:val="35"/>
  </w:num>
  <w:num w:numId="21">
    <w:abstractNumId w:val="29"/>
  </w:num>
  <w:num w:numId="22">
    <w:abstractNumId w:val="17"/>
  </w:num>
  <w:num w:numId="23">
    <w:abstractNumId w:val="16"/>
  </w:num>
  <w:num w:numId="24">
    <w:abstractNumId w:val="24"/>
  </w:num>
  <w:num w:numId="25">
    <w:abstractNumId w:val="4"/>
  </w:num>
  <w:num w:numId="26">
    <w:abstractNumId w:val="30"/>
  </w:num>
  <w:num w:numId="27">
    <w:abstractNumId w:val="30"/>
  </w:num>
  <w:num w:numId="28">
    <w:abstractNumId w:val="30"/>
  </w:num>
  <w:num w:numId="29">
    <w:abstractNumId w:val="30"/>
  </w:num>
  <w:num w:numId="30">
    <w:abstractNumId w:val="21"/>
    <w:lvlOverride w:ilvl="0">
      <w:startOverride w:val="2"/>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8"/>
  </w:num>
  <w:num w:numId="37">
    <w:abstractNumId w:val="7"/>
  </w:num>
  <w:num w:numId="38">
    <w:abstractNumId w:val="8"/>
  </w:num>
  <w:num w:numId="39">
    <w:abstractNumId w:val="12"/>
    <w:lvlOverride w:ilvl="0">
      <w:startOverride w:val="1"/>
    </w:lvlOverride>
  </w:num>
  <w:num w:numId="40">
    <w:abstractNumId w:val="31"/>
  </w:num>
  <w:num w:numId="41">
    <w:abstractNumId w:val="15"/>
  </w:num>
  <w:num w:numId="42">
    <w:abstractNumId w:val="5"/>
  </w:num>
  <w:num w:numId="43">
    <w:abstractNumId w:val="12"/>
  </w:num>
  <w:num w:numId="44">
    <w:abstractNumId w:val="9"/>
  </w:num>
  <w:num w:numId="45">
    <w:abstractNumId w:val="10"/>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5"/>
  </w:num>
  <w:num w:numId="51">
    <w:abstractNumId w:val="32"/>
  </w:num>
  <w:num w:numId="52">
    <w:abstractNumId w:val="11"/>
  </w:num>
  <w:num w:numId="53">
    <w:abstractNumId w:val="20"/>
  </w:num>
  <w:num w:numId="54">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B8"/>
    <w:rsid w:val="0000112C"/>
    <w:rsid w:val="0000481B"/>
    <w:rsid w:val="00005A46"/>
    <w:rsid w:val="00006426"/>
    <w:rsid w:val="00016B9C"/>
    <w:rsid w:val="00017D50"/>
    <w:rsid w:val="00024047"/>
    <w:rsid w:val="000267CB"/>
    <w:rsid w:val="00035428"/>
    <w:rsid w:val="00035C7A"/>
    <w:rsid w:val="0003615D"/>
    <w:rsid w:val="00036AD9"/>
    <w:rsid w:val="0003709C"/>
    <w:rsid w:val="00037A8F"/>
    <w:rsid w:val="00037F96"/>
    <w:rsid w:val="000434A2"/>
    <w:rsid w:val="00045E72"/>
    <w:rsid w:val="00047102"/>
    <w:rsid w:val="00051CC7"/>
    <w:rsid w:val="000560B5"/>
    <w:rsid w:val="00060712"/>
    <w:rsid w:val="000635CF"/>
    <w:rsid w:val="00070A78"/>
    <w:rsid w:val="00074787"/>
    <w:rsid w:val="0008111A"/>
    <w:rsid w:val="00081874"/>
    <w:rsid w:val="0008331C"/>
    <w:rsid w:val="0008431C"/>
    <w:rsid w:val="00086677"/>
    <w:rsid w:val="000877B6"/>
    <w:rsid w:val="00095362"/>
    <w:rsid w:val="000A10CD"/>
    <w:rsid w:val="000A1679"/>
    <w:rsid w:val="000A1D10"/>
    <w:rsid w:val="000A2F34"/>
    <w:rsid w:val="000A5890"/>
    <w:rsid w:val="000B2FFE"/>
    <w:rsid w:val="000B32D0"/>
    <w:rsid w:val="000B3B45"/>
    <w:rsid w:val="000B60A1"/>
    <w:rsid w:val="000B65B6"/>
    <w:rsid w:val="000C013F"/>
    <w:rsid w:val="000C0CB5"/>
    <w:rsid w:val="000C11F5"/>
    <w:rsid w:val="000C3034"/>
    <w:rsid w:val="000C4146"/>
    <w:rsid w:val="000C42B6"/>
    <w:rsid w:val="000C6307"/>
    <w:rsid w:val="000D0969"/>
    <w:rsid w:val="000D117F"/>
    <w:rsid w:val="000D1692"/>
    <w:rsid w:val="000D2727"/>
    <w:rsid w:val="000D39DC"/>
    <w:rsid w:val="000D434B"/>
    <w:rsid w:val="000D7398"/>
    <w:rsid w:val="000E0B9D"/>
    <w:rsid w:val="000E2944"/>
    <w:rsid w:val="000E40B9"/>
    <w:rsid w:val="000E5BD4"/>
    <w:rsid w:val="000E7703"/>
    <w:rsid w:val="000F0CDB"/>
    <w:rsid w:val="000F543E"/>
    <w:rsid w:val="000F766B"/>
    <w:rsid w:val="001009EE"/>
    <w:rsid w:val="00103D18"/>
    <w:rsid w:val="001059CC"/>
    <w:rsid w:val="00106F50"/>
    <w:rsid w:val="0011257A"/>
    <w:rsid w:val="00112B38"/>
    <w:rsid w:val="001145D6"/>
    <w:rsid w:val="001163E0"/>
    <w:rsid w:val="00125A21"/>
    <w:rsid w:val="00125F94"/>
    <w:rsid w:val="00126657"/>
    <w:rsid w:val="00127385"/>
    <w:rsid w:val="0013257E"/>
    <w:rsid w:val="0013395B"/>
    <w:rsid w:val="00135B63"/>
    <w:rsid w:val="001419D0"/>
    <w:rsid w:val="00143433"/>
    <w:rsid w:val="001449A7"/>
    <w:rsid w:val="00145143"/>
    <w:rsid w:val="00150792"/>
    <w:rsid w:val="00150CD8"/>
    <w:rsid w:val="00152011"/>
    <w:rsid w:val="0015262C"/>
    <w:rsid w:val="001537DD"/>
    <w:rsid w:val="00154AA3"/>
    <w:rsid w:val="00157702"/>
    <w:rsid w:val="00160F68"/>
    <w:rsid w:val="001613D9"/>
    <w:rsid w:val="001631B2"/>
    <w:rsid w:val="001636ED"/>
    <w:rsid w:val="00165116"/>
    <w:rsid w:val="00167071"/>
    <w:rsid w:val="00167FB9"/>
    <w:rsid w:val="00173C36"/>
    <w:rsid w:val="001750DE"/>
    <w:rsid w:val="001778B5"/>
    <w:rsid w:val="00177BAF"/>
    <w:rsid w:val="00180118"/>
    <w:rsid w:val="0018423C"/>
    <w:rsid w:val="00184F2F"/>
    <w:rsid w:val="00193B54"/>
    <w:rsid w:val="00193E2C"/>
    <w:rsid w:val="001956FB"/>
    <w:rsid w:val="00195CA0"/>
    <w:rsid w:val="00195F13"/>
    <w:rsid w:val="001A0BCC"/>
    <w:rsid w:val="001A18D2"/>
    <w:rsid w:val="001A32DC"/>
    <w:rsid w:val="001A5086"/>
    <w:rsid w:val="001A658E"/>
    <w:rsid w:val="001A7C33"/>
    <w:rsid w:val="001A7F38"/>
    <w:rsid w:val="001B0428"/>
    <w:rsid w:val="001B10B9"/>
    <w:rsid w:val="001B143F"/>
    <w:rsid w:val="001B1887"/>
    <w:rsid w:val="001B20E2"/>
    <w:rsid w:val="001B3C01"/>
    <w:rsid w:val="001B698F"/>
    <w:rsid w:val="001B78DE"/>
    <w:rsid w:val="001C564A"/>
    <w:rsid w:val="001C66DD"/>
    <w:rsid w:val="001C6D9D"/>
    <w:rsid w:val="001C7249"/>
    <w:rsid w:val="001C7AF9"/>
    <w:rsid w:val="001D0B9A"/>
    <w:rsid w:val="001D298A"/>
    <w:rsid w:val="001D4043"/>
    <w:rsid w:val="001E0F1F"/>
    <w:rsid w:val="001E3160"/>
    <w:rsid w:val="001E3358"/>
    <w:rsid w:val="001E34CF"/>
    <w:rsid w:val="001E48DE"/>
    <w:rsid w:val="001E50D3"/>
    <w:rsid w:val="001E6234"/>
    <w:rsid w:val="001E705A"/>
    <w:rsid w:val="001E7D68"/>
    <w:rsid w:val="001F14B0"/>
    <w:rsid w:val="001F2EB6"/>
    <w:rsid w:val="001F4CE1"/>
    <w:rsid w:val="001F610F"/>
    <w:rsid w:val="0020169D"/>
    <w:rsid w:val="00201D52"/>
    <w:rsid w:val="002043EE"/>
    <w:rsid w:val="0020485F"/>
    <w:rsid w:val="0020630D"/>
    <w:rsid w:val="0021111A"/>
    <w:rsid w:val="002117AE"/>
    <w:rsid w:val="00214D19"/>
    <w:rsid w:val="00215F96"/>
    <w:rsid w:val="0021655E"/>
    <w:rsid w:val="002172A3"/>
    <w:rsid w:val="0021769C"/>
    <w:rsid w:val="00222716"/>
    <w:rsid w:val="002246A8"/>
    <w:rsid w:val="00225248"/>
    <w:rsid w:val="002254B5"/>
    <w:rsid w:val="00225E1C"/>
    <w:rsid w:val="002260CB"/>
    <w:rsid w:val="00231CCB"/>
    <w:rsid w:val="00235D9B"/>
    <w:rsid w:val="0023637B"/>
    <w:rsid w:val="0024046C"/>
    <w:rsid w:val="0024055A"/>
    <w:rsid w:val="00245D2F"/>
    <w:rsid w:val="0025028F"/>
    <w:rsid w:val="0025566E"/>
    <w:rsid w:val="00255AF9"/>
    <w:rsid w:val="00257442"/>
    <w:rsid w:val="00261715"/>
    <w:rsid w:val="0026296F"/>
    <w:rsid w:val="002634C5"/>
    <w:rsid w:val="00263811"/>
    <w:rsid w:val="002653C1"/>
    <w:rsid w:val="00267BF6"/>
    <w:rsid w:val="002702ED"/>
    <w:rsid w:val="00271C3E"/>
    <w:rsid w:val="00272D26"/>
    <w:rsid w:val="00274AEC"/>
    <w:rsid w:val="00281000"/>
    <w:rsid w:val="0028110D"/>
    <w:rsid w:val="002816D7"/>
    <w:rsid w:val="00283BA6"/>
    <w:rsid w:val="0028668F"/>
    <w:rsid w:val="002866E4"/>
    <w:rsid w:val="00297048"/>
    <w:rsid w:val="002A0ECA"/>
    <w:rsid w:val="002A2C27"/>
    <w:rsid w:val="002A3060"/>
    <w:rsid w:val="002A4E2E"/>
    <w:rsid w:val="002A7888"/>
    <w:rsid w:val="002B6851"/>
    <w:rsid w:val="002B7B29"/>
    <w:rsid w:val="002C1E0B"/>
    <w:rsid w:val="002C294C"/>
    <w:rsid w:val="002C58CF"/>
    <w:rsid w:val="002C69C9"/>
    <w:rsid w:val="002D719E"/>
    <w:rsid w:val="002D7F25"/>
    <w:rsid w:val="002E003E"/>
    <w:rsid w:val="002E01E0"/>
    <w:rsid w:val="002E10CE"/>
    <w:rsid w:val="002E2B02"/>
    <w:rsid w:val="002E55F2"/>
    <w:rsid w:val="002E6881"/>
    <w:rsid w:val="002E6941"/>
    <w:rsid w:val="002E7BF9"/>
    <w:rsid w:val="002E7E09"/>
    <w:rsid w:val="002F1755"/>
    <w:rsid w:val="002F26B9"/>
    <w:rsid w:val="002F6540"/>
    <w:rsid w:val="002F6732"/>
    <w:rsid w:val="00304631"/>
    <w:rsid w:val="00304C9D"/>
    <w:rsid w:val="00313A74"/>
    <w:rsid w:val="00314A53"/>
    <w:rsid w:val="00315143"/>
    <w:rsid w:val="003156B5"/>
    <w:rsid w:val="0031670F"/>
    <w:rsid w:val="00317000"/>
    <w:rsid w:val="00321D5B"/>
    <w:rsid w:val="003222B1"/>
    <w:rsid w:val="00324841"/>
    <w:rsid w:val="0032549B"/>
    <w:rsid w:val="00325C14"/>
    <w:rsid w:val="00326507"/>
    <w:rsid w:val="0032728B"/>
    <w:rsid w:val="0034115A"/>
    <w:rsid w:val="00342CD7"/>
    <w:rsid w:val="00342D9F"/>
    <w:rsid w:val="0034301E"/>
    <w:rsid w:val="00343F7B"/>
    <w:rsid w:val="00346AF8"/>
    <w:rsid w:val="00346DE8"/>
    <w:rsid w:val="00347458"/>
    <w:rsid w:val="00347904"/>
    <w:rsid w:val="00352E96"/>
    <w:rsid w:val="00352EC0"/>
    <w:rsid w:val="00355D86"/>
    <w:rsid w:val="00355DE7"/>
    <w:rsid w:val="003570A5"/>
    <w:rsid w:val="003600BF"/>
    <w:rsid w:val="0036594C"/>
    <w:rsid w:val="0036763A"/>
    <w:rsid w:val="00371210"/>
    <w:rsid w:val="00372068"/>
    <w:rsid w:val="00372603"/>
    <w:rsid w:val="003742B6"/>
    <w:rsid w:val="0037608C"/>
    <w:rsid w:val="00376F53"/>
    <w:rsid w:val="00381DB5"/>
    <w:rsid w:val="003854F6"/>
    <w:rsid w:val="0038674E"/>
    <w:rsid w:val="0038721F"/>
    <w:rsid w:val="003877DD"/>
    <w:rsid w:val="00392F26"/>
    <w:rsid w:val="00396D5E"/>
    <w:rsid w:val="00397965"/>
    <w:rsid w:val="003A15AC"/>
    <w:rsid w:val="003A2195"/>
    <w:rsid w:val="003A3354"/>
    <w:rsid w:val="003A388D"/>
    <w:rsid w:val="003B2E2F"/>
    <w:rsid w:val="003B4435"/>
    <w:rsid w:val="003B55FE"/>
    <w:rsid w:val="003B5822"/>
    <w:rsid w:val="003B6D38"/>
    <w:rsid w:val="003B744F"/>
    <w:rsid w:val="003B75DE"/>
    <w:rsid w:val="003C2EAC"/>
    <w:rsid w:val="003C3D76"/>
    <w:rsid w:val="003C68A3"/>
    <w:rsid w:val="003C68A9"/>
    <w:rsid w:val="003E2A76"/>
    <w:rsid w:val="003E7831"/>
    <w:rsid w:val="003E7A86"/>
    <w:rsid w:val="003F0730"/>
    <w:rsid w:val="003F504A"/>
    <w:rsid w:val="003F7552"/>
    <w:rsid w:val="003F7AB9"/>
    <w:rsid w:val="00400BE7"/>
    <w:rsid w:val="004026E6"/>
    <w:rsid w:val="004055DA"/>
    <w:rsid w:val="00411EFA"/>
    <w:rsid w:val="004125C2"/>
    <w:rsid w:val="004147D5"/>
    <w:rsid w:val="004155BB"/>
    <w:rsid w:val="00415DFB"/>
    <w:rsid w:val="00417224"/>
    <w:rsid w:val="00420182"/>
    <w:rsid w:val="00420760"/>
    <w:rsid w:val="0042175A"/>
    <w:rsid w:val="00434BBB"/>
    <w:rsid w:val="00437A05"/>
    <w:rsid w:val="0044088C"/>
    <w:rsid w:val="004421B5"/>
    <w:rsid w:val="00445EC5"/>
    <w:rsid w:val="00450EEE"/>
    <w:rsid w:val="00451523"/>
    <w:rsid w:val="004518F6"/>
    <w:rsid w:val="0045413E"/>
    <w:rsid w:val="00457C8A"/>
    <w:rsid w:val="00457DEE"/>
    <w:rsid w:val="00461807"/>
    <w:rsid w:val="004649AA"/>
    <w:rsid w:val="00464CFE"/>
    <w:rsid w:val="00466EDC"/>
    <w:rsid w:val="00467274"/>
    <w:rsid w:val="00470A91"/>
    <w:rsid w:val="00471CC5"/>
    <w:rsid w:val="004722CD"/>
    <w:rsid w:val="0047410D"/>
    <w:rsid w:val="00475133"/>
    <w:rsid w:val="004756FD"/>
    <w:rsid w:val="00480DCF"/>
    <w:rsid w:val="00483142"/>
    <w:rsid w:val="00485B82"/>
    <w:rsid w:val="0048609B"/>
    <w:rsid w:val="00490A8D"/>
    <w:rsid w:val="00497F76"/>
    <w:rsid w:val="004A5084"/>
    <w:rsid w:val="004A54BB"/>
    <w:rsid w:val="004A5FB8"/>
    <w:rsid w:val="004A7315"/>
    <w:rsid w:val="004B1042"/>
    <w:rsid w:val="004B3F74"/>
    <w:rsid w:val="004B6D31"/>
    <w:rsid w:val="004B6E33"/>
    <w:rsid w:val="004B7C71"/>
    <w:rsid w:val="004C1CAD"/>
    <w:rsid w:val="004C49F0"/>
    <w:rsid w:val="004D24FB"/>
    <w:rsid w:val="004D33C5"/>
    <w:rsid w:val="004D49A8"/>
    <w:rsid w:val="004D73AA"/>
    <w:rsid w:val="004E01F4"/>
    <w:rsid w:val="004E0B0E"/>
    <w:rsid w:val="004E236F"/>
    <w:rsid w:val="004E4EFC"/>
    <w:rsid w:val="004E6ECC"/>
    <w:rsid w:val="004E748E"/>
    <w:rsid w:val="004E79DD"/>
    <w:rsid w:val="004F3102"/>
    <w:rsid w:val="004F40D8"/>
    <w:rsid w:val="004F521D"/>
    <w:rsid w:val="005003A7"/>
    <w:rsid w:val="0050159B"/>
    <w:rsid w:val="00502B7F"/>
    <w:rsid w:val="00503785"/>
    <w:rsid w:val="00504766"/>
    <w:rsid w:val="005052E6"/>
    <w:rsid w:val="005061C6"/>
    <w:rsid w:val="005065C3"/>
    <w:rsid w:val="00506E49"/>
    <w:rsid w:val="00512E7D"/>
    <w:rsid w:val="005140F5"/>
    <w:rsid w:val="00514D0E"/>
    <w:rsid w:val="00516161"/>
    <w:rsid w:val="00516BB0"/>
    <w:rsid w:val="00522416"/>
    <w:rsid w:val="00525FED"/>
    <w:rsid w:val="0052624B"/>
    <w:rsid w:val="00526CE2"/>
    <w:rsid w:val="00532565"/>
    <w:rsid w:val="00532720"/>
    <w:rsid w:val="00534F9C"/>
    <w:rsid w:val="00537C85"/>
    <w:rsid w:val="00540764"/>
    <w:rsid w:val="00540CAF"/>
    <w:rsid w:val="00542C7F"/>
    <w:rsid w:val="00544C1A"/>
    <w:rsid w:val="005468E4"/>
    <w:rsid w:val="005469CC"/>
    <w:rsid w:val="0054747E"/>
    <w:rsid w:val="00551F41"/>
    <w:rsid w:val="00552553"/>
    <w:rsid w:val="00552FCE"/>
    <w:rsid w:val="00556EBE"/>
    <w:rsid w:val="00557355"/>
    <w:rsid w:val="005623A7"/>
    <w:rsid w:val="005629E3"/>
    <w:rsid w:val="00571F81"/>
    <w:rsid w:val="0057367D"/>
    <w:rsid w:val="00574FDA"/>
    <w:rsid w:val="00581333"/>
    <w:rsid w:val="00587A44"/>
    <w:rsid w:val="00592894"/>
    <w:rsid w:val="00593ABC"/>
    <w:rsid w:val="00594C6C"/>
    <w:rsid w:val="00595916"/>
    <w:rsid w:val="005959F9"/>
    <w:rsid w:val="00595BBE"/>
    <w:rsid w:val="00596705"/>
    <w:rsid w:val="005968B2"/>
    <w:rsid w:val="005969C1"/>
    <w:rsid w:val="005A030A"/>
    <w:rsid w:val="005A05E1"/>
    <w:rsid w:val="005A237C"/>
    <w:rsid w:val="005A6861"/>
    <w:rsid w:val="005A7B77"/>
    <w:rsid w:val="005B1517"/>
    <w:rsid w:val="005B2067"/>
    <w:rsid w:val="005B464A"/>
    <w:rsid w:val="005B666D"/>
    <w:rsid w:val="005C0439"/>
    <w:rsid w:val="005C05B0"/>
    <w:rsid w:val="005C3A30"/>
    <w:rsid w:val="005C3E74"/>
    <w:rsid w:val="005C6920"/>
    <w:rsid w:val="005C7F48"/>
    <w:rsid w:val="005D2105"/>
    <w:rsid w:val="005E0B9C"/>
    <w:rsid w:val="005E2E73"/>
    <w:rsid w:val="005E5903"/>
    <w:rsid w:val="005E74B1"/>
    <w:rsid w:val="005E7D10"/>
    <w:rsid w:val="005F31CC"/>
    <w:rsid w:val="005F36E3"/>
    <w:rsid w:val="005F55B9"/>
    <w:rsid w:val="00600405"/>
    <w:rsid w:val="00600F1D"/>
    <w:rsid w:val="006018ED"/>
    <w:rsid w:val="00601CA6"/>
    <w:rsid w:val="0060339B"/>
    <w:rsid w:val="00603E38"/>
    <w:rsid w:val="00605428"/>
    <w:rsid w:val="006057F7"/>
    <w:rsid w:val="00605FF2"/>
    <w:rsid w:val="006118BF"/>
    <w:rsid w:val="00614182"/>
    <w:rsid w:val="0061639B"/>
    <w:rsid w:val="006241AD"/>
    <w:rsid w:val="00626E31"/>
    <w:rsid w:val="0063014B"/>
    <w:rsid w:val="0063071F"/>
    <w:rsid w:val="006314B0"/>
    <w:rsid w:val="00635DE0"/>
    <w:rsid w:val="006368F9"/>
    <w:rsid w:val="00636D9B"/>
    <w:rsid w:val="006402F4"/>
    <w:rsid w:val="00640FED"/>
    <w:rsid w:val="00641720"/>
    <w:rsid w:val="006439FB"/>
    <w:rsid w:val="00646417"/>
    <w:rsid w:val="00647099"/>
    <w:rsid w:val="00647286"/>
    <w:rsid w:val="00647863"/>
    <w:rsid w:val="00647FFE"/>
    <w:rsid w:val="006503AE"/>
    <w:rsid w:val="00650984"/>
    <w:rsid w:val="0065132B"/>
    <w:rsid w:val="006554B6"/>
    <w:rsid w:val="00657421"/>
    <w:rsid w:val="006575EF"/>
    <w:rsid w:val="00661C15"/>
    <w:rsid w:val="006631A7"/>
    <w:rsid w:val="006635C6"/>
    <w:rsid w:val="0066540A"/>
    <w:rsid w:val="00666252"/>
    <w:rsid w:val="0067490C"/>
    <w:rsid w:val="0067560A"/>
    <w:rsid w:val="00677496"/>
    <w:rsid w:val="00677C94"/>
    <w:rsid w:val="00682722"/>
    <w:rsid w:val="00683805"/>
    <w:rsid w:val="00683E4C"/>
    <w:rsid w:val="006847B2"/>
    <w:rsid w:val="00685FCD"/>
    <w:rsid w:val="00686C7C"/>
    <w:rsid w:val="00690553"/>
    <w:rsid w:val="00696B45"/>
    <w:rsid w:val="006A0F07"/>
    <w:rsid w:val="006A1945"/>
    <w:rsid w:val="006A1CD2"/>
    <w:rsid w:val="006B03E8"/>
    <w:rsid w:val="006B1531"/>
    <w:rsid w:val="006B4F08"/>
    <w:rsid w:val="006B5F73"/>
    <w:rsid w:val="006B661B"/>
    <w:rsid w:val="006B7C00"/>
    <w:rsid w:val="006C074E"/>
    <w:rsid w:val="006C18D4"/>
    <w:rsid w:val="006C4664"/>
    <w:rsid w:val="006C6598"/>
    <w:rsid w:val="006C6EC2"/>
    <w:rsid w:val="006D0271"/>
    <w:rsid w:val="006D1269"/>
    <w:rsid w:val="006D2C7F"/>
    <w:rsid w:val="006D5474"/>
    <w:rsid w:val="006D7D36"/>
    <w:rsid w:val="006E14EF"/>
    <w:rsid w:val="006E1B79"/>
    <w:rsid w:val="006E21B4"/>
    <w:rsid w:val="006E2ABA"/>
    <w:rsid w:val="006E38EA"/>
    <w:rsid w:val="006E3D01"/>
    <w:rsid w:val="006E531E"/>
    <w:rsid w:val="006F0354"/>
    <w:rsid w:val="006F16A1"/>
    <w:rsid w:val="006F291E"/>
    <w:rsid w:val="0070010B"/>
    <w:rsid w:val="0070128A"/>
    <w:rsid w:val="00701968"/>
    <w:rsid w:val="007020DD"/>
    <w:rsid w:val="00705A66"/>
    <w:rsid w:val="007077DE"/>
    <w:rsid w:val="007110B5"/>
    <w:rsid w:val="007115B0"/>
    <w:rsid w:val="0071411F"/>
    <w:rsid w:val="007147F1"/>
    <w:rsid w:val="00715C4A"/>
    <w:rsid w:val="0072067D"/>
    <w:rsid w:val="007242BC"/>
    <w:rsid w:val="00724400"/>
    <w:rsid w:val="00724FB1"/>
    <w:rsid w:val="007260CC"/>
    <w:rsid w:val="007263EB"/>
    <w:rsid w:val="007344FB"/>
    <w:rsid w:val="00734D05"/>
    <w:rsid w:val="007362D6"/>
    <w:rsid w:val="00747EA5"/>
    <w:rsid w:val="00752C70"/>
    <w:rsid w:val="007558D8"/>
    <w:rsid w:val="00756C72"/>
    <w:rsid w:val="007574E7"/>
    <w:rsid w:val="0075788B"/>
    <w:rsid w:val="007614B8"/>
    <w:rsid w:val="00762469"/>
    <w:rsid w:val="0076399D"/>
    <w:rsid w:val="00766A85"/>
    <w:rsid w:val="007703FF"/>
    <w:rsid w:val="007746E8"/>
    <w:rsid w:val="007817AD"/>
    <w:rsid w:val="00781A72"/>
    <w:rsid w:val="00786A33"/>
    <w:rsid w:val="00792738"/>
    <w:rsid w:val="0079396D"/>
    <w:rsid w:val="0079411A"/>
    <w:rsid w:val="00794192"/>
    <w:rsid w:val="007948AB"/>
    <w:rsid w:val="007950DE"/>
    <w:rsid w:val="007969D7"/>
    <w:rsid w:val="00796E7B"/>
    <w:rsid w:val="007A0719"/>
    <w:rsid w:val="007A1471"/>
    <w:rsid w:val="007A2638"/>
    <w:rsid w:val="007A3763"/>
    <w:rsid w:val="007A6752"/>
    <w:rsid w:val="007B40F2"/>
    <w:rsid w:val="007B4510"/>
    <w:rsid w:val="007B459C"/>
    <w:rsid w:val="007B4C34"/>
    <w:rsid w:val="007B577F"/>
    <w:rsid w:val="007B5AF1"/>
    <w:rsid w:val="007B5D9D"/>
    <w:rsid w:val="007B7C0C"/>
    <w:rsid w:val="007C0DA1"/>
    <w:rsid w:val="007C2BD9"/>
    <w:rsid w:val="007C3A19"/>
    <w:rsid w:val="007C73C0"/>
    <w:rsid w:val="007D217B"/>
    <w:rsid w:val="007E12F4"/>
    <w:rsid w:val="007E34D9"/>
    <w:rsid w:val="007E39C5"/>
    <w:rsid w:val="007E6B0C"/>
    <w:rsid w:val="007F1FEB"/>
    <w:rsid w:val="007F65CF"/>
    <w:rsid w:val="007F750C"/>
    <w:rsid w:val="00800297"/>
    <w:rsid w:val="008025E8"/>
    <w:rsid w:val="008051D2"/>
    <w:rsid w:val="0081184C"/>
    <w:rsid w:val="00813EC0"/>
    <w:rsid w:val="00817518"/>
    <w:rsid w:val="0082045D"/>
    <w:rsid w:val="00825A7D"/>
    <w:rsid w:val="0082640B"/>
    <w:rsid w:val="008264CB"/>
    <w:rsid w:val="00833C58"/>
    <w:rsid w:val="008340A1"/>
    <w:rsid w:val="00835C5C"/>
    <w:rsid w:val="00837635"/>
    <w:rsid w:val="008377C0"/>
    <w:rsid w:val="00840B3F"/>
    <w:rsid w:val="00842CB5"/>
    <w:rsid w:val="0085147C"/>
    <w:rsid w:val="008549D6"/>
    <w:rsid w:val="00854AE1"/>
    <w:rsid w:val="00861712"/>
    <w:rsid w:val="008634F0"/>
    <w:rsid w:val="008637BD"/>
    <w:rsid w:val="008639F1"/>
    <w:rsid w:val="00872F02"/>
    <w:rsid w:val="008763FE"/>
    <w:rsid w:val="00877405"/>
    <w:rsid w:val="008774C4"/>
    <w:rsid w:val="00880D2D"/>
    <w:rsid w:val="00881DF5"/>
    <w:rsid w:val="00881F1C"/>
    <w:rsid w:val="008848B8"/>
    <w:rsid w:val="0088663A"/>
    <w:rsid w:val="00886836"/>
    <w:rsid w:val="00887A89"/>
    <w:rsid w:val="00892B3C"/>
    <w:rsid w:val="00892C63"/>
    <w:rsid w:val="00894EDE"/>
    <w:rsid w:val="008A41BA"/>
    <w:rsid w:val="008A5A69"/>
    <w:rsid w:val="008A74E1"/>
    <w:rsid w:val="008B0E9C"/>
    <w:rsid w:val="008B4E13"/>
    <w:rsid w:val="008B4F34"/>
    <w:rsid w:val="008C0059"/>
    <w:rsid w:val="008C1937"/>
    <w:rsid w:val="008D0519"/>
    <w:rsid w:val="008D0DB7"/>
    <w:rsid w:val="008D1C26"/>
    <w:rsid w:val="008D6ECB"/>
    <w:rsid w:val="008D7B6F"/>
    <w:rsid w:val="008D7FB3"/>
    <w:rsid w:val="008E0F2E"/>
    <w:rsid w:val="008E0F8D"/>
    <w:rsid w:val="008E10DE"/>
    <w:rsid w:val="008E2329"/>
    <w:rsid w:val="008E2913"/>
    <w:rsid w:val="008E293A"/>
    <w:rsid w:val="008E36D0"/>
    <w:rsid w:val="008E3728"/>
    <w:rsid w:val="008E3BFD"/>
    <w:rsid w:val="008E5707"/>
    <w:rsid w:val="008E762B"/>
    <w:rsid w:val="008E78D0"/>
    <w:rsid w:val="008F0FFD"/>
    <w:rsid w:val="008F1BA7"/>
    <w:rsid w:val="008F4060"/>
    <w:rsid w:val="008F56E5"/>
    <w:rsid w:val="008F7167"/>
    <w:rsid w:val="008F769A"/>
    <w:rsid w:val="009005FE"/>
    <w:rsid w:val="00902DFE"/>
    <w:rsid w:val="009031B7"/>
    <w:rsid w:val="00905F94"/>
    <w:rsid w:val="0090766C"/>
    <w:rsid w:val="00914560"/>
    <w:rsid w:val="00922234"/>
    <w:rsid w:val="00923CA6"/>
    <w:rsid w:val="00933FF8"/>
    <w:rsid w:val="00935536"/>
    <w:rsid w:val="0093665D"/>
    <w:rsid w:val="00940F0B"/>
    <w:rsid w:val="00941600"/>
    <w:rsid w:val="0094484F"/>
    <w:rsid w:val="009523EF"/>
    <w:rsid w:val="00952BD4"/>
    <w:rsid w:val="00952F09"/>
    <w:rsid w:val="009535F5"/>
    <w:rsid w:val="00953F10"/>
    <w:rsid w:val="00955E07"/>
    <w:rsid w:val="00960F46"/>
    <w:rsid w:val="00962F2A"/>
    <w:rsid w:val="00963882"/>
    <w:rsid w:val="00965873"/>
    <w:rsid w:val="00965D7C"/>
    <w:rsid w:val="00972FA9"/>
    <w:rsid w:val="00974E6B"/>
    <w:rsid w:val="0097649C"/>
    <w:rsid w:val="0098249C"/>
    <w:rsid w:val="009839AB"/>
    <w:rsid w:val="00986607"/>
    <w:rsid w:val="00986A83"/>
    <w:rsid w:val="0098777D"/>
    <w:rsid w:val="00990DC2"/>
    <w:rsid w:val="009920E1"/>
    <w:rsid w:val="00993BDB"/>
    <w:rsid w:val="00993DC5"/>
    <w:rsid w:val="009945A5"/>
    <w:rsid w:val="0099647E"/>
    <w:rsid w:val="009A3B68"/>
    <w:rsid w:val="009A534D"/>
    <w:rsid w:val="009B1222"/>
    <w:rsid w:val="009B4F56"/>
    <w:rsid w:val="009B5C80"/>
    <w:rsid w:val="009B6B7C"/>
    <w:rsid w:val="009C1B25"/>
    <w:rsid w:val="009C363B"/>
    <w:rsid w:val="009C5E62"/>
    <w:rsid w:val="009D131B"/>
    <w:rsid w:val="009D2C19"/>
    <w:rsid w:val="009D335E"/>
    <w:rsid w:val="009D42D0"/>
    <w:rsid w:val="009D6FD9"/>
    <w:rsid w:val="009E18BB"/>
    <w:rsid w:val="009E3976"/>
    <w:rsid w:val="009E4CA3"/>
    <w:rsid w:val="009E5556"/>
    <w:rsid w:val="009F061E"/>
    <w:rsid w:val="009F2E37"/>
    <w:rsid w:val="00A04D32"/>
    <w:rsid w:val="00A0713E"/>
    <w:rsid w:val="00A111ED"/>
    <w:rsid w:val="00A116AA"/>
    <w:rsid w:val="00A12CEA"/>
    <w:rsid w:val="00A17DBC"/>
    <w:rsid w:val="00A21D07"/>
    <w:rsid w:val="00A31146"/>
    <w:rsid w:val="00A3547E"/>
    <w:rsid w:val="00A35D3D"/>
    <w:rsid w:val="00A375F6"/>
    <w:rsid w:val="00A40110"/>
    <w:rsid w:val="00A44487"/>
    <w:rsid w:val="00A44C5A"/>
    <w:rsid w:val="00A44E8F"/>
    <w:rsid w:val="00A45505"/>
    <w:rsid w:val="00A45D86"/>
    <w:rsid w:val="00A46C02"/>
    <w:rsid w:val="00A47490"/>
    <w:rsid w:val="00A475F2"/>
    <w:rsid w:val="00A47A7F"/>
    <w:rsid w:val="00A5093F"/>
    <w:rsid w:val="00A56043"/>
    <w:rsid w:val="00A563E0"/>
    <w:rsid w:val="00A577A6"/>
    <w:rsid w:val="00A632C2"/>
    <w:rsid w:val="00A63436"/>
    <w:rsid w:val="00A702D4"/>
    <w:rsid w:val="00A7149A"/>
    <w:rsid w:val="00A74E6F"/>
    <w:rsid w:val="00A7541E"/>
    <w:rsid w:val="00A80782"/>
    <w:rsid w:val="00A80FBD"/>
    <w:rsid w:val="00A81ED6"/>
    <w:rsid w:val="00A82BB6"/>
    <w:rsid w:val="00A84AF9"/>
    <w:rsid w:val="00A8787D"/>
    <w:rsid w:val="00A87A39"/>
    <w:rsid w:val="00A87F31"/>
    <w:rsid w:val="00A944ED"/>
    <w:rsid w:val="00A96204"/>
    <w:rsid w:val="00AA142E"/>
    <w:rsid w:val="00AA4684"/>
    <w:rsid w:val="00AA4B88"/>
    <w:rsid w:val="00AA5391"/>
    <w:rsid w:val="00AC0FC9"/>
    <w:rsid w:val="00AC1B7B"/>
    <w:rsid w:val="00AC3806"/>
    <w:rsid w:val="00AC69CE"/>
    <w:rsid w:val="00AD7308"/>
    <w:rsid w:val="00AE0D02"/>
    <w:rsid w:val="00AE56D6"/>
    <w:rsid w:val="00AE5CFA"/>
    <w:rsid w:val="00AE6854"/>
    <w:rsid w:val="00AE7070"/>
    <w:rsid w:val="00AE776C"/>
    <w:rsid w:val="00AF10A3"/>
    <w:rsid w:val="00AF319F"/>
    <w:rsid w:val="00AF4008"/>
    <w:rsid w:val="00AF4959"/>
    <w:rsid w:val="00B0374D"/>
    <w:rsid w:val="00B03C32"/>
    <w:rsid w:val="00B049FF"/>
    <w:rsid w:val="00B079C7"/>
    <w:rsid w:val="00B1045C"/>
    <w:rsid w:val="00B1060F"/>
    <w:rsid w:val="00B14748"/>
    <w:rsid w:val="00B14DDD"/>
    <w:rsid w:val="00B1512C"/>
    <w:rsid w:val="00B16ADB"/>
    <w:rsid w:val="00B16D54"/>
    <w:rsid w:val="00B16DB9"/>
    <w:rsid w:val="00B17E07"/>
    <w:rsid w:val="00B205F6"/>
    <w:rsid w:val="00B22FF0"/>
    <w:rsid w:val="00B2623D"/>
    <w:rsid w:val="00B31CBA"/>
    <w:rsid w:val="00B338E2"/>
    <w:rsid w:val="00B343A4"/>
    <w:rsid w:val="00B351D5"/>
    <w:rsid w:val="00B35F55"/>
    <w:rsid w:val="00B362C7"/>
    <w:rsid w:val="00B365AA"/>
    <w:rsid w:val="00B36675"/>
    <w:rsid w:val="00B5516C"/>
    <w:rsid w:val="00B56691"/>
    <w:rsid w:val="00B57188"/>
    <w:rsid w:val="00B57B0B"/>
    <w:rsid w:val="00B62378"/>
    <w:rsid w:val="00B67459"/>
    <w:rsid w:val="00B734B1"/>
    <w:rsid w:val="00B74968"/>
    <w:rsid w:val="00B75C7D"/>
    <w:rsid w:val="00B7690D"/>
    <w:rsid w:val="00B769C2"/>
    <w:rsid w:val="00B8420F"/>
    <w:rsid w:val="00B93EEC"/>
    <w:rsid w:val="00B9418E"/>
    <w:rsid w:val="00B9590A"/>
    <w:rsid w:val="00BA3341"/>
    <w:rsid w:val="00BA5998"/>
    <w:rsid w:val="00BB1D03"/>
    <w:rsid w:val="00BB4E10"/>
    <w:rsid w:val="00BC279C"/>
    <w:rsid w:val="00BC6836"/>
    <w:rsid w:val="00BC770A"/>
    <w:rsid w:val="00BD3DA9"/>
    <w:rsid w:val="00BD6C67"/>
    <w:rsid w:val="00BE1603"/>
    <w:rsid w:val="00BE4602"/>
    <w:rsid w:val="00BE46E1"/>
    <w:rsid w:val="00BE5500"/>
    <w:rsid w:val="00BE5B5B"/>
    <w:rsid w:val="00BE694F"/>
    <w:rsid w:val="00BE6965"/>
    <w:rsid w:val="00BE7A47"/>
    <w:rsid w:val="00BF06DD"/>
    <w:rsid w:val="00BF1467"/>
    <w:rsid w:val="00BF5AFE"/>
    <w:rsid w:val="00BF65E0"/>
    <w:rsid w:val="00BF7252"/>
    <w:rsid w:val="00BF762F"/>
    <w:rsid w:val="00C00A66"/>
    <w:rsid w:val="00C037AE"/>
    <w:rsid w:val="00C04548"/>
    <w:rsid w:val="00C04CEA"/>
    <w:rsid w:val="00C13160"/>
    <w:rsid w:val="00C13959"/>
    <w:rsid w:val="00C15803"/>
    <w:rsid w:val="00C177A1"/>
    <w:rsid w:val="00C2051B"/>
    <w:rsid w:val="00C227D0"/>
    <w:rsid w:val="00C2289F"/>
    <w:rsid w:val="00C23A4D"/>
    <w:rsid w:val="00C243F2"/>
    <w:rsid w:val="00C272D0"/>
    <w:rsid w:val="00C33698"/>
    <w:rsid w:val="00C33FB8"/>
    <w:rsid w:val="00C36EB9"/>
    <w:rsid w:val="00C37055"/>
    <w:rsid w:val="00C43A09"/>
    <w:rsid w:val="00C45FF7"/>
    <w:rsid w:val="00C46467"/>
    <w:rsid w:val="00C474DA"/>
    <w:rsid w:val="00C52544"/>
    <w:rsid w:val="00C53FA9"/>
    <w:rsid w:val="00C559F1"/>
    <w:rsid w:val="00C57979"/>
    <w:rsid w:val="00C60FD8"/>
    <w:rsid w:val="00C62824"/>
    <w:rsid w:val="00C6669A"/>
    <w:rsid w:val="00C67B1C"/>
    <w:rsid w:val="00C67F27"/>
    <w:rsid w:val="00C702E3"/>
    <w:rsid w:val="00C70629"/>
    <w:rsid w:val="00C70801"/>
    <w:rsid w:val="00C70A0D"/>
    <w:rsid w:val="00C73627"/>
    <w:rsid w:val="00C75907"/>
    <w:rsid w:val="00C7699D"/>
    <w:rsid w:val="00C81247"/>
    <w:rsid w:val="00C8201C"/>
    <w:rsid w:val="00C82026"/>
    <w:rsid w:val="00C82E60"/>
    <w:rsid w:val="00C84863"/>
    <w:rsid w:val="00C86BDD"/>
    <w:rsid w:val="00C87AAF"/>
    <w:rsid w:val="00C87FD7"/>
    <w:rsid w:val="00C903DA"/>
    <w:rsid w:val="00C90EF3"/>
    <w:rsid w:val="00C937A4"/>
    <w:rsid w:val="00C9755E"/>
    <w:rsid w:val="00C97AB4"/>
    <w:rsid w:val="00C97E22"/>
    <w:rsid w:val="00CA617B"/>
    <w:rsid w:val="00CA69F2"/>
    <w:rsid w:val="00CA7F85"/>
    <w:rsid w:val="00CB000D"/>
    <w:rsid w:val="00CB5A2E"/>
    <w:rsid w:val="00CB6C27"/>
    <w:rsid w:val="00CC42BC"/>
    <w:rsid w:val="00CC54B8"/>
    <w:rsid w:val="00CD0F5A"/>
    <w:rsid w:val="00CD5F9A"/>
    <w:rsid w:val="00CD6C60"/>
    <w:rsid w:val="00CE120A"/>
    <w:rsid w:val="00CE1215"/>
    <w:rsid w:val="00CE1421"/>
    <w:rsid w:val="00CE15D1"/>
    <w:rsid w:val="00CE1D58"/>
    <w:rsid w:val="00CE3403"/>
    <w:rsid w:val="00CE5973"/>
    <w:rsid w:val="00CE5A85"/>
    <w:rsid w:val="00CE6CD6"/>
    <w:rsid w:val="00CE7291"/>
    <w:rsid w:val="00CE72F3"/>
    <w:rsid w:val="00CE78F1"/>
    <w:rsid w:val="00CF2893"/>
    <w:rsid w:val="00D01F7A"/>
    <w:rsid w:val="00D07902"/>
    <w:rsid w:val="00D112DD"/>
    <w:rsid w:val="00D12236"/>
    <w:rsid w:val="00D124E4"/>
    <w:rsid w:val="00D12577"/>
    <w:rsid w:val="00D16452"/>
    <w:rsid w:val="00D17731"/>
    <w:rsid w:val="00D25B18"/>
    <w:rsid w:val="00D26EDF"/>
    <w:rsid w:val="00D26F42"/>
    <w:rsid w:val="00D321DF"/>
    <w:rsid w:val="00D32768"/>
    <w:rsid w:val="00D34821"/>
    <w:rsid w:val="00D3555A"/>
    <w:rsid w:val="00D373A6"/>
    <w:rsid w:val="00D4051C"/>
    <w:rsid w:val="00D436AE"/>
    <w:rsid w:val="00D4552F"/>
    <w:rsid w:val="00D50BAB"/>
    <w:rsid w:val="00D515E0"/>
    <w:rsid w:val="00D528AC"/>
    <w:rsid w:val="00D5295F"/>
    <w:rsid w:val="00D53F99"/>
    <w:rsid w:val="00D5571B"/>
    <w:rsid w:val="00D55BD1"/>
    <w:rsid w:val="00D55ED5"/>
    <w:rsid w:val="00D57507"/>
    <w:rsid w:val="00D577F9"/>
    <w:rsid w:val="00D60801"/>
    <w:rsid w:val="00D6098D"/>
    <w:rsid w:val="00D6291B"/>
    <w:rsid w:val="00D6506E"/>
    <w:rsid w:val="00D65758"/>
    <w:rsid w:val="00D706C7"/>
    <w:rsid w:val="00D72C22"/>
    <w:rsid w:val="00D74AAF"/>
    <w:rsid w:val="00D750E1"/>
    <w:rsid w:val="00D75EA7"/>
    <w:rsid w:val="00D77EC5"/>
    <w:rsid w:val="00D8273A"/>
    <w:rsid w:val="00D83027"/>
    <w:rsid w:val="00D936C9"/>
    <w:rsid w:val="00D94267"/>
    <w:rsid w:val="00D96D49"/>
    <w:rsid w:val="00D970C7"/>
    <w:rsid w:val="00D97271"/>
    <w:rsid w:val="00DA056C"/>
    <w:rsid w:val="00DA09FE"/>
    <w:rsid w:val="00DA36F8"/>
    <w:rsid w:val="00DA6175"/>
    <w:rsid w:val="00DB0F18"/>
    <w:rsid w:val="00DB173D"/>
    <w:rsid w:val="00DB37ED"/>
    <w:rsid w:val="00DB4945"/>
    <w:rsid w:val="00DC1982"/>
    <w:rsid w:val="00DC1CE6"/>
    <w:rsid w:val="00DC5249"/>
    <w:rsid w:val="00DC55EA"/>
    <w:rsid w:val="00DC5A92"/>
    <w:rsid w:val="00DC661C"/>
    <w:rsid w:val="00DD0E12"/>
    <w:rsid w:val="00DD32F4"/>
    <w:rsid w:val="00DD54AE"/>
    <w:rsid w:val="00DD59F0"/>
    <w:rsid w:val="00DD65F9"/>
    <w:rsid w:val="00DD6C1F"/>
    <w:rsid w:val="00DE10BC"/>
    <w:rsid w:val="00DF5FA7"/>
    <w:rsid w:val="00DF6057"/>
    <w:rsid w:val="00E00C1F"/>
    <w:rsid w:val="00E01495"/>
    <w:rsid w:val="00E019D9"/>
    <w:rsid w:val="00E040DE"/>
    <w:rsid w:val="00E042E4"/>
    <w:rsid w:val="00E0543B"/>
    <w:rsid w:val="00E06ACF"/>
    <w:rsid w:val="00E12A7E"/>
    <w:rsid w:val="00E13381"/>
    <w:rsid w:val="00E13946"/>
    <w:rsid w:val="00E13D1C"/>
    <w:rsid w:val="00E1569B"/>
    <w:rsid w:val="00E205CC"/>
    <w:rsid w:val="00E22F2F"/>
    <w:rsid w:val="00E23144"/>
    <w:rsid w:val="00E30ACC"/>
    <w:rsid w:val="00E3214D"/>
    <w:rsid w:val="00E3266B"/>
    <w:rsid w:val="00E32BA0"/>
    <w:rsid w:val="00E34067"/>
    <w:rsid w:val="00E37750"/>
    <w:rsid w:val="00E426C5"/>
    <w:rsid w:val="00E42722"/>
    <w:rsid w:val="00E43770"/>
    <w:rsid w:val="00E45EDC"/>
    <w:rsid w:val="00E4644C"/>
    <w:rsid w:val="00E50329"/>
    <w:rsid w:val="00E54EA4"/>
    <w:rsid w:val="00E567ED"/>
    <w:rsid w:val="00E61923"/>
    <w:rsid w:val="00E66102"/>
    <w:rsid w:val="00E70C5E"/>
    <w:rsid w:val="00E713E8"/>
    <w:rsid w:val="00E72203"/>
    <w:rsid w:val="00E7466C"/>
    <w:rsid w:val="00E77E3C"/>
    <w:rsid w:val="00E80408"/>
    <w:rsid w:val="00E85266"/>
    <w:rsid w:val="00E95883"/>
    <w:rsid w:val="00E97940"/>
    <w:rsid w:val="00EA0B4D"/>
    <w:rsid w:val="00EA2E17"/>
    <w:rsid w:val="00EA5672"/>
    <w:rsid w:val="00EA6CB1"/>
    <w:rsid w:val="00EA6F7F"/>
    <w:rsid w:val="00EA73ED"/>
    <w:rsid w:val="00EA75ED"/>
    <w:rsid w:val="00EB0549"/>
    <w:rsid w:val="00EB33B2"/>
    <w:rsid w:val="00EB3499"/>
    <w:rsid w:val="00EB4AD2"/>
    <w:rsid w:val="00EB7A10"/>
    <w:rsid w:val="00EC04A3"/>
    <w:rsid w:val="00EC073B"/>
    <w:rsid w:val="00EC0F6A"/>
    <w:rsid w:val="00EC2822"/>
    <w:rsid w:val="00EC475E"/>
    <w:rsid w:val="00EC557B"/>
    <w:rsid w:val="00ED6B2C"/>
    <w:rsid w:val="00ED76A9"/>
    <w:rsid w:val="00EE1E88"/>
    <w:rsid w:val="00EE4258"/>
    <w:rsid w:val="00EE4B21"/>
    <w:rsid w:val="00EE5E2F"/>
    <w:rsid w:val="00EF0329"/>
    <w:rsid w:val="00EF095D"/>
    <w:rsid w:val="00EF18DB"/>
    <w:rsid w:val="00EF42E1"/>
    <w:rsid w:val="00EF4649"/>
    <w:rsid w:val="00EF53D8"/>
    <w:rsid w:val="00EF6E48"/>
    <w:rsid w:val="00EF78F0"/>
    <w:rsid w:val="00F04468"/>
    <w:rsid w:val="00F051A0"/>
    <w:rsid w:val="00F07B7E"/>
    <w:rsid w:val="00F1221F"/>
    <w:rsid w:val="00F13A03"/>
    <w:rsid w:val="00F14709"/>
    <w:rsid w:val="00F14A75"/>
    <w:rsid w:val="00F14D84"/>
    <w:rsid w:val="00F2023C"/>
    <w:rsid w:val="00F24205"/>
    <w:rsid w:val="00F25193"/>
    <w:rsid w:val="00F262E0"/>
    <w:rsid w:val="00F314AD"/>
    <w:rsid w:val="00F34F04"/>
    <w:rsid w:val="00F35092"/>
    <w:rsid w:val="00F35170"/>
    <w:rsid w:val="00F362D5"/>
    <w:rsid w:val="00F400A6"/>
    <w:rsid w:val="00F4093A"/>
    <w:rsid w:val="00F40CF8"/>
    <w:rsid w:val="00F42855"/>
    <w:rsid w:val="00F428F5"/>
    <w:rsid w:val="00F45DBC"/>
    <w:rsid w:val="00F46011"/>
    <w:rsid w:val="00F51226"/>
    <w:rsid w:val="00F552CC"/>
    <w:rsid w:val="00F563F4"/>
    <w:rsid w:val="00F57598"/>
    <w:rsid w:val="00F62AED"/>
    <w:rsid w:val="00F62D5E"/>
    <w:rsid w:val="00F63409"/>
    <w:rsid w:val="00F65D19"/>
    <w:rsid w:val="00F675A5"/>
    <w:rsid w:val="00F71821"/>
    <w:rsid w:val="00F7359A"/>
    <w:rsid w:val="00F7568F"/>
    <w:rsid w:val="00F8059B"/>
    <w:rsid w:val="00F82794"/>
    <w:rsid w:val="00F82A35"/>
    <w:rsid w:val="00F83C6D"/>
    <w:rsid w:val="00F83EFF"/>
    <w:rsid w:val="00F83FFB"/>
    <w:rsid w:val="00F84889"/>
    <w:rsid w:val="00F85391"/>
    <w:rsid w:val="00F86B8E"/>
    <w:rsid w:val="00F87D36"/>
    <w:rsid w:val="00F90105"/>
    <w:rsid w:val="00F910C6"/>
    <w:rsid w:val="00F928EA"/>
    <w:rsid w:val="00F964FB"/>
    <w:rsid w:val="00F9765B"/>
    <w:rsid w:val="00FA0243"/>
    <w:rsid w:val="00FA177A"/>
    <w:rsid w:val="00FA23C8"/>
    <w:rsid w:val="00FA6296"/>
    <w:rsid w:val="00FA74A2"/>
    <w:rsid w:val="00FB08BA"/>
    <w:rsid w:val="00FB1A3E"/>
    <w:rsid w:val="00FB2657"/>
    <w:rsid w:val="00FB3877"/>
    <w:rsid w:val="00FB4A83"/>
    <w:rsid w:val="00FB6B15"/>
    <w:rsid w:val="00FC2C91"/>
    <w:rsid w:val="00FD4663"/>
    <w:rsid w:val="00FE0E5E"/>
    <w:rsid w:val="00FE2220"/>
    <w:rsid w:val="00FE2C65"/>
    <w:rsid w:val="00FE4B4F"/>
    <w:rsid w:val="00FE56A3"/>
    <w:rsid w:val="00FE7D3E"/>
    <w:rsid w:val="00FF1DF8"/>
    <w:rsid w:val="00FF2174"/>
    <w:rsid w:val="00FF298B"/>
    <w:rsid w:val="00FF4F1B"/>
    <w:rsid w:val="00FF5C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2DDB91"/>
  <w15:docId w15:val="{51DBC05B-B324-4A85-9A48-AC7B15BE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B9"/>
    <w:pPr>
      <w:spacing w:before="120"/>
    </w:pPr>
    <w:rPr>
      <w:rFonts w:ascii="Calibri" w:hAnsi="Calibri"/>
      <w:sz w:val="24"/>
      <w:szCs w:val="22"/>
      <w:lang w:eastAsia="en-US"/>
    </w:rPr>
  </w:style>
  <w:style w:type="paragraph" w:styleId="Heading1">
    <w:name w:val="heading 1"/>
    <w:next w:val="Normal"/>
    <w:link w:val="Heading1Char"/>
    <w:uiPriority w:val="1"/>
    <w:qFormat/>
    <w:rsid w:val="00F400A6"/>
    <w:pPr>
      <w:keepNext/>
      <w:keepLines/>
      <w:spacing w:before="720" w:after="240"/>
      <w:outlineLvl w:val="0"/>
    </w:pPr>
    <w:rPr>
      <w:rFonts w:ascii="Calibri" w:eastAsiaTheme="minorEastAsia" w:hAnsi="Calibri" w:cstheme="minorBidi"/>
      <w:b/>
      <w:bCs/>
      <w:color w:val="000000"/>
      <w:sz w:val="48"/>
      <w:szCs w:val="28"/>
      <w:lang w:eastAsia="ja-JP"/>
    </w:rPr>
  </w:style>
  <w:style w:type="paragraph" w:styleId="Heading2">
    <w:name w:val="heading 2"/>
    <w:basedOn w:val="Normal"/>
    <w:next w:val="Normal"/>
    <w:link w:val="Heading2Char"/>
    <w:uiPriority w:val="3"/>
    <w:qFormat/>
    <w:rsid w:val="00F051A0"/>
    <w:pPr>
      <w:pageBreakBefore/>
      <w:numPr>
        <w:numId w:val="9"/>
      </w:numPr>
      <w:spacing w:after="240"/>
      <w:outlineLvl w:val="1"/>
    </w:pPr>
    <w:rPr>
      <w:rFonts w:eastAsia="Times New Roman"/>
      <w:b/>
      <w:bCs/>
      <w:color w:val="000000"/>
      <w:sz w:val="36"/>
      <w:szCs w:val="28"/>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F051A0"/>
    <w:pPr>
      <w:spacing w:before="120"/>
      <w:outlineLvl w:val="3"/>
    </w:pPr>
    <w:rPr>
      <w:rFonts w:eastAsiaTheme="minorEastAsia" w:cstheme="minorBidi"/>
      <w:i w:val="0"/>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F400A6"/>
    <w:rPr>
      <w:rFonts w:ascii="Calibri" w:eastAsiaTheme="minorEastAsia" w:hAnsi="Calibri" w:cstheme="minorBidi"/>
      <w:b/>
      <w:bCs/>
      <w:color w:val="000000"/>
      <w:sz w:val="48"/>
      <w:szCs w:val="28"/>
      <w:lang w:eastAsia="ja-JP"/>
    </w:rPr>
  </w:style>
  <w:style w:type="character" w:customStyle="1" w:styleId="Heading2Char">
    <w:name w:val="Heading 2 Char"/>
    <w:basedOn w:val="DefaultParagraphFont"/>
    <w:link w:val="Heading2"/>
    <w:uiPriority w:val="3"/>
    <w:rsid w:val="00F051A0"/>
    <w:rPr>
      <w:rFonts w:ascii="Calibri" w:eastAsia="Times New Roman" w:hAnsi="Calibri"/>
      <w:b/>
      <w:bCs/>
      <w:color w:val="000000"/>
      <w:sz w:val="3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F051A0"/>
    <w:rPr>
      <w:rFonts w:ascii="Calibri" w:eastAsiaTheme="minorEastAsia" w:hAnsi="Calibri"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rsid w:val="001A32DC"/>
    <w:pPr>
      <w:tabs>
        <w:tab w:val="left" w:pos="426"/>
        <w:tab w:val="right" w:leader="dot" w:pos="9072"/>
      </w:tabs>
      <w:spacing w:after="60"/>
    </w:pPr>
    <w:rPr>
      <w:b/>
      <w:noProof/>
    </w:rPr>
  </w:style>
  <w:style w:type="paragraph" w:styleId="TOC2">
    <w:name w:val="toc 2"/>
    <w:basedOn w:val="Normal"/>
    <w:next w:val="Normal"/>
    <w:uiPriority w:val="39"/>
    <w:unhideWhenUsed/>
    <w:qFormat/>
    <w:rsid w:val="001A32DC"/>
    <w:pPr>
      <w:tabs>
        <w:tab w:val="right" w:leader="dot" w:pos="9060"/>
      </w:tabs>
      <w:spacing w:before="60" w:after="60"/>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Cs w:val="18"/>
    </w:rPr>
  </w:style>
  <w:style w:type="paragraph" w:styleId="ListBullet">
    <w:name w:val="List Bullet"/>
    <w:basedOn w:val="Normal"/>
    <w:uiPriority w:val="7"/>
    <w:qFormat/>
    <w:rsid w:val="00C243F2"/>
    <w:pPr>
      <w:numPr>
        <w:numId w:val="29"/>
      </w:numPr>
      <w:spacing w:after="120"/>
    </w:pPr>
    <w:rPr>
      <w:rFonts w:eastAsiaTheme="minorHAnsi" w:cstheme="minorBidi"/>
    </w:r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rsid w:val="00C243F2"/>
    <w:pPr>
      <w:numPr>
        <w:ilvl w:val="1"/>
        <w:numId w:val="29"/>
      </w:numPr>
      <w:spacing w:after="120"/>
      <w:contextualSpacing/>
    </w:pPr>
    <w:rPr>
      <w:rFonts w:eastAsiaTheme="minorHAnsi" w:cstheme="minorBidi"/>
    </w:rPr>
  </w:style>
  <w:style w:type="paragraph" w:styleId="ListNumber2">
    <w:name w:val="List Number 2"/>
    <w:uiPriority w:val="10"/>
    <w:qFormat/>
    <w:rsid w:val="00165116"/>
    <w:pPr>
      <w:numPr>
        <w:ilvl w:val="1"/>
        <w:numId w:val="8"/>
      </w:numPr>
      <w:spacing w:before="120" w:after="120" w:line="264" w:lineRule="auto"/>
    </w:pPr>
    <w:rPr>
      <w:rFonts w:ascii="Calibri" w:eastAsia="Times New Roman" w:hAnsi="Calibri"/>
      <w:sz w:val="22"/>
      <w:szCs w:val="24"/>
      <w:lang w:eastAsia="en-US"/>
    </w:rPr>
  </w:style>
  <w:style w:type="paragraph" w:styleId="ListNumber3">
    <w:name w:val="List Number 3"/>
    <w:uiPriority w:val="11"/>
    <w:qFormat/>
    <w:rsid w:val="00165116"/>
    <w:pPr>
      <w:numPr>
        <w:ilvl w:val="2"/>
        <w:numId w:val="8"/>
      </w:numPr>
      <w:spacing w:before="120" w:after="120" w:line="264" w:lineRule="auto"/>
    </w:pPr>
    <w:rPr>
      <w:rFonts w:ascii="Calibri" w:eastAsia="Times New Roman" w:hAnsi="Calibri"/>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sid w:val="00CA69F2"/>
    <w:rPr>
      <w:rFonts w:ascii="Calibri" w:hAnsi="Calibri"/>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autoRedefine/>
    <w:uiPriority w:val="39"/>
    <w:qFormat/>
    <w:rsid w:val="00595916"/>
    <w:pPr>
      <w:pageBreakBefore/>
      <w:spacing w:before="480" w:line="276" w:lineRule="auto"/>
    </w:pPr>
    <w:rPr>
      <w:rFonts w:ascii="Calibri" w:eastAsiaTheme="minorEastAsia" w:hAnsi="Calibri" w:cstheme="minorBidi"/>
      <w:b/>
      <w:bCs/>
      <w:color w:val="000000"/>
      <w:sz w:val="3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rsid w:val="00165116"/>
    <w:pPr>
      <w:tabs>
        <w:tab w:val="right" w:pos="9026"/>
      </w:tabs>
      <w:jc w:val="center"/>
    </w:pPr>
    <w:rPr>
      <w:rFonts w:ascii="Calibri" w:eastAsiaTheme="minorHAnsi" w:hAnsi="Calibri"/>
    </w:rPr>
  </w:style>
  <w:style w:type="character" w:customStyle="1" w:styleId="FooterChar">
    <w:name w:val="Footer Char"/>
    <w:basedOn w:val="DefaultParagraphFont"/>
    <w:link w:val="Footer"/>
    <w:uiPriority w:val="99"/>
    <w:rsid w:val="00165116"/>
    <w:rPr>
      <w:rFonts w:ascii="Calibri" w:eastAsiaTheme="minorHAnsi" w:hAnsi="Calibri"/>
    </w:rPr>
  </w:style>
  <w:style w:type="paragraph" w:customStyle="1" w:styleId="BoxText">
    <w:name w:val="Box Text"/>
    <w:basedOn w:val="Normal"/>
    <w:autoRedefine/>
    <w:uiPriority w:val="19"/>
    <w:qFormat/>
    <w:rsid w:val="0013257E"/>
    <w:pPr>
      <w:pBdr>
        <w:top w:val="single" w:sz="4" w:space="10" w:color="auto"/>
        <w:left w:val="single" w:sz="4" w:space="10" w:color="auto"/>
        <w:bottom w:val="single" w:sz="4" w:space="10" w:color="auto"/>
        <w:right w:val="single" w:sz="4" w:space="10" w:color="auto"/>
      </w:pBdr>
      <w:spacing w:after="120"/>
    </w:p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basedOn w:val="Normal"/>
    <w:link w:val="HeaderChar"/>
    <w:uiPriority w:val="26"/>
    <w:rsid w:val="00C243F2"/>
    <w:pPr>
      <w:tabs>
        <w:tab w:val="center" w:pos="4820"/>
      </w:tabs>
      <w:spacing w:after="200"/>
      <w:jc w:val="center"/>
    </w:pPr>
    <w:rPr>
      <w:rFonts w:eastAsiaTheme="minorHAnsi" w:cstheme="minorBidi"/>
      <w:sz w:val="20"/>
    </w:rPr>
  </w:style>
  <w:style w:type="character" w:customStyle="1" w:styleId="HeaderChar">
    <w:name w:val="Header Char"/>
    <w:basedOn w:val="DefaultParagraphFont"/>
    <w:link w:val="Header"/>
    <w:uiPriority w:val="26"/>
    <w:rsid w:val="00C243F2"/>
    <w:rPr>
      <w:rFonts w:ascii="Calibri" w:eastAsiaTheme="minorHAnsi" w:hAnsi="Calibri" w:cstheme="minorBidi"/>
      <w:szCs w:val="22"/>
      <w:lang w:eastAsia="en-US"/>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autoRedefine/>
    <w:uiPriority w:val="99"/>
    <w:unhideWhenUsed/>
    <w:rsid w:val="00540CAF"/>
    <w:pPr>
      <w:tabs>
        <w:tab w:val="right" w:leader="dot" w:pos="9060"/>
      </w:tabs>
    </w:p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rsid w:val="00C243F2"/>
    <w:pPr>
      <w:numPr>
        <w:ilvl w:val="2"/>
        <w:numId w:val="29"/>
      </w:numPr>
      <w:spacing w:after="200"/>
      <w:contextualSpacing/>
    </w:pPr>
    <w:rPr>
      <w:rFonts w:eastAsiaTheme="minorHAnsi" w:cstheme="minorBidi"/>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Endmattercontentheading">
    <w:name w:val="Endmatter content heading"/>
    <w:basedOn w:val="Preliminarycontentheading"/>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mall">
    <w:name w:val="Normal small"/>
    <w:qFormat/>
    <w:rsid w:val="00CA69F2"/>
    <w:pPr>
      <w:spacing w:after="120" w:line="276" w:lineRule="auto"/>
    </w:pPr>
    <w:rPr>
      <w:rFonts w:ascii="Calibri" w:eastAsiaTheme="minorHAnsi" w:hAnsi="Calibri" w:cstheme="minorBidi"/>
      <w:sz w:val="18"/>
      <w:szCs w:val="18"/>
      <w:lang w:eastAsia="en-US"/>
    </w:rPr>
  </w:style>
  <w:style w:type="paragraph" w:customStyle="1" w:styleId="TOCHeading2">
    <w:name w:val="TOC Heading 2"/>
    <w:next w:val="Normal"/>
    <w:autoRedefine/>
    <w:qFormat/>
    <w:rsid w:val="004B3F74"/>
    <w:rPr>
      <w:rFonts w:ascii="Calibri" w:eastAsiaTheme="minorHAnsi" w:hAnsi="Calibri" w:cstheme="minorBidi"/>
      <w:sz w:val="36"/>
      <w:szCs w:val="22"/>
      <w:lang w:eastAsia="en-US"/>
    </w:rPr>
  </w:style>
  <w:style w:type="paragraph" w:styleId="TOAHeading">
    <w:name w:val="toa heading"/>
    <w:basedOn w:val="Normal"/>
    <w:next w:val="Normal"/>
    <w:uiPriority w:val="99"/>
    <w:semiHidden/>
    <w:unhideWhenUsed/>
    <w:rsid w:val="00E34067"/>
    <w:rPr>
      <w:rFonts w:asciiTheme="majorHAnsi" w:eastAsiaTheme="majorEastAsia" w:hAnsiTheme="majorHAnsi" w:cstheme="majorBidi"/>
      <w:b/>
      <w:bCs/>
      <w:szCs w:val="24"/>
    </w:rPr>
  </w:style>
  <w:style w:type="numbering" w:customStyle="1" w:styleId="Headinglist">
    <w:name w:val="Heading list"/>
    <w:uiPriority w:val="99"/>
    <w:rsid w:val="004B6D31"/>
    <w:pPr>
      <w:numPr>
        <w:numId w:val="23"/>
      </w:numPr>
    </w:pPr>
  </w:style>
  <w:style w:type="character" w:styleId="UnresolvedMention">
    <w:name w:val="Unresolved Mention"/>
    <w:basedOn w:val="DefaultParagraphFont"/>
    <w:uiPriority w:val="99"/>
    <w:semiHidden/>
    <w:unhideWhenUsed/>
    <w:rsid w:val="00CA69F2"/>
    <w:rPr>
      <w:color w:val="605E5C"/>
      <w:shd w:val="clear" w:color="auto" w:fill="E1DFDD"/>
    </w:rPr>
  </w:style>
  <w:style w:type="paragraph" w:customStyle="1" w:styleId="Glossary">
    <w:name w:val="Glossary"/>
    <w:basedOn w:val="Normal"/>
    <w:link w:val="GlossaryChar"/>
    <w:uiPriority w:val="28"/>
    <w:semiHidden/>
    <w:locked/>
    <w:rsid w:val="00952BD4"/>
    <w:pPr>
      <w:spacing w:after="120"/>
      <w:ind w:left="2126" w:hanging="2126"/>
    </w:pPr>
    <w:rPr>
      <w:rFonts w:ascii="Cambria" w:hAnsi="Cambria" w:cstheme="minorBidi"/>
      <w:color w:val="000000"/>
    </w:rPr>
  </w:style>
  <w:style w:type="character" w:customStyle="1" w:styleId="GlossaryChar">
    <w:name w:val="Glossary Char"/>
    <w:basedOn w:val="DefaultParagraphFont"/>
    <w:link w:val="Glossary"/>
    <w:uiPriority w:val="28"/>
    <w:semiHidden/>
    <w:rsid w:val="00952BD4"/>
    <w:rPr>
      <w:rFonts w:cstheme="minorBidi"/>
      <w:color w:val="000000"/>
      <w:sz w:val="22"/>
      <w:szCs w:val="22"/>
      <w:lang w:eastAsia="en-US"/>
    </w:rPr>
  </w:style>
  <w:style w:type="paragraph" w:styleId="ListParagraph">
    <w:name w:val="List Paragraph"/>
    <w:basedOn w:val="Normal"/>
    <w:uiPriority w:val="99"/>
    <w:qFormat/>
    <w:rsid w:val="004B7C71"/>
    <w:pPr>
      <w:ind w:left="720"/>
      <w:contextualSpacing/>
    </w:pPr>
  </w:style>
  <w:style w:type="character" w:customStyle="1" w:styleId="normaltextrun">
    <w:name w:val="normaltextrun"/>
    <w:basedOn w:val="DefaultParagraphFont"/>
    <w:rsid w:val="006F16A1"/>
  </w:style>
  <w:style w:type="table" w:styleId="TableGridLight">
    <w:name w:val="Grid Table Light"/>
    <w:basedOn w:val="TableNormal"/>
    <w:uiPriority w:val="40"/>
    <w:rsid w:val="00E00C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A7149A"/>
    <w:rPr>
      <w:b/>
      <w:bCs/>
      <w:sz w:val="56"/>
      <w:szCs w:val="52"/>
      <w:lang w:val="en"/>
    </w:rPr>
  </w:style>
  <w:style w:type="character" w:customStyle="1" w:styleId="TitleChar">
    <w:name w:val="Title Char"/>
    <w:basedOn w:val="DefaultParagraphFont"/>
    <w:link w:val="Title"/>
    <w:uiPriority w:val="10"/>
    <w:rsid w:val="00A7149A"/>
    <w:rPr>
      <w:rFonts w:ascii="Calibri" w:hAnsi="Calibri"/>
      <w:b/>
      <w:bCs/>
      <w:sz w:val="56"/>
      <w:szCs w:val="5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0479">
      <w:bodyDiv w:val="1"/>
      <w:marLeft w:val="0"/>
      <w:marRight w:val="0"/>
      <w:marTop w:val="0"/>
      <w:marBottom w:val="0"/>
      <w:divBdr>
        <w:top w:val="none" w:sz="0" w:space="0" w:color="auto"/>
        <w:left w:val="none" w:sz="0" w:space="0" w:color="auto"/>
        <w:bottom w:val="none" w:sz="0" w:space="0" w:color="auto"/>
        <w:right w:val="none" w:sz="0" w:space="0" w:color="auto"/>
      </w:divBdr>
    </w:div>
    <w:div w:id="265581492">
      <w:bodyDiv w:val="1"/>
      <w:marLeft w:val="0"/>
      <w:marRight w:val="0"/>
      <w:marTop w:val="0"/>
      <w:marBottom w:val="0"/>
      <w:divBdr>
        <w:top w:val="none" w:sz="0" w:space="0" w:color="auto"/>
        <w:left w:val="none" w:sz="0" w:space="0" w:color="auto"/>
        <w:bottom w:val="none" w:sz="0" w:space="0" w:color="auto"/>
        <w:right w:val="none" w:sz="0" w:space="0" w:color="auto"/>
      </w:divBdr>
    </w:div>
    <w:div w:id="405153758">
      <w:bodyDiv w:val="1"/>
      <w:marLeft w:val="0"/>
      <w:marRight w:val="0"/>
      <w:marTop w:val="0"/>
      <w:marBottom w:val="0"/>
      <w:divBdr>
        <w:top w:val="none" w:sz="0" w:space="0" w:color="auto"/>
        <w:left w:val="none" w:sz="0" w:space="0" w:color="auto"/>
        <w:bottom w:val="none" w:sz="0" w:space="0" w:color="auto"/>
        <w:right w:val="none" w:sz="0" w:space="0" w:color="auto"/>
      </w:divBdr>
    </w:div>
    <w:div w:id="483351337">
      <w:bodyDiv w:val="1"/>
      <w:marLeft w:val="0"/>
      <w:marRight w:val="0"/>
      <w:marTop w:val="0"/>
      <w:marBottom w:val="0"/>
      <w:divBdr>
        <w:top w:val="none" w:sz="0" w:space="0" w:color="auto"/>
        <w:left w:val="none" w:sz="0" w:space="0" w:color="auto"/>
        <w:bottom w:val="none" w:sz="0" w:space="0" w:color="auto"/>
        <w:right w:val="none" w:sz="0" w:space="0" w:color="auto"/>
      </w:divBdr>
    </w:div>
    <w:div w:id="662395507">
      <w:bodyDiv w:val="1"/>
      <w:marLeft w:val="0"/>
      <w:marRight w:val="0"/>
      <w:marTop w:val="0"/>
      <w:marBottom w:val="0"/>
      <w:divBdr>
        <w:top w:val="none" w:sz="0" w:space="0" w:color="auto"/>
        <w:left w:val="none" w:sz="0" w:space="0" w:color="auto"/>
        <w:bottom w:val="none" w:sz="0" w:space="0" w:color="auto"/>
        <w:right w:val="none" w:sz="0" w:space="0" w:color="auto"/>
      </w:divBdr>
    </w:div>
    <w:div w:id="789858960">
      <w:bodyDiv w:val="1"/>
      <w:marLeft w:val="0"/>
      <w:marRight w:val="0"/>
      <w:marTop w:val="0"/>
      <w:marBottom w:val="0"/>
      <w:divBdr>
        <w:top w:val="none" w:sz="0" w:space="0" w:color="auto"/>
        <w:left w:val="none" w:sz="0" w:space="0" w:color="auto"/>
        <w:bottom w:val="none" w:sz="0" w:space="0" w:color="auto"/>
        <w:right w:val="none" w:sz="0" w:space="0" w:color="auto"/>
      </w:divBdr>
    </w:div>
    <w:div w:id="1140344537">
      <w:bodyDiv w:val="1"/>
      <w:marLeft w:val="0"/>
      <w:marRight w:val="0"/>
      <w:marTop w:val="0"/>
      <w:marBottom w:val="0"/>
      <w:divBdr>
        <w:top w:val="none" w:sz="0" w:space="0" w:color="auto"/>
        <w:left w:val="none" w:sz="0" w:space="0" w:color="auto"/>
        <w:bottom w:val="none" w:sz="0" w:space="0" w:color="auto"/>
        <w:right w:val="none" w:sz="0" w:space="0" w:color="auto"/>
      </w:divBdr>
    </w:div>
    <w:div w:id="1308701838">
      <w:bodyDiv w:val="1"/>
      <w:marLeft w:val="0"/>
      <w:marRight w:val="0"/>
      <w:marTop w:val="0"/>
      <w:marBottom w:val="0"/>
      <w:divBdr>
        <w:top w:val="none" w:sz="0" w:space="0" w:color="auto"/>
        <w:left w:val="none" w:sz="0" w:space="0" w:color="auto"/>
        <w:bottom w:val="none" w:sz="0" w:space="0" w:color="auto"/>
        <w:right w:val="none" w:sz="0" w:space="0" w:color="auto"/>
      </w:divBdr>
    </w:div>
    <w:div w:id="1409569478">
      <w:bodyDiv w:val="1"/>
      <w:marLeft w:val="0"/>
      <w:marRight w:val="0"/>
      <w:marTop w:val="0"/>
      <w:marBottom w:val="0"/>
      <w:divBdr>
        <w:top w:val="none" w:sz="0" w:space="0" w:color="auto"/>
        <w:left w:val="none" w:sz="0" w:space="0" w:color="auto"/>
        <w:bottom w:val="none" w:sz="0" w:space="0" w:color="auto"/>
        <w:right w:val="none" w:sz="0" w:space="0" w:color="auto"/>
      </w:divBdr>
    </w:div>
    <w:div w:id="1458135639">
      <w:bodyDiv w:val="1"/>
      <w:marLeft w:val="0"/>
      <w:marRight w:val="0"/>
      <w:marTop w:val="0"/>
      <w:marBottom w:val="0"/>
      <w:divBdr>
        <w:top w:val="none" w:sz="0" w:space="0" w:color="auto"/>
        <w:left w:val="none" w:sz="0" w:space="0" w:color="auto"/>
        <w:bottom w:val="none" w:sz="0" w:space="0" w:color="auto"/>
        <w:right w:val="none" w:sz="0" w:space="0" w:color="auto"/>
      </w:divBdr>
    </w:div>
    <w:div w:id="1681350992">
      <w:bodyDiv w:val="1"/>
      <w:marLeft w:val="0"/>
      <w:marRight w:val="0"/>
      <w:marTop w:val="0"/>
      <w:marBottom w:val="0"/>
      <w:divBdr>
        <w:top w:val="none" w:sz="0" w:space="0" w:color="auto"/>
        <w:left w:val="none" w:sz="0" w:space="0" w:color="auto"/>
        <w:bottom w:val="none" w:sz="0" w:space="0" w:color="auto"/>
        <w:right w:val="none" w:sz="0" w:space="0" w:color="auto"/>
      </w:divBdr>
    </w:div>
    <w:div w:id="1837845390">
      <w:bodyDiv w:val="1"/>
      <w:marLeft w:val="0"/>
      <w:marRight w:val="0"/>
      <w:marTop w:val="0"/>
      <w:marBottom w:val="0"/>
      <w:divBdr>
        <w:top w:val="none" w:sz="0" w:space="0" w:color="auto"/>
        <w:left w:val="none" w:sz="0" w:space="0" w:color="auto"/>
        <w:bottom w:val="none" w:sz="0" w:space="0" w:color="auto"/>
        <w:right w:val="none" w:sz="0" w:space="0" w:color="auto"/>
      </w:divBdr>
    </w:div>
    <w:div w:id="197907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www.igb.gov.au/" TargetMode="External"/><Relationship Id="rId26" Type="http://schemas.openxmlformats.org/officeDocument/2006/relationships/image" Target="media/image5.png"/><Relationship Id="rId39" Type="http://schemas.openxmlformats.org/officeDocument/2006/relationships/hyperlink" Target="https://www.igb.gov.au/current-and-completed-reviews" TargetMode="External"/><Relationship Id="rId3" Type="http://schemas.openxmlformats.org/officeDocument/2006/relationships/customXml" Target="../customXml/item3.xml"/><Relationship Id="rId21" Type="http://schemas.openxmlformats.org/officeDocument/2006/relationships/hyperlink" Target="https://minister.awe.gov.au/littleproud/media-releases/biosecurity-package" TargetMode="External"/><Relationship Id="rId34" Type="http://schemas.openxmlformats.org/officeDocument/2006/relationships/hyperlink" Target="https://www.igb.gov.au/current-and-completed-reviews" TargetMode="External"/><Relationship Id="rId42" Type="http://schemas.openxmlformats.org/officeDocument/2006/relationships/hyperlink" Target="https://minister.awe.gov.au/littleproud/media-releases/agmov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spGenBiosecurity@agriculture.gov.au" TargetMode="External"/><Relationship Id="rId25" Type="http://schemas.openxmlformats.org/officeDocument/2006/relationships/header" Target="header2.xml"/><Relationship Id="rId33" Type="http://schemas.openxmlformats.org/officeDocument/2006/relationships/hyperlink" Target="https://www.agriculture.gov.au/biosecurity/commonwealth-biosecurity-2030" TargetMode="External"/><Relationship Id="rId38" Type="http://schemas.openxmlformats.org/officeDocument/2006/relationships/hyperlink" Target="https://www.igb.gov.au/current-and-completed-reviews" TargetMode="External"/><Relationship Id="rId2" Type="http://schemas.openxmlformats.org/officeDocument/2006/relationships/customXml" Target="../customXml/item2.xml"/><Relationship Id="rId16" Type="http://schemas.openxmlformats.org/officeDocument/2006/relationships/hyperlink" Target="https://www.igb.gov.au/current-and-completed-reviews" TargetMode="External"/><Relationship Id="rId20" Type="http://schemas.openxmlformats.org/officeDocument/2006/relationships/hyperlink" Target="https://minister.awe.gov.au/littleproud/media-releases/ramping-up-biosecurity-asf-australia" TargetMode="External"/><Relationship Id="rId29" Type="http://schemas.openxmlformats.org/officeDocument/2006/relationships/image" Target="media/image8.png"/><Relationship Id="rId41" Type="http://schemas.openxmlformats.org/officeDocument/2006/relationships/hyperlink" Target="https://minister.awe.gov.au/littleproud/media-releases/biosecurity-packa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yperlink" Target="https://www.awe.gov.au/about/reporting/annual-report" TargetMode="External"/><Relationship Id="rId37" Type="http://schemas.openxmlformats.org/officeDocument/2006/relationships/hyperlink" Target="https://www.igb.gov.au/current-and-completed-reviews" TargetMode="External"/><Relationship Id="rId40" Type="http://schemas.openxmlformats.org/officeDocument/2006/relationships/hyperlink" Target="https://minister.awe.gov.au/littleproud/media-releases/ramping-up-biosecurity-asf-australi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image" Target="media/image7.png"/><Relationship Id="rId36" Type="http://schemas.openxmlformats.org/officeDocument/2006/relationships/hyperlink" Target="https://www.igb.gov.au/current-and-completed-reviews" TargetMode="Externa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yperlink" Target="https://www.anao.gov.au/pubs/audit-insigh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we.gov.au" TargetMode="External"/><Relationship Id="rId22" Type="http://schemas.openxmlformats.org/officeDocument/2006/relationships/hyperlink" Target="https://minister.awe.gov.au/littleproud/media-releases/agmove" TargetMode="External"/><Relationship Id="rId27" Type="http://schemas.openxmlformats.org/officeDocument/2006/relationships/image" Target="media/image6.png"/><Relationship Id="rId30" Type="http://schemas.openxmlformats.org/officeDocument/2006/relationships/hyperlink" Target="https://www.anao.gov.au/work/performance-audit/implementation-anao-and-parliamentary-committee-recommendations-2019" TargetMode="External"/><Relationship Id="rId35" Type="http://schemas.openxmlformats.org/officeDocument/2006/relationships/hyperlink" Target="https://www.igb.gov.au/current-and-completed-reviews" TargetMode="External"/><Relationship Id="rId43" Type="http://schemas.openxmlformats.org/officeDocument/2006/relationships/hyperlink" Target="https://iia.org.au/sf_docs/default-source/technical-resources/2018-whitepapers/iia-whitepaper_reporting-on-the-status-of-audit-recommendations.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EE045C01-0131-42FE-B049-96D9FDE1E9C8}"/>
</file>

<file path=customXml/itemProps2.xml><?xml version="1.0" encoding="utf-8"?>
<ds:datastoreItem xmlns:ds="http://schemas.openxmlformats.org/officeDocument/2006/customXml" ds:itemID="{76D18DFF-0408-43B6-A6DC-947357EABC63}">
  <ds:schemaRefs>
    <ds:schemaRef ds:uri="http://schemas.openxmlformats.org/officeDocument/2006/bibliography"/>
  </ds:schemaRefs>
</ds:datastoreItem>
</file>

<file path=customXml/itemProps3.xml><?xml version="1.0" encoding="utf-8"?>
<ds:datastoreItem xmlns:ds="http://schemas.openxmlformats.org/officeDocument/2006/customXml" ds:itemID="{26FA64FC-5A31-498B-B633-3A9AF8DD632D}">
  <ds:schemaRefs>
    <ds:schemaRef ds:uri="http://schemas.microsoft.com/sharepoint/v3/contenttype/forms"/>
  </ds:schemaRefs>
</ds:datastoreItem>
</file>

<file path=customXml/itemProps4.xml><?xml version="1.0" encoding="utf-8"?>
<ds:datastoreItem xmlns:ds="http://schemas.openxmlformats.org/officeDocument/2006/customXml" ds:itemID="{FF9D584D-C4F7-4FCC-B3FA-729597D14EE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14851</Words>
  <Characters>84653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IGB review, Accountable implementation of Inspectors-General of Biosecurity review recommendations</vt:lpstr>
    </vt:vector>
  </TitlesOfParts>
  <Company/>
  <LinksUpToDate>false</LinksUpToDate>
  <CharactersWithSpaces>99306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IGB review, Accountable implementation of Inspectors-General of Biosecurity review recommendations</dc:title>
  <dc:subject/>
  <dc:creator>Inspector-General of Biosecurity</dc:creator>
  <cp:keywords/>
  <dc:description/>
  <cp:lastModifiedBy>Hamilton, Clare</cp:lastModifiedBy>
  <cp:revision>3</cp:revision>
  <cp:lastPrinted>2015-08-14T05:36:00Z</cp:lastPrinted>
  <dcterms:created xsi:type="dcterms:W3CDTF">2021-12-21T22:18:00Z</dcterms:created>
  <dcterms:modified xsi:type="dcterms:W3CDTF">2022-04-05T03:03:00Z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