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F606" w14:textId="77777777" w:rsidR="00FE2380" w:rsidRDefault="004141FA">
      <w:pPr>
        <w:tabs>
          <w:tab w:val="right" w:pos="9639"/>
        </w:tabs>
        <w:spacing w:after="48"/>
      </w:pPr>
      <w:bookmarkStart w:id="0" w:name="OLE_LINK9"/>
      <w:bookmarkStart w:id="1" w:name="OLE_LINK10"/>
      <w:bookmarkStart w:id="2" w:name="_Toc338227739"/>
      <w:r>
        <w:rPr>
          <w:rFonts w:ascii="Cambria" w:hAnsi="Cambria"/>
          <w:b/>
          <w:noProof/>
          <w:sz w:val="20"/>
          <w:szCs w:val="20"/>
        </w:rPr>
        <w:drawing>
          <wp:inline distT="0" distB="0" distL="0" distR="0" wp14:anchorId="2495F308" wp14:editId="279936E6">
            <wp:extent cx="2037715" cy="1043940"/>
            <wp:effectExtent l="0" t="0" r="635" b="3810"/>
            <wp:docPr id="2" name="Picture 2" descr="IGB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B_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715" cy="1043940"/>
                    </a:xfrm>
                    <a:prstGeom prst="rect">
                      <a:avLst/>
                    </a:prstGeom>
                    <a:noFill/>
                    <a:ln>
                      <a:noFill/>
                    </a:ln>
                  </pic:spPr>
                </pic:pic>
              </a:graphicData>
            </a:graphic>
          </wp:inline>
        </w:drawing>
      </w:r>
    </w:p>
    <w:p w14:paraId="0E067667" w14:textId="15989EE2" w:rsidR="00FE2380" w:rsidRDefault="004141FA" w:rsidP="001A31A2">
      <w:pPr>
        <w:pStyle w:val="Heading1"/>
      </w:pPr>
      <w:bookmarkStart w:id="3" w:name="_Toc509587676"/>
      <w:bookmarkEnd w:id="0"/>
      <w:bookmarkEnd w:id="1"/>
      <w:r>
        <w:t>Implementation of Interim Inspector</w:t>
      </w:r>
      <w:r>
        <w:noBreakHyphen/>
        <w:t>General of Biosecurity recommendations</w:t>
      </w:r>
      <w:r w:rsidR="001240E5">
        <w:pict w14:anchorId="3BDBE9D9">
          <v:rect id="_x0000_i1025" style="width:0;height:1.5pt" o:hralign="center" o:hrstd="t" o:hr="t" fillcolor="#aca899" stroked="f"/>
        </w:pict>
      </w:r>
      <w:bookmarkEnd w:id="3"/>
    </w:p>
    <w:p w14:paraId="28F8F3EF" w14:textId="77777777" w:rsidR="00FE2380" w:rsidRDefault="004141FA">
      <w:pPr>
        <w:rPr>
          <w:szCs w:val="24"/>
        </w:rPr>
      </w:pPr>
      <w:r>
        <w:rPr>
          <w:rStyle w:val="Strong"/>
          <w:szCs w:val="24"/>
        </w:rPr>
        <w:t>Review report No.</w:t>
      </w:r>
      <w:r>
        <w:rPr>
          <w:szCs w:val="24"/>
        </w:rPr>
        <w:t xml:space="preserve"> 2018–19</w:t>
      </w:r>
      <w:r w:rsidRPr="00BC6012">
        <w:rPr>
          <w:szCs w:val="24"/>
        </w:rPr>
        <w:t>/03</w:t>
      </w:r>
    </w:p>
    <w:p w14:paraId="71B2D93C" w14:textId="77777777" w:rsidR="00FE2380" w:rsidRDefault="004141FA">
      <w:pPr>
        <w:spacing w:after="48"/>
      </w:pPr>
      <w:r>
        <w:rPr>
          <w:noProof/>
        </w:rPr>
        <w:drawing>
          <wp:inline distT="0" distB="0" distL="0" distR="0" wp14:anchorId="7EA710EE" wp14:editId="6A417843">
            <wp:extent cx="5414645" cy="5414645"/>
            <wp:effectExtent l="0" t="0" r="0" b="0"/>
            <wp:docPr id="3" name="Picture 3" descr="DA1915_0415_biosphere - IIGB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1915_0415_biosphere - IIGB_V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4645" cy="5414645"/>
                    </a:xfrm>
                    <a:prstGeom prst="rect">
                      <a:avLst/>
                    </a:prstGeom>
                    <a:noFill/>
                    <a:ln>
                      <a:noFill/>
                    </a:ln>
                  </pic:spPr>
                </pic:pic>
              </a:graphicData>
            </a:graphic>
          </wp:inline>
        </w:drawing>
      </w:r>
    </w:p>
    <w:p w14:paraId="7544C296" w14:textId="77777777" w:rsidR="00FE2380" w:rsidRDefault="004141FA">
      <w:pPr>
        <w:spacing w:line="276" w:lineRule="auto"/>
        <w:rPr>
          <w:rFonts w:ascii="Cambria" w:hAnsi="Cambria"/>
          <w:sz w:val="18"/>
          <w:szCs w:val="18"/>
        </w:rPr>
      </w:pPr>
      <w:r>
        <w:br w:type="page"/>
      </w:r>
      <w:r>
        <w:rPr>
          <w:rFonts w:ascii="Cambria" w:hAnsi="Cambria"/>
          <w:sz w:val="18"/>
          <w:szCs w:val="18"/>
        </w:rPr>
        <w:lastRenderedPageBreak/>
        <w:t>© Commonwealth of Australia 2018</w:t>
      </w:r>
    </w:p>
    <w:p w14:paraId="69E9F4FE" w14:textId="77777777" w:rsidR="00FE2380" w:rsidRDefault="004141FA">
      <w:pPr>
        <w:spacing w:line="276" w:lineRule="auto"/>
        <w:rPr>
          <w:rFonts w:ascii="Cambria" w:hAnsi="Cambria"/>
          <w:b/>
          <w:sz w:val="18"/>
          <w:szCs w:val="18"/>
        </w:rPr>
      </w:pPr>
      <w:r>
        <w:rPr>
          <w:rFonts w:ascii="Cambria" w:hAnsi="Cambria"/>
          <w:b/>
          <w:sz w:val="18"/>
          <w:szCs w:val="18"/>
        </w:rPr>
        <w:t>Ownership of intellectual property rights</w:t>
      </w:r>
    </w:p>
    <w:p w14:paraId="4F68A1E5" w14:textId="77777777" w:rsidR="00FE2380" w:rsidRPr="00430856" w:rsidRDefault="004141FA">
      <w:pPr>
        <w:pStyle w:val="Tableheader"/>
        <w:spacing w:before="0" w:after="120" w:line="276" w:lineRule="auto"/>
        <w:rPr>
          <w:rFonts w:ascii="Cambria" w:hAnsi="Cambria"/>
          <w:b w:val="0"/>
        </w:rPr>
      </w:pPr>
      <w:r w:rsidRPr="00430856">
        <w:rPr>
          <w:rFonts w:ascii="Cambria" w:hAnsi="Cambria"/>
          <w:b w:val="0"/>
          <w:szCs w:val="18"/>
        </w:rPr>
        <w:t>Unless otherwise noted, copyright (and any other intellectual property rights, if any) in this publication is owned by the</w:t>
      </w:r>
      <w:r w:rsidRPr="00430856">
        <w:rPr>
          <w:rFonts w:ascii="Cambria" w:hAnsi="Cambria"/>
          <w:b w:val="0"/>
        </w:rPr>
        <w:t xml:space="preserve"> Commonwealth of Australia (referred to as the Commonwealth).</w:t>
      </w:r>
    </w:p>
    <w:p w14:paraId="7C179E10" w14:textId="77777777" w:rsidR="00FE2380" w:rsidRDefault="004141FA">
      <w:pPr>
        <w:spacing w:line="276" w:lineRule="auto"/>
        <w:rPr>
          <w:rFonts w:ascii="Cambria" w:eastAsia="Calibri" w:hAnsi="Cambria"/>
          <w:b/>
          <w:bCs/>
          <w:sz w:val="18"/>
          <w:szCs w:val="18"/>
          <w:lang w:eastAsia="en-US"/>
        </w:rPr>
      </w:pPr>
      <w:r>
        <w:rPr>
          <w:rFonts w:ascii="Cambria" w:eastAsia="Calibri" w:hAnsi="Cambria"/>
          <w:b/>
          <w:bCs/>
          <w:sz w:val="18"/>
          <w:szCs w:val="18"/>
          <w:lang w:eastAsia="en-US"/>
        </w:rPr>
        <w:t>Creative Commons licence</w:t>
      </w:r>
    </w:p>
    <w:p w14:paraId="3117BDC8" w14:textId="5E5AAD13" w:rsidR="00FE2380" w:rsidRDefault="004141FA">
      <w:pPr>
        <w:spacing w:line="276" w:lineRule="auto"/>
        <w:rPr>
          <w:rFonts w:ascii="Cambria" w:hAnsi="Cambria"/>
          <w:sz w:val="18"/>
          <w:szCs w:val="18"/>
        </w:rPr>
      </w:pPr>
      <w:r>
        <w:rPr>
          <w:rFonts w:ascii="Cambria" w:hAnsi="Cambria"/>
          <w:sz w:val="18"/>
          <w:szCs w:val="18"/>
        </w:rPr>
        <w:t xml:space="preserve">All material in this publication is licensed under a Creative </w:t>
      </w:r>
      <w:hyperlink r:id="rId13" w:history="1">
        <w:r w:rsidRPr="003B5704">
          <w:rPr>
            <w:rStyle w:val="Hyperlink"/>
            <w:rFonts w:ascii="Cambria" w:hAnsi="Cambria"/>
            <w:sz w:val="18"/>
            <w:szCs w:val="18"/>
          </w:rPr>
          <w:t>Commons Attribution 4.0 International Licence</w:t>
        </w:r>
      </w:hyperlink>
      <w:r>
        <w:rPr>
          <w:rFonts w:ascii="Cambria" w:hAnsi="Cambria"/>
          <w:sz w:val="18"/>
          <w:szCs w:val="18"/>
        </w:rPr>
        <w:t xml:space="preserve"> except content supplied by third parties, logos and the Commonwealth Coat of Arms.</w:t>
      </w:r>
    </w:p>
    <w:p w14:paraId="76D85FC5" w14:textId="3E22900C" w:rsidR="00FE2380" w:rsidRDefault="004141FA">
      <w:pPr>
        <w:spacing w:line="276" w:lineRule="auto"/>
        <w:rPr>
          <w:rFonts w:ascii="Cambria" w:hAnsi="Cambria"/>
          <w:sz w:val="18"/>
          <w:szCs w:val="18"/>
        </w:rPr>
      </w:pPr>
      <w:r>
        <w:rPr>
          <w:rFonts w:ascii="Cambria" w:hAnsi="Cambria"/>
          <w:sz w:val="18"/>
          <w:szCs w:val="18"/>
        </w:rPr>
        <w:t xml:space="preserve">Inquiries about the licence and any use of this document should be emailed to </w:t>
      </w:r>
      <w:hyperlink r:id="rId14" w:history="1">
        <w:r w:rsidRPr="003B5704">
          <w:rPr>
            <w:rStyle w:val="Hyperlink"/>
            <w:rFonts w:ascii="Cambria" w:hAnsi="Cambria"/>
            <w:sz w:val="18"/>
            <w:szCs w:val="18"/>
          </w:rPr>
          <w:t>copyright@agriculture.gov.au</w:t>
        </w:r>
      </w:hyperlink>
      <w:r>
        <w:rPr>
          <w:rFonts w:ascii="Cambria" w:hAnsi="Cambria"/>
          <w:sz w:val="18"/>
          <w:szCs w:val="18"/>
        </w:rPr>
        <w:t>.</w:t>
      </w:r>
    </w:p>
    <w:p w14:paraId="65DEF8A8" w14:textId="77777777" w:rsidR="00FE2380" w:rsidRDefault="004141FA">
      <w:pPr>
        <w:pStyle w:val="Tableheader"/>
        <w:rPr>
          <w:rFonts w:ascii="Cambria" w:hAnsi="Cambria"/>
        </w:rPr>
      </w:pPr>
      <w:r>
        <w:rPr>
          <w:rFonts w:ascii="Cambria" w:hAnsi="Cambria"/>
          <w:noProof/>
          <w:lang w:eastAsia="en-AU" w:bidi="ar-SA"/>
        </w:rPr>
        <w:drawing>
          <wp:inline distT="0" distB="0" distL="0" distR="0" wp14:anchorId="6CAFA1A4" wp14:editId="28D901B9">
            <wp:extent cx="720090" cy="252095"/>
            <wp:effectExtent l="0" t="0" r="3810" b="0"/>
            <wp:docPr id="4"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90" cy="252095"/>
                    </a:xfrm>
                    <a:prstGeom prst="rect">
                      <a:avLst/>
                    </a:prstGeom>
                    <a:noFill/>
                    <a:ln>
                      <a:noFill/>
                    </a:ln>
                  </pic:spPr>
                </pic:pic>
              </a:graphicData>
            </a:graphic>
          </wp:inline>
        </w:drawing>
      </w:r>
    </w:p>
    <w:p w14:paraId="35F63B0B" w14:textId="77777777" w:rsidR="00FE2380" w:rsidRDefault="004141FA">
      <w:pPr>
        <w:spacing w:line="276" w:lineRule="auto"/>
        <w:rPr>
          <w:rFonts w:ascii="Cambria" w:hAnsi="Cambria"/>
          <w:b/>
          <w:bCs/>
          <w:sz w:val="18"/>
          <w:szCs w:val="18"/>
        </w:rPr>
      </w:pPr>
      <w:r>
        <w:rPr>
          <w:rFonts w:ascii="Cambria" w:eastAsia="Calibri" w:hAnsi="Cambria"/>
          <w:b/>
          <w:bCs/>
          <w:sz w:val="18"/>
          <w:szCs w:val="18"/>
          <w:lang w:eastAsia="en-US"/>
        </w:rPr>
        <w:t>Cataloguing</w:t>
      </w:r>
      <w:r>
        <w:rPr>
          <w:rFonts w:ascii="Cambria" w:hAnsi="Cambria"/>
          <w:b/>
          <w:bCs/>
          <w:sz w:val="18"/>
          <w:szCs w:val="18"/>
        </w:rPr>
        <w:t xml:space="preserve"> data</w:t>
      </w:r>
    </w:p>
    <w:p w14:paraId="4243F20F" w14:textId="5FA38DE0" w:rsidR="00FE2380" w:rsidRDefault="004141FA">
      <w:pPr>
        <w:spacing w:line="276" w:lineRule="auto"/>
        <w:rPr>
          <w:rFonts w:ascii="Cambria" w:hAnsi="Cambria"/>
          <w:sz w:val="18"/>
          <w:szCs w:val="18"/>
        </w:rPr>
      </w:pPr>
      <w:r>
        <w:rPr>
          <w:rFonts w:ascii="Cambria" w:hAnsi="Cambria"/>
          <w:sz w:val="18"/>
          <w:szCs w:val="18"/>
        </w:rPr>
        <w:t xml:space="preserve">This publication (and any material sourced from it) should be attributed as: Inspector-General of Biosecurity 2018, </w:t>
      </w:r>
      <w:r>
        <w:rPr>
          <w:rFonts w:ascii="Cambria" w:hAnsi="Cambria"/>
          <w:i/>
          <w:sz w:val="18"/>
          <w:szCs w:val="18"/>
        </w:rPr>
        <w:t>Implementation of Interim Inspector-General of Biosecurity recommendations</w:t>
      </w:r>
      <w:r>
        <w:rPr>
          <w:rFonts w:ascii="Cambria" w:hAnsi="Cambria"/>
          <w:sz w:val="18"/>
          <w:szCs w:val="18"/>
        </w:rPr>
        <w:t xml:space="preserve">, Department of Agriculture and Water Resources, Canberra, </w:t>
      </w:r>
      <w:r w:rsidR="00430856">
        <w:rPr>
          <w:rFonts w:ascii="Cambria" w:hAnsi="Cambria"/>
          <w:sz w:val="18"/>
          <w:szCs w:val="18"/>
        </w:rPr>
        <w:t>September</w:t>
      </w:r>
      <w:r>
        <w:rPr>
          <w:rFonts w:ascii="Cambria" w:hAnsi="Cambria"/>
          <w:sz w:val="18"/>
          <w:szCs w:val="18"/>
        </w:rPr>
        <w:t>. CC BY 4.0.</w:t>
      </w:r>
    </w:p>
    <w:p w14:paraId="43A9F3DA" w14:textId="77777777" w:rsidR="00FE2380" w:rsidRDefault="004141FA">
      <w:pPr>
        <w:spacing w:line="276" w:lineRule="auto"/>
        <w:rPr>
          <w:rFonts w:ascii="Cambria" w:hAnsi="Cambria"/>
          <w:sz w:val="18"/>
          <w:szCs w:val="18"/>
        </w:rPr>
      </w:pPr>
      <w:r>
        <w:rPr>
          <w:rFonts w:ascii="Cambria" w:hAnsi="Cambria"/>
          <w:sz w:val="18"/>
          <w:szCs w:val="18"/>
        </w:rPr>
        <w:t>ISBN 978-1-76003-165-7</w:t>
      </w:r>
    </w:p>
    <w:p w14:paraId="69FCDA32" w14:textId="253CE343" w:rsidR="00FE2380" w:rsidRDefault="004141FA">
      <w:pPr>
        <w:spacing w:line="276" w:lineRule="auto"/>
        <w:rPr>
          <w:rFonts w:ascii="Cambria" w:hAnsi="Cambria"/>
          <w:sz w:val="18"/>
          <w:szCs w:val="18"/>
        </w:rPr>
      </w:pPr>
      <w:r>
        <w:rPr>
          <w:rFonts w:ascii="Cambria" w:hAnsi="Cambria"/>
          <w:sz w:val="18"/>
          <w:szCs w:val="18"/>
        </w:rPr>
        <w:t>This publication is available at</w:t>
      </w:r>
      <w:r w:rsidR="00BC6012">
        <w:rPr>
          <w:rFonts w:ascii="Cambria" w:hAnsi="Cambria"/>
          <w:sz w:val="18"/>
          <w:szCs w:val="18"/>
        </w:rPr>
        <w:t xml:space="preserve"> </w:t>
      </w:r>
      <w:hyperlink r:id="rId16" w:history="1">
        <w:r w:rsidR="00E46AC8" w:rsidRPr="00BC6012">
          <w:rPr>
            <w:rStyle w:val="Hyperlink"/>
            <w:rFonts w:ascii="Cambria" w:hAnsi="Cambria"/>
            <w:sz w:val="18"/>
            <w:szCs w:val="18"/>
          </w:rPr>
          <w:t>igb.gov.au/Pages/current-completed-reviews.aspx</w:t>
        </w:r>
      </w:hyperlink>
      <w:r>
        <w:rPr>
          <w:rFonts w:ascii="Cambria" w:hAnsi="Cambria"/>
          <w:sz w:val="18"/>
          <w:szCs w:val="18"/>
        </w:rPr>
        <w:t>.</w:t>
      </w:r>
    </w:p>
    <w:p w14:paraId="244B8E80" w14:textId="77777777" w:rsidR="00FE2380" w:rsidRDefault="004141FA" w:rsidP="00430856">
      <w:pPr>
        <w:spacing w:after="0" w:line="276" w:lineRule="auto"/>
        <w:rPr>
          <w:rFonts w:ascii="Cambria" w:hAnsi="Cambria"/>
          <w:sz w:val="18"/>
          <w:szCs w:val="18"/>
        </w:rPr>
      </w:pPr>
      <w:r>
        <w:rPr>
          <w:rFonts w:ascii="Cambria" w:hAnsi="Cambria"/>
          <w:sz w:val="18"/>
          <w:szCs w:val="18"/>
        </w:rPr>
        <w:t>Inspector-General of Biosecurity</w:t>
      </w:r>
    </w:p>
    <w:p w14:paraId="01A69248" w14:textId="77777777" w:rsidR="00FE2380" w:rsidRDefault="004141FA" w:rsidP="00430856">
      <w:pPr>
        <w:spacing w:after="0" w:line="276" w:lineRule="auto"/>
        <w:rPr>
          <w:rFonts w:ascii="Cambria" w:hAnsi="Cambria"/>
          <w:sz w:val="18"/>
          <w:szCs w:val="18"/>
        </w:rPr>
      </w:pPr>
      <w:r>
        <w:rPr>
          <w:rFonts w:ascii="Cambria" w:hAnsi="Cambria"/>
          <w:sz w:val="18"/>
          <w:szCs w:val="18"/>
        </w:rPr>
        <w:t>c/- Department of Agriculture and Water Resources</w:t>
      </w:r>
    </w:p>
    <w:p w14:paraId="6E467619" w14:textId="77777777" w:rsidR="00FE2380" w:rsidRDefault="004141FA" w:rsidP="00430856">
      <w:pPr>
        <w:spacing w:after="0" w:line="276" w:lineRule="auto"/>
        <w:rPr>
          <w:rFonts w:ascii="Cambria" w:hAnsi="Cambria"/>
          <w:sz w:val="18"/>
          <w:szCs w:val="18"/>
        </w:rPr>
      </w:pPr>
      <w:r>
        <w:rPr>
          <w:rFonts w:ascii="Cambria" w:hAnsi="Cambria"/>
          <w:sz w:val="18"/>
          <w:szCs w:val="18"/>
        </w:rPr>
        <w:t>PO Box 657 Mascot NSW 1460</w:t>
      </w:r>
    </w:p>
    <w:p w14:paraId="202D81CA" w14:textId="77777777" w:rsidR="00FE2380" w:rsidRDefault="004141FA" w:rsidP="00430856">
      <w:pPr>
        <w:spacing w:after="0" w:line="276" w:lineRule="auto"/>
        <w:rPr>
          <w:rFonts w:ascii="Cambria" w:hAnsi="Cambria"/>
          <w:sz w:val="18"/>
          <w:szCs w:val="18"/>
        </w:rPr>
      </w:pPr>
      <w:r>
        <w:rPr>
          <w:rFonts w:ascii="Cambria" w:hAnsi="Cambria"/>
          <w:sz w:val="18"/>
          <w:szCs w:val="18"/>
        </w:rPr>
        <w:t>Telephone +61 2 8334 7409</w:t>
      </w:r>
    </w:p>
    <w:p w14:paraId="0CD8E632" w14:textId="4C719C12" w:rsidR="00FE2380" w:rsidRDefault="004141FA" w:rsidP="00430856">
      <w:pPr>
        <w:spacing w:after="0" w:line="276" w:lineRule="auto"/>
        <w:rPr>
          <w:rFonts w:ascii="Cambria" w:hAnsi="Cambria"/>
          <w:sz w:val="18"/>
          <w:szCs w:val="18"/>
        </w:rPr>
      </w:pPr>
      <w:r>
        <w:rPr>
          <w:rFonts w:ascii="Cambria" w:hAnsi="Cambria"/>
          <w:sz w:val="18"/>
          <w:szCs w:val="18"/>
        </w:rPr>
        <w:t xml:space="preserve">Email </w:t>
      </w:r>
      <w:hyperlink r:id="rId17" w:history="1">
        <w:r w:rsidRPr="003B5704">
          <w:rPr>
            <w:rStyle w:val="Hyperlink"/>
            <w:rFonts w:ascii="Cambria" w:hAnsi="Cambria"/>
            <w:sz w:val="18"/>
            <w:szCs w:val="18"/>
          </w:rPr>
          <w:t>inspgenbiosecurity@agriculture.gov.au</w:t>
        </w:r>
      </w:hyperlink>
    </w:p>
    <w:p w14:paraId="7803CE66" w14:textId="74018BCD" w:rsidR="00FE2380" w:rsidRDefault="004141FA" w:rsidP="00430856">
      <w:pPr>
        <w:spacing w:line="276" w:lineRule="auto"/>
        <w:rPr>
          <w:rFonts w:ascii="Cambria" w:hAnsi="Cambria"/>
          <w:sz w:val="18"/>
          <w:szCs w:val="18"/>
        </w:rPr>
      </w:pPr>
      <w:r>
        <w:rPr>
          <w:rFonts w:ascii="Cambria" w:hAnsi="Cambria"/>
          <w:sz w:val="18"/>
          <w:szCs w:val="18"/>
        </w:rPr>
        <w:t xml:space="preserve">Web </w:t>
      </w:r>
      <w:hyperlink r:id="rId18" w:history="1">
        <w:r w:rsidRPr="003B5704">
          <w:rPr>
            <w:rStyle w:val="Hyperlink"/>
            <w:rFonts w:ascii="Cambria" w:hAnsi="Cambria"/>
            <w:sz w:val="18"/>
            <w:szCs w:val="18"/>
          </w:rPr>
          <w:t>igb.gov.au</w:t>
        </w:r>
      </w:hyperlink>
    </w:p>
    <w:p w14:paraId="45120EC6" w14:textId="77777777" w:rsidR="00FE2380" w:rsidRDefault="004141FA">
      <w:pPr>
        <w:pStyle w:val="Normalsmall"/>
      </w:pPr>
      <w:r>
        <w:t>The Australian Government acting through the Inspector-General of Biosecurity (IGB) has exercised due care and skill in preparing and compiling the information and data in this publication. Notwithstanding, the IGB and the Australian Government’s employees and advisers disclaim all liability, including for negligence and for any loss, damage, injury, expense or cost incurred by any person as a result of accessing, using or relying on any of the information or data in this publication to the maximum extent permitted by law.</w:t>
      </w:r>
    </w:p>
    <w:p w14:paraId="7375BCA1" w14:textId="358C8E7F" w:rsidR="006A77FA" w:rsidRPr="006A77FA" w:rsidRDefault="006A77FA">
      <w:pPr>
        <w:pStyle w:val="Normalsmall"/>
        <w:rPr>
          <w:rStyle w:val="Strong"/>
        </w:rPr>
      </w:pPr>
      <w:r w:rsidRPr="006A77FA">
        <w:rPr>
          <w:rStyle w:val="Strong"/>
        </w:rPr>
        <w:t>Acknowledgments</w:t>
      </w:r>
    </w:p>
    <w:p w14:paraId="6BA50A64" w14:textId="2820862C" w:rsidR="006A77FA" w:rsidRDefault="006A77FA">
      <w:pPr>
        <w:pStyle w:val="Normalsmall"/>
      </w:pPr>
      <w:r w:rsidRPr="006A77FA">
        <w:t xml:space="preserve">Dr Naveen Bhatia and Fatima Merhi assisted </w:t>
      </w:r>
      <w:r w:rsidR="0022551C">
        <w:t>the Inspector-General</w:t>
      </w:r>
      <w:r w:rsidRPr="006A77FA">
        <w:t xml:space="preserve"> with this review.</w:t>
      </w:r>
    </w:p>
    <w:p w14:paraId="60CD952C" w14:textId="47D973CD" w:rsidR="00FE2380" w:rsidRPr="008A174C" w:rsidRDefault="004141FA" w:rsidP="008A174C">
      <w:pPr>
        <w:pStyle w:val="TOCHeading"/>
        <w:keepLines w:val="0"/>
        <w:pageBreakBefore/>
        <w:rPr>
          <w:rFonts w:ascii="Calibri" w:eastAsiaTheme="minorEastAsia" w:hAnsi="Calibri" w:cstheme="minorBidi"/>
          <w:bCs/>
          <w:color w:val="000000"/>
          <w:sz w:val="36"/>
          <w:lang w:val="en-AU" w:eastAsia="ja-JP"/>
        </w:rPr>
      </w:pPr>
      <w:r w:rsidRPr="008A174C">
        <w:rPr>
          <w:rFonts w:ascii="Calibri" w:eastAsiaTheme="minorEastAsia" w:hAnsi="Calibri" w:cstheme="minorBidi"/>
          <w:bCs/>
          <w:color w:val="000000"/>
          <w:sz w:val="36"/>
          <w:lang w:val="en-AU" w:eastAsia="ja-JP"/>
        </w:rPr>
        <w:lastRenderedPageBreak/>
        <w:t>Contents</w:t>
      </w:r>
    </w:p>
    <w:p w14:paraId="6F78B106" w14:textId="77777777" w:rsidR="00EB5749" w:rsidRPr="00EB5749" w:rsidRDefault="004141FA">
      <w:pPr>
        <w:pStyle w:val="TOC1"/>
        <w:tabs>
          <w:tab w:val="left" w:pos="426"/>
        </w:tabs>
        <w:rPr>
          <w:rFonts w:asciiTheme="minorHAnsi" w:eastAsiaTheme="minorEastAsia" w:hAnsiTheme="minorHAnsi" w:cstheme="minorBidi"/>
          <w:b w:val="0"/>
          <w:noProof/>
          <w:sz w:val="22"/>
        </w:rPr>
      </w:pPr>
      <w:r w:rsidRPr="00221956">
        <w:rPr>
          <w:rFonts w:asciiTheme="minorHAnsi" w:hAnsiTheme="minorHAnsi"/>
          <w:sz w:val="22"/>
        </w:rPr>
        <w:fldChar w:fldCharType="begin"/>
      </w:r>
      <w:r w:rsidRPr="00221956">
        <w:rPr>
          <w:rFonts w:asciiTheme="minorHAnsi" w:hAnsiTheme="minorHAnsi"/>
          <w:sz w:val="22"/>
        </w:rPr>
        <w:instrText xml:space="preserve"> TOC \h \z \u \t "Heading 2,1,Heading 3,2" </w:instrText>
      </w:r>
      <w:r w:rsidRPr="00221956">
        <w:rPr>
          <w:rFonts w:asciiTheme="minorHAnsi" w:hAnsiTheme="minorHAnsi"/>
          <w:sz w:val="22"/>
        </w:rPr>
        <w:fldChar w:fldCharType="separate"/>
      </w:r>
      <w:hyperlink w:anchor="_Toc524077274" w:history="1">
        <w:r w:rsidR="00EB5749" w:rsidRPr="00EB5749">
          <w:rPr>
            <w:rStyle w:val="Hyperlink"/>
            <w:noProof/>
            <w:sz w:val="22"/>
          </w:rPr>
          <w:t>1.</w:t>
        </w:r>
        <w:r w:rsidR="00EB5749" w:rsidRPr="00EB5749">
          <w:rPr>
            <w:rFonts w:asciiTheme="minorHAnsi" w:eastAsiaTheme="minorEastAsia" w:hAnsiTheme="minorHAnsi" w:cstheme="minorBidi"/>
            <w:b w:val="0"/>
            <w:noProof/>
            <w:sz w:val="22"/>
          </w:rPr>
          <w:tab/>
        </w:r>
        <w:r w:rsidR="00EB5749" w:rsidRPr="00EB5749">
          <w:rPr>
            <w:rStyle w:val="Hyperlink"/>
            <w:noProof/>
            <w:sz w:val="22"/>
          </w:rPr>
          <w:t>Background</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_Toc524077274 \h </w:instrText>
        </w:r>
        <w:r w:rsidR="00EB5749" w:rsidRPr="00EB5749">
          <w:rPr>
            <w:noProof/>
            <w:webHidden/>
            <w:sz w:val="22"/>
          </w:rPr>
        </w:r>
        <w:r w:rsidR="00EB5749" w:rsidRPr="00EB5749">
          <w:rPr>
            <w:noProof/>
            <w:webHidden/>
            <w:sz w:val="22"/>
          </w:rPr>
          <w:fldChar w:fldCharType="separate"/>
        </w:r>
        <w:r w:rsidR="00DA22A4">
          <w:rPr>
            <w:noProof/>
            <w:webHidden/>
            <w:sz w:val="22"/>
          </w:rPr>
          <w:t>1</w:t>
        </w:r>
        <w:r w:rsidR="00EB5749" w:rsidRPr="00EB5749">
          <w:rPr>
            <w:noProof/>
            <w:webHidden/>
            <w:sz w:val="22"/>
          </w:rPr>
          <w:fldChar w:fldCharType="end"/>
        </w:r>
      </w:hyperlink>
    </w:p>
    <w:p w14:paraId="042C2AFE" w14:textId="77777777" w:rsidR="00EB5749" w:rsidRPr="00EB5749" w:rsidRDefault="001240E5">
      <w:pPr>
        <w:pStyle w:val="TOC1"/>
        <w:tabs>
          <w:tab w:val="left" w:pos="426"/>
        </w:tabs>
        <w:rPr>
          <w:rFonts w:asciiTheme="minorHAnsi" w:eastAsiaTheme="minorEastAsia" w:hAnsiTheme="minorHAnsi" w:cstheme="minorBidi"/>
          <w:b w:val="0"/>
          <w:noProof/>
          <w:sz w:val="22"/>
        </w:rPr>
      </w:pPr>
      <w:hyperlink w:anchor="_Toc524077275" w:history="1">
        <w:r w:rsidR="00EB5749" w:rsidRPr="00EB5749">
          <w:rPr>
            <w:rStyle w:val="Hyperlink"/>
            <w:noProof/>
            <w:sz w:val="22"/>
          </w:rPr>
          <w:t>2.</w:t>
        </w:r>
        <w:r w:rsidR="00EB5749" w:rsidRPr="00EB5749">
          <w:rPr>
            <w:rFonts w:asciiTheme="minorHAnsi" w:eastAsiaTheme="minorEastAsia" w:hAnsiTheme="minorHAnsi" w:cstheme="minorBidi"/>
            <w:b w:val="0"/>
            <w:noProof/>
            <w:sz w:val="22"/>
          </w:rPr>
          <w:tab/>
        </w:r>
        <w:r w:rsidR="00EB5749" w:rsidRPr="00EB5749">
          <w:rPr>
            <w:rStyle w:val="Hyperlink"/>
            <w:noProof/>
            <w:sz w:val="22"/>
          </w:rPr>
          <w:t>Review process</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_Toc524077275 \h </w:instrText>
        </w:r>
        <w:r w:rsidR="00EB5749" w:rsidRPr="00EB5749">
          <w:rPr>
            <w:noProof/>
            <w:webHidden/>
            <w:sz w:val="22"/>
          </w:rPr>
        </w:r>
        <w:r w:rsidR="00EB5749" w:rsidRPr="00EB5749">
          <w:rPr>
            <w:noProof/>
            <w:webHidden/>
            <w:sz w:val="22"/>
          </w:rPr>
          <w:fldChar w:fldCharType="separate"/>
        </w:r>
        <w:r w:rsidR="00DA22A4">
          <w:rPr>
            <w:noProof/>
            <w:webHidden/>
            <w:sz w:val="22"/>
          </w:rPr>
          <w:t>2</w:t>
        </w:r>
        <w:r w:rsidR="00EB5749" w:rsidRPr="00EB5749">
          <w:rPr>
            <w:noProof/>
            <w:webHidden/>
            <w:sz w:val="22"/>
          </w:rPr>
          <w:fldChar w:fldCharType="end"/>
        </w:r>
      </w:hyperlink>
    </w:p>
    <w:p w14:paraId="2D7A16D6" w14:textId="77777777" w:rsidR="00EB5749" w:rsidRPr="00EB5749" w:rsidRDefault="001240E5">
      <w:pPr>
        <w:pStyle w:val="TOC1"/>
        <w:tabs>
          <w:tab w:val="left" w:pos="426"/>
        </w:tabs>
        <w:rPr>
          <w:rFonts w:asciiTheme="minorHAnsi" w:eastAsiaTheme="minorEastAsia" w:hAnsiTheme="minorHAnsi" w:cstheme="minorBidi"/>
          <w:b w:val="0"/>
          <w:noProof/>
          <w:sz w:val="22"/>
        </w:rPr>
      </w:pPr>
      <w:hyperlink w:anchor="_Toc524077276" w:history="1">
        <w:r w:rsidR="00EB5749" w:rsidRPr="00EB5749">
          <w:rPr>
            <w:rStyle w:val="Hyperlink"/>
            <w:noProof/>
            <w:sz w:val="22"/>
          </w:rPr>
          <w:t>3.</w:t>
        </w:r>
        <w:r w:rsidR="00EB5749" w:rsidRPr="00EB5749">
          <w:rPr>
            <w:rFonts w:asciiTheme="minorHAnsi" w:eastAsiaTheme="minorEastAsia" w:hAnsiTheme="minorHAnsi" w:cstheme="minorBidi"/>
            <w:b w:val="0"/>
            <w:noProof/>
            <w:sz w:val="22"/>
          </w:rPr>
          <w:tab/>
        </w:r>
        <w:r w:rsidR="00EB5749" w:rsidRPr="00EB5749">
          <w:rPr>
            <w:rStyle w:val="Hyperlink"/>
            <w:noProof/>
            <w:sz w:val="22"/>
          </w:rPr>
          <w:t>Findings</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_Toc524077276 \h </w:instrText>
        </w:r>
        <w:r w:rsidR="00EB5749" w:rsidRPr="00EB5749">
          <w:rPr>
            <w:noProof/>
            <w:webHidden/>
            <w:sz w:val="22"/>
          </w:rPr>
        </w:r>
        <w:r w:rsidR="00EB5749" w:rsidRPr="00EB5749">
          <w:rPr>
            <w:noProof/>
            <w:webHidden/>
            <w:sz w:val="22"/>
          </w:rPr>
          <w:fldChar w:fldCharType="separate"/>
        </w:r>
        <w:r w:rsidR="00DA22A4">
          <w:rPr>
            <w:noProof/>
            <w:webHidden/>
            <w:sz w:val="22"/>
          </w:rPr>
          <w:t>4</w:t>
        </w:r>
        <w:r w:rsidR="00EB5749" w:rsidRPr="00EB5749">
          <w:rPr>
            <w:noProof/>
            <w:webHidden/>
            <w:sz w:val="22"/>
          </w:rPr>
          <w:fldChar w:fldCharType="end"/>
        </w:r>
      </w:hyperlink>
    </w:p>
    <w:p w14:paraId="3FCACAF0" w14:textId="77777777" w:rsidR="00EB5749" w:rsidRPr="00EB5749" w:rsidRDefault="001240E5">
      <w:pPr>
        <w:pStyle w:val="TOC2"/>
        <w:rPr>
          <w:rFonts w:asciiTheme="minorHAnsi" w:eastAsiaTheme="minorEastAsia" w:hAnsiTheme="minorHAnsi" w:cstheme="minorBidi"/>
          <w:sz w:val="22"/>
        </w:rPr>
      </w:pPr>
      <w:hyperlink w:anchor="_Toc524077277" w:history="1">
        <w:r w:rsidR="00EB5749" w:rsidRPr="00EB5749">
          <w:rPr>
            <w:rStyle w:val="Hyperlink"/>
            <w:sz w:val="22"/>
          </w:rPr>
          <w:t>Process for tracking decisions and actions to implement recommendations</w:t>
        </w:r>
        <w:r w:rsidR="00EB5749" w:rsidRPr="00EB5749">
          <w:rPr>
            <w:webHidden/>
            <w:sz w:val="22"/>
          </w:rPr>
          <w:tab/>
        </w:r>
        <w:r w:rsidR="00EB5749" w:rsidRPr="00EB5749">
          <w:rPr>
            <w:webHidden/>
            <w:sz w:val="22"/>
          </w:rPr>
          <w:fldChar w:fldCharType="begin"/>
        </w:r>
        <w:r w:rsidR="00EB5749" w:rsidRPr="00EB5749">
          <w:rPr>
            <w:webHidden/>
            <w:sz w:val="22"/>
          </w:rPr>
          <w:instrText xml:space="preserve"> PAGEREF _Toc524077277 \h </w:instrText>
        </w:r>
        <w:r w:rsidR="00EB5749" w:rsidRPr="00EB5749">
          <w:rPr>
            <w:webHidden/>
            <w:sz w:val="22"/>
          </w:rPr>
        </w:r>
        <w:r w:rsidR="00EB5749" w:rsidRPr="00EB5749">
          <w:rPr>
            <w:webHidden/>
            <w:sz w:val="22"/>
          </w:rPr>
          <w:fldChar w:fldCharType="separate"/>
        </w:r>
        <w:r w:rsidR="00DA22A4">
          <w:rPr>
            <w:webHidden/>
            <w:sz w:val="22"/>
          </w:rPr>
          <w:t>4</w:t>
        </w:r>
        <w:r w:rsidR="00EB5749" w:rsidRPr="00EB5749">
          <w:rPr>
            <w:webHidden/>
            <w:sz w:val="22"/>
          </w:rPr>
          <w:fldChar w:fldCharType="end"/>
        </w:r>
      </w:hyperlink>
    </w:p>
    <w:p w14:paraId="61D81FB1" w14:textId="77777777" w:rsidR="00EB5749" w:rsidRPr="00EB5749" w:rsidRDefault="001240E5">
      <w:pPr>
        <w:pStyle w:val="TOC2"/>
        <w:rPr>
          <w:rFonts w:asciiTheme="minorHAnsi" w:eastAsiaTheme="minorEastAsia" w:hAnsiTheme="minorHAnsi" w:cstheme="minorBidi"/>
          <w:sz w:val="22"/>
        </w:rPr>
      </w:pPr>
      <w:hyperlink w:anchor="_Toc524077278" w:history="1">
        <w:r w:rsidR="00EB5749" w:rsidRPr="00EB5749">
          <w:rPr>
            <w:rStyle w:val="Hyperlink"/>
            <w:sz w:val="22"/>
          </w:rPr>
          <w:t>Implementation of recommendations over time</w:t>
        </w:r>
        <w:r w:rsidR="00EB5749" w:rsidRPr="00EB5749">
          <w:rPr>
            <w:webHidden/>
            <w:sz w:val="22"/>
          </w:rPr>
          <w:tab/>
        </w:r>
        <w:r w:rsidR="00EB5749" w:rsidRPr="00EB5749">
          <w:rPr>
            <w:webHidden/>
            <w:sz w:val="22"/>
          </w:rPr>
          <w:fldChar w:fldCharType="begin"/>
        </w:r>
        <w:r w:rsidR="00EB5749" w:rsidRPr="00EB5749">
          <w:rPr>
            <w:webHidden/>
            <w:sz w:val="22"/>
          </w:rPr>
          <w:instrText xml:space="preserve"> PAGEREF _Toc524077278 \h </w:instrText>
        </w:r>
        <w:r w:rsidR="00EB5749" w:rsidRPr="00EB5749">
          <w:rPr>
            <w:webHidden/>
            <w:sz w:val="22"/>
          </w:rPr>
        </w:r>
        <w:r w:rsidR="00EB5749" w:rsidRPr="00EB5749">
          <w:rPr>
            <w:webHidden/>
            <w:sz w:val="22"/>
          </w:rPr>
          <w:fldChar w:fldCharType="separate"/>
        </w:r>
        <w:r w:rsidR="00DA22A4">
          <w:rPr>
            <w:webHidden/>
            <w:sz w:val="22"/>
          </w:rPr>
          <w:t>5</w:t>
        </w:r>
        <w:r w:rsidR="00EB5749" w:rsidRPr="00EB5749">
          <w:rPr>
            <w:webHidden/>
            <w:sz w:val="22"/>
          </w:rPr>
          <w:fldChar w:fldCharType="end"/>
        </w:r>
      </w:hyperlink>
    </w:p>
    <w:p w14:paraId="3B44C695" w14:textId="77777777" w:rsidR="00EB5749" w:rsidRPr="00EB5749" w:rsidRDefault="001240E5">
      <w:pPr>
        <w:pStyle w:val="TOC1"/>
        <w:tabs>
          <w:tab w:val="left" w:pos="426"/>
        </w:tabs>
        <w:rPr>
          <w:rFonts w:asciiTheme="minorHAnsi" w:eastAsiaTheme="minorEastAsia" w:hAnsiTheme="minorHAnsi" w:cstheme="minorBidi"/>
          <w:b w:val="0"/>
          <w:noProof/>
          <w:sz w:val="22"/>
        </w:rPr>
      </w:pPr>
      <w:hyperlink w:anchor="_Toc524077279" w:history="1">
        <w:r w:rsidR="00EB5749" w:rsidRPr="00EB5749">
          <w:rPr>
            <w:rStyle w:val="Hyperlink"/>
            <w:noProof/>
            <w:sz w:val="22"/>
          </w:rPr>
          <w:t>4.</w:t>
        </w:r>
        <w:r w:rsidR="00EB5749" w:rsidRPr="00EB5749">
          <w:rPr>
            <w:rFonts w:asciiTheme="minorHAnsi" w:eastAsiaTheme="minorEastAsia" w:hAnsiTheme="minorHAnsi" w:cstheme="minorBidi"/>
            <w:b w:val="0"/>
            <w:noProof/>
            <w:sz w:val="22"/>
          </w:rPr>
          <w:tab/>
        </w:r>
        <w:r w:rsidR="00EB5749" w:rsidRPr="00EB5749">
          <w:rPr>
            <w:rStyle w:val="Hyperlink"/>
            <w:noProof/>
            <w:sz w:val="22"/>
          </w:rPr>
          <w:t>Conclusion</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_Toc524077279 \h </w:instrText>
        </w:r>
        <w:r w:rsidR="00EB5749" w:rsidRPr="00EB5749">
          <w:rPr>
            <w:noProof/>
            <w:webHidden/>
            <w:sz w:val="22"/>
          </w:rPr>
        </w:r>
        <w:r w:rsidR="00EB5749" w:rsidRPr="00EB5749">
          <w:rPr>
            <w:noProof/>
            <w:webHidden/>
            <w:sz w:val="22"/>
          </w:rPr>
          <w:fldChar w:fldCharType="separate"/>
        </w:r>
        <w:r w:rsidR="00DA22A4">
          <w:rPr>
            <w:noProof/>
            <w:webHidden/>
            <w:sz w:val="22"/>
          </w:rPr>
          <w:t>7</w:t>
        </w:r>
        <w:r w:rsidR="00EB5749" w:rsidRPr="00EB5749">
          <w:rPr>
            <w:noProof/>
            <w:webHidden/>
            <w:sz w:val="22"/>
          </w:rPr>
          <w:fldChar w:fldCharType="end"/>
        </w:r>
      </w:hyperlink>
    </w:p>
    <w:p w14:paraId="58831094" w14:textId="77777777" w:rsidR="00EB5749" w:rsidRPr="00EB5749" w:rsidRDefault="001240E5">
      <w:pPr>
        <w:pStyle w:val="TOC1"/>
        <w:rPr>
          <w:rFonts w:asciiTheme="minorHAnsi" w:eastAsiaTheme="minorEastAsia" w:hAnsiTheme="minorHAnsi" w:cstheme="minorBidi"/>
          <w:b w:val="0"/>
          <w:noProof/>
          <w:sz w:val="22"/>
        </w:rPr>
      </w:pPr>
      <w:hyperlink w:anchor="_Toc524077280" w:history="1">
        <w:r w:rsidR="00EB5749" w:rsidRPr="00EB5749">
          <w:rPr>
            <w:rStyle w:val="Hyperlink"/>
            <w:noProof/>
            <w:sz w:val="22"/>
          </w:rPr>
          <w:t>Appendix A</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_Toc524077280 \h </w:instrText>
        </w:r>
        <w:r w:rsidR="00EB5749" w:rsidRPr="00EB5749">
          <w:rPr>
            <w:noProof/>
            <w:webHidden/>
            <w:sz w:val="22"/>
          </w:rPr>
        </w:r>
        <w:r w:rsidR="00EB5749" w:rsidRPr="00EB5749">
          <w:rPr>
            <w:noProof/>
            <w:webHidden/>
            <w:sz w:val="22"/>
          </w:rPr>
          <w:fldChar w:fldCharType="separate"/>
        </w:r>
        <w:r w:rsidR="00DA22A4">
          <w:rPr>
            <w:noProof/>
            <w:webHidden/>
            <w:sz w:val="22"/>
          </w:rPr>
          <w:t>8</w:t>
        </w:r>
        <w:r w:rsidR="00EB5749" w:rsidRPr="00EB5749">
          <w:rPr>
            <w:noProof/>
            <w:webHidden/>
            <w:sz w:val="22"/>
          </w:rPr>
          <w:fldChar w:fldCharType="end"/>
        </w:r>
      </w:hyperlink>
    </w:p>
    <w:p w14:paraId="371FDE6D" w14:textId="77777777" w:rsidR="00EB5749" w:rsidRDefault="001240E5">
      <w:pPr>
        <w:pStyle w:val="TOC1"/>
        <w:rPr>
          <w:rFonts w:asciiTheme="minorHAnsi" w:eastAsiaTheme="minorEastAsia" w:hAnsiTheme="minorHAnsi" w:cstheme="minorBidi"/>
          <w:b w:val="0"/>
          <w:noProof/>
          <w:sz w:val="22"/>
        </w:rPr>
      </w:pPr>
      <w:hyperlink w:anchor="_Toc524077281" w:history="1">
        <w:r w:rsidR="00EB5749" w:rsidRPr="00EB5749">
          <w:rPr>
            <w:rStyle w:val="Hyperlink"/>
            <w:noProof/>
            <w:sz w:val="22"/>
          </w:rPr>
          <w:t>References</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_Toc524077281 \h </w:instrText>
        </w:r>
        <w:r w:rsidR="00EB5749" w:rsidRPr="00EB5749">
          <w:rPr>
            <w:noProof/>
            <w:webHidden/>
            <w:sz w:val="22"/>
          </w:rPr>
        </w:r>
        <w:r w:rsidR="00EB5749" w:rsidRPr="00EB5749">
          <w:rPr>
            <w:noProof/>
            <w:webHidden/>
            <w:sz w:val="22"/>
          </w:rPr>
          <w:fldChar w:fldCharType="separate"/>
        </w:r>
        <w:r w:rsidR="00DA22A4">
          <w:rPr>
            <w:noProof/>
            <w:webHidden/>
            <w:sz w:val="22"/>
          </w:rPr>
          <w:t>10</w:t>
        </w:r>
        <w:r w:rsidR="00EB5749" w:rsidRPr="00EB5749">
          <w:rPr>
            <w:noProof/>
            <w:webHidden/>
            <w:sz w:val="22"/>
          </w:rPr>
          <w:fldChar w:fldCharType="end"/>
        </w:r>
      </w:hyperlink>
    </w:p>
    <w:p w14:paraId="5FAEEBFC" w14:textId="77777777" w:rsidR="00FE2380" w:rsidRDefault="004141FA">
      <w:pPr>
        <w:spacing w:before="120"/>
        <w:rPr>
          <w:rFonts w:ascii="Calibri Light" w:hAnsi="Calibri Light"/>
          <w:sz w:val="28"/>
        </w:rPr>
        <w:sectPr w:rsidR="00FE2380" w:rsidSect="00430856">
          <w:headerReference w:type="default" r:id="rId19"/>
          <w:footerReference w:type="default" r:id="rId20"/>
          <w:pgSz w:w="11906" w:h="16838"/>
          <w:pgMar w:top="1134" w:right="1247" w:bottom="1134" w:left="1247" w:header="709" w:footer="709" w:gutter="0"/>
          <w:pgNumType w:fmt="lowerRoman"/>
          <w:cols w:space="708"/>
          <w:titlePg/>
          <w:docGrid w:linePitch="360"/>
        </w:sectPr>
      </w:pPr>
      <w:r w:rsidRPr="00221956">
        <w:rPr>
          <w:rFonts w:asciiTheme="minorHAnsi" w:hAnsiTheme="minorHAnsi"/>
          <w:sz w:val="22"/>
        </w:rPr>
        <w:fldChar w:fldCharType="end"/>
      </w:r>
    </w:p>
    <w:p w14:paraId="54A01B68" w14:textId="77777777" w:rsidR="00FE2380" w:rsidRDefault="004141FA" w:rsidP="00A51B4F">
      <w:pPr>
        <w:pStyle w:val="Heading2"/>
      </w:pPr>
      <w:bookmarkStart w:id="4" w:name="_Toc524077274"/>
      <w:bookmarkEnd w:id="2"/>
      <w:r>
        <w:lastRenderedPageBreak/>
        <w:t>Background</w:t>
      </w:r>
      <w:bookmarkEnd w:id="4"/>
    </w:p>
    <w:p w14:paraId="1D483E19" w14:textId="71102866" w:rsidR="00FE2380" w:rsidRDefault="004141FA" w:rsidP="00A51B4F">
      <w:bookmarkStart w:id="5" w:name="_Toc338227740"/>
      <w:r>
        <w:t xml:space="preserve">In July 2009 the Australian Government appointed an Interim Inspector-General of Biosecurity (IIGB) to independently evaluate and verify the adequacy of then Department of Agriculture, Fisheries and Forestry pre-border, border and post-border biosecurity risk management programs. Dr Kevin Dunn was appointed IIGB from </w:t>
      </w:r>
      <w:r w:rsidR="00B768E8">
        <w:t>July 2009 to June 2013</w:t>
      </w:r>
      <w:r>
        <w:t xml:space="preserve">, and Dr Michael Bond from </w:t>
      </w:r>
      <w:r w:rsidR="00B768E8">
        <w:t xml:space="preserve">July </w:t>
      </w:r>
      <w:r>
        <w:t>201</w:t>
      </w:r>
      <w:r w:rsidR="00B768E8">
        <w:t>3</w:t>
      </w:r>
      <w:r>
        <w:t xml:space="preserve"> to </w:t>
      </w:r>
      <w:r w:rsidR="00B768E8">
        <w:t>June 20</w:t>
      </w:r>
      <w:r>
        <w:t xml:space="preserve">16. Under the </w:t>
      </w:r>
      <w:r w:rsidRPr="00CC1387">
        <w:rPr>
          <w:rStyle w:val="Emphasis"/>
        </w:rPr>
        <w:t>Biosecurity Act 2015</w:t>
      </w:r>
      <w:r w:rsidRPr="00CC1387">
        <w:t xml:space="preserve"> </w:t>
      </w:r>
      <w:r>
        <w:t>(</w:t>
      </w:r>
      <w:proofErr w:type="spellStart"/>
      <w:r>
        <w:t>Cth</w:t>
      </w:r>
      <w:proofErr w:type="spellEnd"/>
      <w:r>
        <w:t>), the Australian Government appointed Dr Helen Scott-Orr as inaugural Inspector-General of Biosecurity (IGB) from July 2016 for three years.</w:t>
      </w:r>
    </w:p>
    <w:p w14:paraId="77830C56" w14:textId="1B16C076" w:rsidR="00FE2380" w:rsidRDefault="004141FA">
      <w:r>
        <w:t xml:space="preserve">The IIGBs published 31 reviews or audits, and most included recommendations for departmental action. Of the </w:t>
      </w:r>
      <w:r w:rsidR="00CC1387">
        <w:t>audits</w:t>
      </w:r>
      <w:r>
        <w:t>, 11 related to horse importation, one to abalone exports and one to the Australian Veterinary Emergency Plan (AUSVETPLAN). In August 2015 and April 2016 the IIGB published audits</w:t>
      </w:r>
      <w:r w:rsidR="00CC1387">
        <w:t xml:space="preserve"> (</w:t>
      </w:r>
      <w:r w:rsidR="00396B9B">
        <w:t>Interim Inspector-General of Biosecurity 2015 and</w:t>
      </w:r>
      <w:r w:rsidR="00C308E3">
        <w:t xml:space="preserve"> 2016</w:t>
      </w:r>
      <w:r w:rsidR="00CC1387">
        <w:t>)</w:t>
      </w:r>
      <w:r>
        <w:t xml:space="preserve"> of the implementation of recommendations of previous IIGB reviews. By August 2018 the IGB had completed another four reviews. The IGB work program for 2017 to 2019 includes a review of departmental actions to address recommendations included in IIGB and previous IGB audits and reviews.</w:t>
      </w:r>
    </w:p>
    <w:p w14:paraId="797D357A" w14:textId="77777777" w:rsidR="00FE2380" w:rsidRDefault="004141FA" w:rsidP="00A51B4F">
      <w:pPr>
        <w:pStyle w:val="Heading2"/>
      </w:pPr>
      <w:bookmarkStart w:id="6" w:name="_Toc524077275"/>
      <w:bookmarkEnd w:id="5"/>
      <w:r>
        <w:lastRenderedPageBreak/>
        <w:t>Review process</w:t>
      </w:r>
      <w:bookmarkEnd w:id="6"/>
    </w:p>
    <w:p w14:paraId="768143BD" w14:textId="223785E3" w:rsidR="00FE2380" w:rsidRDefault="004141FA" w:rsidP="00A51B4F">
      <w:r>
        <w:t xml:space="preserve">The purpose of this desktop review was to audit how the Department of Agriculture and Water Resources </w:t>
      </w:r>
      <w:r w:rsidR="00253888">
        <w:t xml:space="preserve">(the department) </w:t>
      </w:r>
      <w:r>
        <w:t>has ensured that IIGB audit and review recommendations have been adequately considered and implemented, and how their wider lessons have informed ongoing reform of the Australian biosecurity system.</w:t>
      </w:r>
    </w:p>
    <w:p w14:paraId="0EAB1F24" w14:textId="7EB65B87" w:rsidR="00FE2380" w:rsidRDefault="004141FA" w:rsidP="00A51B4F">
      <w:pPr>
        <w:spacing w:before="120"/>
        <w:rPr>
          <w:szCs w:val="24"/>
        </w:rPr>
      </w:pPr>
      <w:r>
        <w:rPr>
          <w:szCs w:val="24"/>
        </w:rPr>
        <w:t>The objectives of the review were to:</w:t>
      </w:r>
    </w:p>
    <w:p w14:paraId="55D665AB" w14:textId="4703899D" w:rsidR="00FE2380" w:rsidRDefault="004141FA">
      <w:pPr>
        <w:pStyle w:val="ListBullet"/>
      </w:pPr>
      <w:r>
        <w:t>examine departmental processes for ensuring appropriate implementation of IIGB and IGB review recommendations</w:t>
      </w:r>
    </w:p>
    <w:p w14:paraId="1D0736CD" w14:textId="356C3B6B" w:rsidR="00FE2380" w:rsidRDefault="004141FA">
      <w:pPr>
        <w:pStyle w:val="ListBullet"/>
      </w:pPr>
      <w:r>
        <w:t>provide an overview of completed and outstanding work</w:t>
      </w:r>
      <w:r w:rsidR="001A2A35">
        <w:t>, and</w:t>
      </w:r>
    </w:p>
    <w:p w14:paraId="38CE1C9B" w14:textId="4688C286" w:rsidR="00FE2380" w:rsidRDefault="004141FA">
      <w:pPr>
        <w:pStyle w:val="ListBullet"/>
      </w:pPr>
      <w:r>
        <w:t>consider how the department ensures that wider lessons from selected reviews inform ongoing reform of Australia’s biosecurity system.</w:t>
      </w:r>
    </w:p>
    <w:p w14:paraId="7ABCC270" w14:textId="77777777" w:rsidR="00FE2380" w:rsidRDefault="004141FA" w:rsidP="00790E00">
      <w:r>
        <w:t>The scope of this review was:</w:t>
      </w:r>
    </w:p>
    <w:p w14:paraId="367C47D6" w14:textId="0580AAB5" w:rsidR="00FE2380" w:rsidRDefault="004141FA">
      <w:pPr>
        <w:pStyle w:val="ListBullet"/>
      </w:pPr>
      <w:r>
        <w:t>to assess the adequacy of recording and follow-up of recommendations in the departmental database (</w:t>
      </w:r>
      <w:proofErr w:type="spellStart"/>
      <w:r>
        <w:t>eTRAC</w:t>
      </w:r>
      <w:proofErr w:type="spellEnd"/>
      <w:r>
        <w:t>) to track and update progress on high-level departmental actions and decisions, and recommend improvements to departmental processes as appropriate</w:t>
      </w:r>
    </w:p>
    <w:p w14:paraId="58DCAE0A" w14:textId="3421960E" w:rsidR="00FE2380" w:rsidRDefault="004141FA">
      <w:pPr>
        <w:pStyle w:val="ListBullet"/>
      </w:pPr>
      <w:r>
        <w:t xml:space="preserve">to consider how recommendations from 15 IIGB reviews relating to issues managed through the </w:t>
      </w:r>
      <w:r>
        <w:rPr>
          <w:i/>
        </w:rPr>
        <w:t>Quarantine Act 1908</w:t>
      </w:r>
      <w:r>
        <w:t xml:space="preserve"> were implemented over time.</w:t>
      </w:r>
    </w:p>
    <w:p w14:paraId="14BBC154" w14:textId="77777777" w:rsidR="00FE2380" w:rsidRDefault="004141FA" w:rsidP="00790E00">
      <w:r>
        <w:t>I did not consider:</w:t>
      </w:r>
    </w:p>
    <w:p w14:paraId="01F47D66" w14:textId="77777777" w:rsidR="00FE2380" w:rsidRDefault="004141FA" w:rsidP="00790E00">
      <w:pPr>
        <w:pStyle w:val="ListBullet"/>
      </w:pPr>
      <w:r>
        <w:t>IIGB audits of horse importation, because I examined these in another review (Inspector-General of Biosecurity 2018)</w:t>
      </w:r>
    </w:p>
    <w:p w14:paraId="1B7B6948" w14:textId="5C10DE71" w:rsidR="00FE2380" w:rsidRDefault="004141FA" w:rsidP="00790E00">
      <w:pPr>
        <w:pStyle w:val="ListBullet"/>
      </w:pPr>
      <w:r>
        <w:t>IIGB audit of export or post-border issues (</w:t>
      </w:r>
      <w:r w:rsidR="00430856" w:rsidRPr="00430856">
        <w:t>Interim Inspector-General of Biosecurity 201</w:t>
      </w:r>
      <w:r w:rsidR="00430856">
        <w:t>4</w:t>
      </w:r>
      <w:r w:rsidRPr="00430856">
        <w:t>),</w:t>
      </w:r>
      <w:r>
        <w:t xml:space="preserve"> because th</w:t>
      </w:r>
      <w:r w:rsidR="005241E9">
        <w:t>is</w:t>
      </w:r>
      <w:r>
        <w:t xml:space="preserve"> w</w:t>
      </w:r>
      <w:r w:rsidR="005241E9">
        <w:t>as</w:t>
      </w:r>
      <w:r>
        <w:t xml:space="preserve"> outside my remit</w:t>
      </w:r>
    </w:p>
    <w:p w14:paraId="68829D9D" w14:textId="0BF8EC6A" w:rsidR="00FE2380" w:rsidRDefault="004141FA" w:rsidP="005241E9">
      <w:pPr>
        <w:pStyle w:val="ListBullet"/>
      </w:pPr>
      <w:r>
        <w:t>IIGB audits of prawn imports (</w:t>
      </w:r>
      <w:r w:rsidR="005241E9" w:rsidRPr="005241E9">
        <w:t>Interim Inspector-General of Biosecurity 201</w:t>
      </w:r>
      <w:r w:rsidR="005F1103">
        <w:t xml:space="preserve">0 and </w:t>
      </w:r>
      <w:r w:rsidR="005241E9" w:rsidRPr="005F1103">
        <w:t>Interim Inspector-General of Biosecurity</w:t>
      </w:r>
      <w:r w:rsidR="005F1103">
        <w:t xml:space="preserve"> 2011</w:t>
      </w:r>
      <w:r w:rsidRPr="005241E9">
        <w:t>),</w:t>
      </w:r>
      <w:r>
        <w:t xml:space="preserve"> because I </w:t>
      </w:r>
      <w:r w:rsidR="001A2A35">
        <w:t xml:space="preserve">had </w:t>
      </w:r>
      <w:r>
        <w:t>considered these in another review (Inspector-General of Biosecurity 2017).</w:t>
      </w:r>
    </w:p>
    <w:p w14:paraId="657E1F9F" w14:textId="5B11766B" w:rsidR="00FE2380" w:rsidRDefault="004141FA">
      <w:r>
        <w:t xml:space="preserve">I reviewed departmental processes used to assign responsibility for and track implementation, reporting and review of decisions and actions arising from IIGB recommendations. These included roles of line areas, the internal audit </w:t>
      </w:r>
      <w:r w:rsidR="008E76A4">
        <w:t>team</w:t>
      </w:r>
      <w:r>
        <w:t xml:space="preserve"> and the IGB unit.</w:t>
      </w:r>
    </w:p>
    <w:p w14:paraId="328FF5FF" w14:textId="6EE6FF80" w:rsidR="00FE2380" w:rsidRDefault="004141FA">
      <w:r>
        <w:t>I carried out a desk audit of 15 IIGB audits and 96 recommendations (</w:t>
      </w:r>
      <w:r>
        <w:fldChar w:fldCharType="begin"/>
      </w:r>
      <w:r>
        <w:instrText xml:space="preserve"> REF _Ref521422914 \h  \* MERGEFORMAT </w:instrText>
      </w:r>
      <w:r>
        <w:fldChar w:fldCharType="separate"/>
      </w:r>
      <w:r w:rsidR="003A100C" w:rsidRPr="003A100C">
        <w:t>Table 1</w:t>
      </w:r>
      <w:r>
        <w:fldChar w:fldCharType="end"/>
      </w:r>
      <w:r>
        <w:t>). For each review, I recorded:</w:t>
      </w:r>
    </w:p>
    <w:p w14:paraId="57DD0C4E" w14:textId="77777777" w:rsidR="00FE2380" w:rsidRDefault="004141FA" w:rsidP="00790E00">
      <w:pPr>
        <w:pStyle w:val="ListBullet"/>
      </w:pPr>
      <w:r>
        <w:t>the original recommendations</w:t>
      </w:r>
    </w:p>
    <w:p w14:paraId="562DEFEA" w14:textId="77777777" w:rsidR="00FE2380" w:rsidRDefault="004141FA" w:rsidP="00790E00">
      <w:pPr>
        <w:pStyle w:val="ListBullet"/>
      </w:pPr>
      <w:r>
        <w:t>departmental responses to each recommendation at the time of publication</w:t>
      </w:r>
    </w:p>
    <w:p w14:paraId="3B59CD35" w14:textId="2EE4CE68" w:rsidR="00FE2380" w:rsidRDefault="004141FA" w:rsidP="00790E00">
      <w:pPr>
        <w:pStyle w:val="ListBullet"/>
      </w:pPr>
      <w:r>
        <w:t>subsequent actions against each recommendation</w:t>
      </w:r>
    </w:p>
    <w:p w14:paraId="7F2244FD" w14:textId="11CEF4B6" w:rsidR="00FE2380" w:rsidRDefault="004141FA" w:rsidP="00790E00">
      <w:pPr>
        <w:pStyle w:val="ListBullet"/>
      </w:pPr>
      <w:r>
        <w:t>whether implementation of each recommendation had been marked as complete by the department and/or listed for further review by the IIGB in 2015 or 2016 audits</w:t>
      </w:r>
    </w:p>
    <w:p w14:paraId="60BD9CD6" w14:textId="55CBB756" w:rsidR="00FE2380" w:rsidRDefault="004141FA" w:rsidP="00790E00">
      <w:pPr>
        <w:pStyle w:val="ListBullet"/>
      </w:pPr>
      <w:r>
        <w:t>my queries about specific recommendations not listed as closed, or about further evidence of continued implementation of the recommendation as appropriate to address biosecurity risks satisfactorily.</w:t>
      </w:r>
    </w:p>
    <w:p w14:paraId="03B5FDA2" w14:textId="72A6C16F" w:rsidR="00A51B4F" w:rsidRDefault="004141FA">
      <w:r>
        <w:t>For each audit I prepared a table containing this information. In April 2018 I referred these tables to the department and sought response to my queries.</w:t>
      </w:r>
    </w:p>
    <w:p w14:paraId="2FCA7A81" w14:textId="412F757C" w:rsidR="00FE2380" w:rsidRDefault="004141FA">
      <w:pPr>
        <w:pStyle w:val="Caption"/>
        <w:keepNext/>
        <w:tabs>
          <w:tab w:val="left" w:pos="567"/>
        </w:tabs>
        <w:spacing w:before="360" w:after="100"/>
        <w:rPr>
          <w:rFonts w:eastAsia="Calibri"/>
          <w:color w:val="404040"/>
          <w:sz w:val="24"/>
          <w:szCs w:val="18"/>
          <w:lang w:eastAsia="en-US"/>
        </w:rPr>
      </w:pPr>
      <w:bookmarkStart w:id="7" w:name="_Ref521422914"/>
      <w:r>
        <w:rPr>
          <w:rFonts w:eastAsia="Calibri"/>
          <w:color w:val="404040"/>
          <w:sz w:val="24"/>
          <w:szCs w:val="18"/>
          <w:lang w:eastAsia="en-US"/>
        </w:rPr>
        <w:lastRenderedPageBreak/>
        <w:t xml:space="preserve">Table </w:t>
      </w:r>
      <w:r>
        <w:rPr>
          <w:rFonts w:eastAsia="Calibri"/>
          <w:color w:val="404040"/>
          <w:sz w:val="24"/>
          <w:szCs w:val="18"/>
          <w:lang w:eastAsia="en-US"/>
        </w:rPr>
        <w:fldChar w:fldCharType="begin"/>
      </w:r>
      <w:r>
        <w:rPr>
          <w:rFonts w:eastAsia="Calibri"/>
          <w:color w:val="404040"/>
          <w:sz w:val="24"/>
          <w:szCs w:val="18"/>
          <w:lang w:eastAsia="en-US"/>
        </w:rPr>
        <w:instrText xml:space="preserve"> SEQ Table \* ARABIC </w:instrText>
      </w:r>
      <w:r>
        <w:rPr>
          <w:rFonts w:eastAsia="Calibri"/>
          <w:color w:val="404040"/>
          <w:sz w:val="24"/>
          <w:szCs w:val="18"/>
          <w:lang w:eastAsia="en-US"/>
        </w:rPr>
        <w:fldChar w:fldCharType="separate"/>
      </w:r>
      <w:r w:rsidR="003A100C">
        <w:rPr>
          <w:rFonts w:eastAsia="Calibri"/>
          <w:noProof/>
          <w:color w:val="404040"/>
          <w:sz w:val="24"/>
          <w:szCs w:val="18"/>
          <w:lang w:eastAsia="en-US"/>
        </w:rPr>
        <w:t>1</w:t>
      </w:r>
      <w:r>
        <w:rPr>
          <w:rFonts w:eastAsia="Calibri"/>
          <w:color w:val="404040"/>
          <w:sz w:val="24"/>
          <w:szCs w:val="18"/>
          <w:lang w:eastAsia="en-US"/>
        </w:rPr>
        <w:fldChar w:fldCharType="end"/>
      </w:r>
      <w:bookmarkEnd w:id="7"/>
      <w:r>
        <w:rPr>
          <w:rFonts w:eastAsia="Calibri"/>
          <w:color w:val="404040"/>
          <w:sz w:val="24"/>
          <w:szCs w:val="18"/>
          <w:lang w:eastAsia="en-US"/>
        </w:rPr>
        <w:t xml:space="preserve"> Interim Inspector-General of Biosecurity audits reviewed and queried</w:t>
      </w:r>
    </w:p>
    <w:tbl>
      <w:tblPr>
        <w:tblW w:w="0" w:type="auto"/>
        <w:tblBorders>
          <w:top w:val="single" w:sz="4" w:space="0" w:color="auto"/>
          <w:bottom w:val="single" w:sz="4" w:space="0" w:color="auto"/>
        </w:tblBorders>
        <w:tblLook w:val="04A0" w:firstRow="1" w:lastRow="0" w:firstColumn="1" w:lastColumn="0" w:noHBand="0" w:noVBand="1"/>
      </w:tblPr>
      <w:tblGrid>
        <w:gridCol w:w="4678"/>
        <w:gridCol w:w="1701"/>
        <w:gridCol w:w="1701"/>
        <w:gridCol w:w="1161"/>
      </w:tblGrid>
      <w:tr w:rsidR="00FE2380" w14:paraId="4C1CFB9A" w14:textId="77777777" w:rsidTr="005A0389">
        <w:trPr>
          <w:trHeight w:val="454"/>
          <w:tblHeader/>
        </w:trPr>
        <w:tc>
          <w:tcPr>
            <w:tcW w:w="4678" w:type="dxa"/>
            <w:shd w:val="clear" w:color="auto" w:fill="auto"/>
          </w:tcPr>
          <w:p w14:paraId="05CA6296" w14:textId="2A8F489E" w:rsidR="00FE2380" w:rsidRDefault="00AA59DE" w:rsidP="00790E00">
            <w:pPr>
              <w:pStyle w:val="Tableheader"/>
            </w:pPr>
            <w:r>
              <w:t>IIGB report title</w:t>
            </w:r>
          </w:p>
        </w:tc>
        <w:tc>
          <w:tcPr>
            <w:tcW w:w="1701" w:type="dxa"/>
            <w:shd w:val="clear" w:color="auto" w:fill="auto"/>
          </w:tcPr>
          <w:p w14:paraId="4034BF0D" w14:textId="77777777" w:rsidR="00FE2380" w:rsidRDefault="004141FA" w:rsidP="00790E00">
            <w:pPr>
              <w:pStyle w:val="Tableheader"/>
              <w:rPr>
                <w:rFonts w:cs="Segoe UI"/>
                <w:color w:val="000000"/>
              </w:rPr>
            </w:pPr>
            <w:r>
              <w:rPr>
                <w:rFonts w:cs="Segoe UI"/>
                <w:color w:val="000000"/>
              </w:rPr>
              <w:t>Date published</w:t>
            </w:r>
          </w:p>
        </w:tc>
        <w:tc>
          <w:tcPr>
            <w:tcW w:w="1701" w:type="dxa"/>
            <w:shd w:val="clear" w:color="auto" w:fill="auto"/>
          </w:tcPr>
          <w:p w14:paraId="7E346D9A" w14:textId="3CBDD242" w:rsidR="00FE2380" w:rsidRDefault="004141FA" w:rsidP="00790E00">
            <w:pPr>
              <w:pStyle w:val="Tableheader"/>
            </w:pPr>
            <w:r>
              <w:t>Recommendations (no.)</w:t>
            </w:r>
          </w:p>
        </w:tc>
        <w:tc>
          <w:tcPr>
            <w:tcW w:w="1161" w:type="dxa"/>
            <w:shd w:val="clear" w:color="auto" w:fill="auto"/>
          </w:tcPr>
          <w:p w14:paraId="6E1C3B54" w14:textId="56B5E168" w:rsidR="00FE2380" w:rsidRDefault="004141FA" w:rsidP="00790E00">
            <w:pPr>
              <w:pStyle w:val="Tableheader"/>
            </w:pPr>
            <w:r>
              <w:t>IGB queries (no.)</w:t>
            </w:r>
          </w:p>
        </w:tc>
      </w:tr>
      <w:tr w:rsidR="00FE2380" w14:paraId="119017FB" w14:textId="77777777" w:rsidTr="005A0389">
        <w:tc>
          <w:tcPr>
            <w:tcW w:w="4678" w:type="dxa"/>
            <w:shd w:val="clear" w:color="auto" w:fill="auto"/>
          </w:tcPr>
          <w:p w14:paraId="0EED26FA" w14:textId="77777777" w:rsidR="00FE2380" w:rsidRDefault="004141FA" w:rsidP="00790E00">
            <w:pPr>
              <w:pStyle w:val="TableText"/>
            </w:pPr>
            <w:r>
              <w:t>Effectiveness of biosecurity controls for importation of tomato and carrot seeds</w:t>
            </w:r>
          </w:p>
        </w:tc>
        <w:tc>
          <w:tcPr>
            <w:tcW w:w="1701" w:type="dxa"/>
            <w:shd w:val="clear" w:color="auto" w:fill="auto"/>
          </w:tcPr>
          <w:p w14:paraId="3AFD0B1B" w14:textId="77777777" w:rsidR="00FE2380" w:rsidRDefault="004141FA" w:rsidP="00790E00">
            <w:pPr>
              <w:pStyle w:val="TableText"/>
            </w:pPr>
            <w:r>
              <w:rPr>
                <w:rFonts w:cs="Segoe UI"/>
                <w:color w:val="000000"/>
              </w:rPr>
              <w:t>May 2016</w:t>
            </w:r>
          </w:p>
        </w:tc>
        <w:tc>
          <w:tcPr>
            <w:tcW w:w="1701" w:type="dxa"/>
            <w:shd w:val="clear" w:color="auto" w:fill="auto"/>
          </w:tcPr>
          <w:p w14:paraId="189FCCD3" w14:textId="77777777" w:rsidR="00FE2380" w:rsidRDefault="004141FA" w:rsidP="00790E00">
            <w:pPr>
              <w:pStyle w:val="TableText"/>
            </w:pPr>
            <w:r>
              <w:t>12</w:t>
            </w:r>
          </w:p>
        </w:tc>
        <w:tc>
          <w:tcPr>
            <w:tcW w:w="1161" w:type="dxa"/>
            <w:shd w:val="clear" w:color="auto" w:fill="auto"/>
          </w:tcPr>
          <w:p w14:paraId="45816F1A" w14:textId="77777777" w:rsidR="00FE2380" w:rsidRDefault="004141FA" w:rsidP="00790E00">
            <w:pPr>
              <w:pStyle w:val="TableText"/>
            </w:pPr>
            <w:r>
              <w:t>7</w:t>
            </w:r>
          </w:p>
        </w:tc>
      </w:tr>
      <w:tr w:rsidR="00FE2380" w14:paraId="62245B79" w14:textId="77777777" w:rsidTr="005A0389">
        <w:tc>
          <w:tcPr>
            <w:tcW w:w="4678" w:type="dxa"/>
            <w:shd w:val="clear" w:color="auto" w:fill="auto"/>
          </w:tcPr>
          <w:p w14:paraId="5FF4C25C" w14:textId="77777777" w:rsidR="00FE2380" w:rsidRDefault="004141FA" w:rsidP="00790E00">
            <w:pPr>
              <w:pStyle w:val="TableText"/>
            </w:pPr>
            <w:r>
              <w:t>Management of biosecurity risks associated with timber packaging and dunnage</w:t>
            </w:r>
          </w:p>
        </w:tc>
        <w:tc>
          <w:tcPr>
            <w:tcW w:w="1701" w:type="dxa"/>
            <w:shd w:val="clear" w:color="auto" w:fill="auto"/>
          </w:tcPr>
          <w:p w14:paraId="4BD13CE1" w14:textId="77777777" w:rsidR="00FE2380" w:rsidRDefault="004141FA" w:rsidP="00790E00">
            <w:pPr>
              <w:pStyle w:val="TableText"/>
            </w:pPr>
            <w:r>
              <w:rPr>
                <w:rFonts w:cs="Segoe UI"/>
                <w:color w:val="000000"/>
              </w:rPr>
              <w:t>May 2016</w:t>
            </w:r>
          </w:p>
        </w:tc>
        <w:tc>
          <w:tcPr>
            <w:tcW w:w="1701" w:type="dxa"/>
            <w:shd w:val="clear" w:color="auto" w:fill="auto"/>
          </w:tcPr>
          <w:p w14:paraId="35196E70" w14:textId="77777777" w:rsidR="00FE2380" w:rsidRDefault="004141FA" w:rsidP="00790E00">
            <w:pPr>
              <w:pStyle w:val="TableText"/>
            </w:pPr>
            <w:r>
              <w:t>8</w:t>
            </w:r>
          </w:p>
        </w:tc>
        <w:tc>
          <w:tcPr>
            <w:tcW w:w="1161" w:type="dxa"/>
            <w:shd w:val="clear" w:color="auto" w:fill="auto"/>
          </w:tcPr>
          <w:p w14:paraId="2BAE8B57" w14:textId="77777777" w:rsidR="00FE2380" w:rsidRDefault="004141FA" w:rsidP="00790E00">
            <w:pPr>
              <w:pStyle w:val="TableText"/>
            </w:pPr>
            <w:r>
              <w:t>7</w:t>
            </w:r>
          </w:p>
        </w:tc>
      </w:tr>
      <w:tr w:rsidR="00FE2380" w14:paraId="7FAC8264" w14:textId="77777777" w:rsidTr="005A0389">
        <w:tc>
          <w:tcPr>
            <w:tcW w:w="4678" w:type="dxa"/>
            <w:shd w:val="clear" w:color="auto" w:fill="auto"/>
          </w:tcPr>
          <w:p w14:paraId="27D62D1D" w14:textId="77777777" w:rsidR="00FE2380" w:rsidRDefault="004141FA" w:rsidP="00790E00">
            <w:pPr>
              <w:pStyle w:val="TableText"/>
            </w:pPr>
            <w:r>
              <w:t>Effectiveness of biosecurity controls for importation of natural sausage casings</w:t>
            </w:r>
          </w:p>
        </w:tc>
        <w:tc>
          <w:tcPr>
            <w:tcW w:w="1701" w:type="dxa"/>
            <w:shd w:val="clear" w:color="auto" w:fill="auto"/>
          </w:tcPr>
          <w:p w14:paraId="5E8D8A8C" w14:textId="77777777" w:rsidR="00FE2380" w:rsidRDefault="004141FA" w:rsidP="00790E00">
            <w:pPr>
              <w:pStyle w:val="TableText"/>
            </w:pPr>
            <w:r>
              <w:rPr>
                <w:rFonts w:cs="Segoe UI"/>
                <w:color w:val="000000"/>
              </w:rPr>
              <w:t>October 2015</w:t>
            </w:r>
          </w:p>
        </w:tc>
        <w:tc>
          <w:tcPr>
            <w:tcW w:w="1701" w:type="dxa"/>
            <w:shd w:val="clear" w:color="auto" w:fill="auto"/>
          </w:tcPr>
          <w:p w14:paraId="770914F7" w14:textId="77777777" w:rsidR="00FE2380" w:rsidRDefault="004141FA" w:rsidP="00790E00">
            <w:pPr>
              <w:pStyle w:val="TableText"/>
            </w:pPr>
            <w:r>
              <w:t>4</w:t>
            </w:r>
          </w:p>
        </w:tc>
        <w:tc>
          <w:tcPr>
            <w:tcW w:w="1161" w:type="dxa"/>
            <w:shd w:val="clear" w:color="auto" w:fill="auto"/>
          </w:tcPr>
          <w:p w14:paraId="32764E74" w14:textId="77777777" w:rsidR="00FE2380" w:rsidRDefault="004141FA" w:rsidP="00790E00">
            <w:pPr>
              <w:pStyle w:val="TableText"/>
            </w:pPr>
            <w:r>
              <w:t>1</w:t>
            </w:r>
          </w:p>
        </w:tc>
      </w:tr>
      <w:tr w:rsidR="00FE2380" w14:paraId="726FB23D" w14:textId="77777777" w:rsidTr="005A0389">
        <w:tc>
          <w:tcPr>
            <w:tcW w:w="4678" w:type="dxa"/>
            <w:shd w:val="clear" w:color="auto" w:fill="auto"/>
          </w:tcPr>
          <w:p w14:paraId="181336C2" w14:textId="77777777" w:rsidR="00FE2380" w:rsidRDefault="004141FA" w:rsidP="00790E00">
            <w:pPr>
              <w:pStyle w:val="TableText"/>
            </w:pPr>
            <w:r>
              <w:t>Effectiveness of biosecurity controls for importing stockfeed of plant origin</w:t>
            </w:r>
          </w:p>
        </w:tc>
        <w:tc>
          <w:tcPr>
            <w:tcW w:w="1701" w:type="dxa"/>
            <w:shd w:val="clear" w:color="auto" w:fill="auto"/>
          </w:tcPr>
          <w:p w14:paraId="342870D7" w14:textId="77777777" w:rsidR="00FE2380" w:rsidRDefault="004141FA" w:rsidP="00790E00">
            <w:pPr>
              <w:pStyle w:val="TableText"/>
            </w:pPr>
            <w:r>
              <w:rPr>
                <w:rFonts w:cs="Segoe UI"/>
                <w:color w:val="000000"/>
              </w:rPr>
              <w:t>June 2015</w:t>
            </w:r>
          </w:p>
        </w:tc>
        <w:tc>
          <w:tcPr>
            <w:tcW w:w="1701" w:type="dxa"/>
            <w:shd w:val="clear" w:color="auto" w:fill="auto"/>
          </w:tcPr>
          <w:p w14:paraId="0E7DC312" w14:textId="77777777" w:rsidR="00FE2380" w:rsidRDefault="004141FA" w:rsidP="00790E00">
            <w:pPr>
              <w:pStyle w:val="TableText"/>
            </w:pPr>
            <w:r>
              <w:t>7</w:t>
            </w:r>
          </w:p>
        </w:tc>
        <w:tc>
          <w:tcPr>
            <w:tcW w:w="1161" w:type="dxa"/>
            <w:shd w:val="clear" w:color="auto" w:fill="auto"/>
          </w:tcPr>
          <w:p w14:paraId="09B150A6" w14:textId="77777777" w:rsidR="00FE2380" w:rsidRDefault="004141FA" w:rsidP="00790E00">
            <w:pPr>
              <w:pStyle w:val="TableText"/>
            </w:pPr>
            <w:r>
              <w:t>7</w:t>
            </w:r>
          </w:p>
        </w:tc>
      </w:tr>
      <w:tr w:rsidR="00FE2380" w14:paraId="7D52364E" w14:textId="77777777" w:rsidTr="005A0389">
        <w:tc>
          <w:tcPr>
            <w:tcW w:w="4678" w:type="dxa"/>
            <w:shd w:val="clear" w:color="auto" w:fill="auto"/>
          </w:tcPr>
          <w:p w14:paraId="4215C85E" w14:textId="77777777" w:rsidR="00FE2380" w:rsidRDefault="004141FA" w:rsidP="00790E00">
            <w:pPr>
              <w:pStyle w:val="TableText"/>
            </w:pPr>
            <w:r>
              <w:t>Managing biosecurity risks associated with international online purchases</w:t>
            </w:r>
          </w:p>
        </w:tc>
        <w:tc>
          <w:tcPr>
            <w:tcW w:w="1701" w:type="dxa"/>
            <w:shd w:val="clear" w:color="auto" w:fill="auto"/>
          </w:tcPr>
          <w:p w14:paraId="58B4A1E0" w14:textId="77777777" w:rsidR="00FE2380" w:rsidRDefault="004141FA" w:rsidP="00790E00">
            <w:pPr>
              <w:pStyle w:val="TableText"/>
            </w:pPr>
            <w:r>
              <w:rPr>
                <w:rFonts w:cs="Segoe UI"/>
                <w:color w:val="000000"/>
              </w:rPr>
              <w:t>March 2015</w:t>
            </w:r>
          </w:p>
        </w:tc>
        <w:tc>
          <w:tcPr>
            <w:tcW w:w="1701" w:type="dxa"/>
            <w:shd w:val="clear" w:color="auto" w:fill="auto"/>
          </w:tcPr>
          <w:p w14:paraId="24B30583" w14:textId="77777777" w:rsidR="00FE2380" w:rsidRDefault="004141FA" w:rsidP="00790E00">
            <w:pPr>
              <w:pStyle w:val="TableText"/>
            </w:pPr>
            <w:r>
              <w:t>6</w:t>
            </w:r>
          </w:p>
        </w:tc>
        <w:tc>
          <w:tcPr>
            <w:tcW w:w="1161" w:type="dxa"/>
            <w:shd w:val="clear" w:color="auto" w:fill="auto"/>
          </w:tcPr>
          <w:p w14:paraId="02E74517" w14:textId="77777777" w:rsidR="00FE2380" w:rsidRDefault="004141FA" w:rsidP="00790E00">
            <w:pPr>
              <w:pStyle w:val="TableText"/>
            </w:pPr>
            <w:r>
              <w:t>1</w:t>
            </w:r>
          </w:p>
        </w:tc>
      </w:tr>
      <w:tr w:rsidR="00FE2380" w14:paraId="163B7E1A" w14:textId="77777777" w:rsidTr="005A0389">
        <w:tc>
          <w:tcPr>
            <w:tcW w:w="4678" w:type="dxa"/>
            <w:shd w:val="clear" w:color="auto" w:fill="auto"/>
          </w:tcPr>
          <w:p w14:paraId="55FA3BF5" w14:textId="77777777" w:rsidR="00FE2380" w:rsidRDefault="004141FA" w:rsidP="00790E00">
            <w:pPr>
              <w:pStyle w:val="TableText"/>
            </w:pPr>
            <w:r>
              <w:t>Effectiveness of biosecurity controls for imported fresh cut flowers</w:t>
            </w:r>
          </w:p>
        </w:tc>
        <w:tc>
          <w:tcPr>
            <w:tcW w:w="1701" w:type="dxa"/>
            <w:shd w:val="clear" w:color="auto" w:fill="auto"/>
          </w:tcPr>
          <w:p w14:paraId="7BDB0CE1" w14:textId="77777777" w:rsidR="00FE2380" w:rsidRDefault="004141FA" w:rsidP="00790E00">
            <w:pPr>
              <w:pStyle w:val="TableText"/>
            </w:pPr>
            <w:r>
              <w:rPr>
                <w:rFonts w:cs="Segoe UI"/>
                <w:color w:val="000000"/>
              </w:rPr>
              <w:t>February 2015</w:t>
            </w:r>
          </w:p>
        </w:tc>
        <w:tc>
          <w:tcPr>
            <w:tcW w:w="1701" w:type="dxa"/>
            <w:shd w:val="clear" w:color="auto" w:fill="auto"/>
          </w:tcPr>
          <w:p w14:paraId="1D89FCA4" w14:textId="77777777" w:rsidR="00FE2380" w:rsidRDefault="004141FA" w:rsidP="00790E00">
            <w:pPr>
              <w:pStyle w:val="TableText"/>
            </w:pPr>
            <w:r>
              <w:t>6</w:t>
            </w:r>
          </w:p>
        </w:tc>
        <w:tc>
          <w:tcPr>
            <w:tcW w:w="1161" w:type="dxa"/>
            <w:shd w:val="clear" w:color="auto" w:fill="auto"/>
          </w:tcPr>
          <w:p w14:paraId="51ADDE71" w14:textId="77777777" w:rsidR="00FE2380" w:rsidRDefault="004141FA" w:rsidP="00790E00">
            <w:pPr>
              <w:pStyle w:val="TableText"/>
            </w:pPr>
            <w:r>
              <w:t>5</w:t>
            </w:r>
          </w:p>
        </w:tc>
      </w:tr>
      <w:tr w:rsidR="00FE2380" w14:paraId="43E01C17" w14:textId="77777777" w:rsidTr="005A0389">
        <w:tc>
          <w:tcPr>
            <w:tcW w:w="4678" w:type="dxa"/>
            <w:shd w:val="clear" w:color="auto" w:fill="auto"/>
          </w:tcPr>
          <w:p w14:paraId="03617840" w14:textId="0468C74F" w:rsidR="00FE2380" w:rsidRDefault="00AA1C09" w:rsidP="00A73085">
            <w:pPr>
              <w:pStyle w:val="TableText"/>
            </w:pPr>
            <w:r>
              <w:t>Effectiveness of biosecurity controls for imported animal</w:t>
            </w:r>
            <w:r w:rsidR="00A73085">
              <w:t xml:space="preserve"> </w:t>
            </w:r>
            <w:r>
              <w:t>breeding material (mammalian semen and embryos)</w:t>
            </w:r>
          </w:p>
        </w:tc>
        <w:tc>
          <w:tcPr>
            <w:tcW w:w="1701" w:type="dxa"/>
            <w:shd w:val="clear" w:color="auto" w:fill="auto"/>
          </w:tcPr>
          <w:p w14:paraId="4D4EE9B2" w14:textId="77777777" w:rsidR="00FE2380" w:rsidRDefault="004141FA" w:rsidP="00790E00">
            <w:pPr>
              <w:pStyle w:val="TableText"/>
            </w:pPr>
            <w:r>
              <w:rPr>
                <w:rFonts w:cs="Segoe UI"/>
                <w:color w:val="000000"/>
              </w:rPr>
              <w:t>December 2014</w:t>
            </w:r>
          </w:p>
        </w:tc>
        <w:tc>
          <w:tcPr>
            <w:tcW w:w="1701" w:type="dxa"/>
            <w:shd w:val="clear" w:color="auto" w:fill="auto"/>
          </w:tcPr>
          <w:p w14:paraId="67681F36" w14:textId="77777777" w:rsidR="00FE2380" w:rsidRDefault="004141FA" w:rsidP="00790E00">
            <w:pPr>
              <w:pStyle w:val="TableText"/>
            </w:pPr>
            <w:r>
              <w:t>4</w:t>
            </w:r>
          </w:p>
        </w:tc>
        <w:tc>
          <w:tcPr>
            <w:tcW w:w="1161" w:type="dxa"/>
            <w:shd w:val="clear" w:color="auto" w:fill="auto"/>
          </w:tcPr>
          <w:p w14:paraId="20825ABF" w14:textId="77777777" w:rsidR="00FE2380" w:rsidRDefault="004141FA" w:rsidP="00790E00">
            <w:pPr>
              <w:pStyle w:val="TableText"/>
            </w:pPr>
            <w:r>
              <w:t>1</w:t>
            </w:r>
          </w:p>
        </w:tc>
      </w:tr>
      <w:tr w:rsidR="00FE2380" w14:paraId="4E638657" w14:textId="77777777" w:rsidTr="005A0389">
        <w:tc>
          <w:tcPr>
            <w:tcW w:w="4678" w:type="dxa"/>
            <w:shd w:val="clear" w:color="auto" w:fill="auto"/>
          </w:tcPr>
          <w:p w14:paraId="07A27BDF" w14:textId="1A709C82" w:rsidR="00FE2380" w:rsidRDefault="003219DB" w:rsidP="00790E00">
            <w:pPr>
              <w:pStyle w:val="TableText"/>
            </w:pPr>
            <w:r w:rsidRPr="003219DB">
              <w:t>Importation of untanned animal hides from Colombia in 2012–13</w:t>
            </w:r>
          </w:p>
        </w:tc>
        <w:tc>
          <w:tcPr>
            <w:tcW w:w="1701" w:type="dxa"/>
            <w:shd w:val="clear" w:color="auto" w:fill="auto"/>
          </w:tcPr>
          <w:p w14:paraId="7F76C17F" w14:textId="77777777" w:rsidR="00FE2380" w:rsidRDefault="004141FA" w:rsidP="00790E00">
            <w:pPr>
              <w:pStyle w:val="TableText"/>
            </w:pPr>
            <w:r>
              <w:rPr>
                <w:rFonts w:cs="Segoe UI"/>
                <w:color w:val="000000"/>
              </w:rPr>
              <w:t>February 2014</w:t>
            </w:r>
          </w:p>
        </w:tc>
        <w:tc>
          <w:tcPr>
            <w:tcW w:w="1701" w:type="dxa"/>
            <w:shd w:val="clear" w:color="auto" w:fill="auto"/>
          </w:tcPr>
          <w:p w14:paraId="09EA1AC7" w14:textId="77777777" w:rsidR="00FE2380" w:rsidRDefault="004141FA" w:rsidP="00790E00">
            <w:pPr>
              <w:pStyle w:val="TableText"/>
            </w:pPr>
            <w:r>
              <w:t>10</w:t>
            </w:r>
          </w:p>
        </w:tc>
        <w:tc>
          <w:tcPr>
            <w:tcW w:w="1161" w:type="dxa"/>
            <w:shd w:val="clear" w:color="auto" w:fill="auto"/>
          </w:tcPr>
          <w:p w14:paraId="7511FEA9" w14:textId="77777777" w:rsidR="00FE2380" w:rsidRDefault="004141FA" w:rsidP="00790E00">
            <w:pPr>
              <w:pStyle w:val="TableText"/>
            </w:pPr>
            <w:r>
              <w:t>1</w:t>
            </w:r>
          </w:p>
        </w:tc>
      </w:tr>
      <w:tr w:rsidR="00FE2380" w14:paraId="31F4076F" w14:textId="77777777" w:rsidTr="005A0389">
        <w:tc>
          <w:tcPr>
            <w:tcW w:w="4678" w:type="dxa"/>
            <w:shd w:val="clear" w:color="auto" w:fill="auto"/>
          </w:tcPr>
          <w:p w14:paraId="5B2595A4" w14:textId="5080F5E5" w:rsidR="00FE2380" w:rsidRDefault="003219DB" w:rsidP="003219DB">
            <w:pPr>
              <w:pStyle w:val="TableText"/>
            </w:pPr>
            <w:r>
              <w:t>The effectiveness of controls for imported uncooked, cooked and cured pig meat</w:t>
            </w:r>
          </w:p>
        </w:tc>
        <w:tc>
          <w:tcPr>
            <w:tcW w:w="1701" w:type="dxa"/>
            <w:shd w:val="clear" w:color="auto" w:fill="auto"/>
          </w:tcPr>
          <w:p w14:paraId="4BEA8CD8" w14:textId="77777777" w:rsidR="00FE2380" w:rsidRDefault="004141FA" w:rsidP="00790E00">
            <w:pPr>
              <w:pStyle w:val="TableText"/>
            </w:pPr>
            <w:r>
              <w:rPr>
                <w:rFonts w:cs="Segoe UI"/>
                <w:color w:val="000000"/>
              </w:rPr>
              <w:t>December 2013</w:t>
            </w:r>
          </w:p>
        </w:tc>
        <w:tc>
          <w:tcPr>
            <w:tcW w:w="1701" w:type="dxa"/>
            <w:shd w:val="clear" w:color="auto" w:fill="auto"/>
          </w:tcPr>
          <w:p w14:paraId="002A1343" w14:textId="77777777" w:rsidR="00FE2380" w:rsidRDefault="004141FA" w:rsidP="00790E00">
            <w:pPr>
              <w:pStyle w:val="TableText"/>
            </w:pPr>
            <w:r>
              <w:t>4</w:t>
            </w:r>
          </w:p>
        </w:tc>
        <w:tc>
          <w:tcPr>
            <w:tcW w:w="1161" w:type="dxa"/>
            <w:shd w:val="clear" w:color="auto" w:fill="auto"/>
          </w:tcPr>
          <w:p w14:paraId="6931AE2E" w14:textId="77777777" w:rsidR="00FE2380" w:rsidRDefault="004141FA" w:rsidP="00790E00">
            <w:pPr>
              <w:pStyle w:val="TableText"/>
            </w:pPr>
            <w:r>
              <w:t>4</w:t>
            </w:r>
          </w:p>
        </w:tc>
      </w:tr>
      <w:tr w:rsidR="00FE0B53" w14:paraId="74379492" w14:textId="77777777" w:rsidTr="005A0389">
        <w:tc>
          <w:tcPr>
            <w:tcW w:w="4678" w:type="dxa"/>
            <w:shd w:val="clear" w:color="auto" w:fill="auto"/>
          </w:tcPr>
          <w:p w14:paraId="79CE04B0" w14:textId="550877FC" w:rsidR="00FE0B53" w:rsidRDefault="00FE0B53" w:rsidP="00FE0B53">
            <w:pPr>
              <w:pStyle w:val="TableText"/>
            </w:pPr>
            <w:r w:rsidRPr="00CF1547">
              <w:t>An examination of the effectiveness of Department of Agriculture, Fisheries and Forestry controls to manage biosecurity risks in the importation of freshwater and marine ornamental fish</w:t>
            </w:r>
          </w:p>
        </w:tc>
        <w:tc>
          <w:tcPr>
            <w:tcW w:w="1701" w:type="dxa"/>
            <w:shd w:val="clear" w:color="auto" w:fill="auto"/>
          </w:tcPr>
          <w:p w14:paraId="6F96CC32" w14:textId="77777777" w:rsidR="00FE0B53" w:rsidRDefault="00FE0B53" w:rsidP="00FE0B53">
            <w:pPr>
              <w:pStyle w:val="TableText"/>
            </w:pPr>
            <w:r>
              <w:rPr>
                <w:rFonts w:cs="Segoe UI"/>
                <w:color w:val="000000"/>
              </w:rPr>
              <w:t>December 2013</w:t>
            </w:r>
          </w:p>
        </w:tc>
        <w:tc>
          <w:tcPr>
            <w:tcW w:w="1701" w:type="dxa"/>
            <w:shd w:val="clear" w:color="auto" w:fill="auto"/>
          </w:tcPr>
          <w:p w14:paraId="0724888A" w14:textId="77777777" w:rsidR="00FE0B53" w:rsidRDefault="00FE0B53" w:rsidP="00FE0B53">
            <w:pPr>
              <w:pStyle w:val="TableText"/>
            </w:pPr>
            <w:r>
              <w:t>6</w:t>
            </w:r>
          </w:p>
        </w:tc>
        <w:tc>
          <w:tcPr>
            <w:tcW w:w="1161" w:type="dxa"/>
            <w:shd w:val="clear" w:color="auto" w:fill="auto"/>
          </w:tcPr>
          <w:p w14:paraId="1F96B8AD" w14:textId="77777777" w:rsidR="00FE0B53" w:rsidRDefault="00FE0B53" w:rsidP="00FE0B53">
            <w:pPr>
              <w:pStyle w:val="TableText"/>
            </w:pPr>
            <w:r>
              <w:t>4</w:t>
            </w:r>
          </w:p>
        </w:tc>
      </w:tr>
      <w:tr w:rsidR="00FE0B53" w14:paraId="2E6225C7" w14:textId="77777777" w:rsidTr="005A0389">
        <w:tc>
          <w:tcPr>
            <w:tcW w:w="4678" w:type="dxa"/>
            <w:shd w:val="clear" w:color="auto" w:fill="auto"/>
          </w:tcPr>
          <w:p w14:paraId="134B8912" w14:textId="77777777" w:rsidR="00FE0B53" w:rsidRDefault="00FE0B53" w:rsidP="00FE0B53">
            <w:pPr>
              <w:pStyle w:val="TableText"/>
            </w:pPr>
            <w:r>
              <w:t>Undeclared importation of food from the Republic of Korea detected in December 2010</w:t>
            </w:r>
          </w:p>
        </w:tc>
        <w:tc>
          <w:tcPr>
            <w:tcW w:w="1701" w:type="dxa"/>
            <w:shd w:val="clear" w:color="auto" w:fill="auto"/>
          </w:tcPr>
          <w:p w14:paraId="53D63DE5" w14:textId="77777777" w:rsidR="00FE0B53" w:rsidRDefault="00FE0B53" w:rsidP="00FE0B53">
            <w:pPr>
              <w:pStyle w:val="TableText"/>
            </w:pPr>
            <w:r>
              <w:rPr>
                <w:rFonts w:cs="Segoe UI"/>
                <w:color w:val="000000"/>
              </w:rPr>
              <w:t>August 2013</w:t>
            </w:r>
          </w:p>
        </w:tc>
        <w:tc>
          <w:tcPr>
            <w:tcW w:w="1701" w:type="dxa"/>
            <w:shd w:val="clear" w:color="auto" w:fill="auto"/>
          </w:tcPr>
          <w:p w14:paraId="5D116989" w14:textId="77777777" w:rsidR="00FE0B53" w:rsidRDefault="00FE0B53" w:rsidP="00FE0B53">
            <w:pPr>
              <w:pStyle w:val="TableText"/>
            </w:pPr>
            <w:r>
              <w:t>4</w:t>
            </w:r>
          </w:p>
        </w:tc>
        <w:tc>
          <w:tcPr>
            <w:tcW w:w="1161" w:type="dxa"/>
            <w:shd w:val="clear" w:color="auto" w:fill="auto"/>
          </w:tcPr>
          <w:p w14:paraId="000A8377" w14:textId="77777777" w:rsidR="00FE0B53" w:rsidRDefault="00FE0B53" w:rsidP="00FE0B53">
            <w:pPr>
              <w:pStyle w:val="TableText"/>
            </w:pPr>
            <w:r>
              <w:t>0</w:t>
            </w:r>
          </w:p>
        </w:tc>
      </w:tr>
      <w:tr w:rsidR="00FE0B53" w14:paraId="201E6BE6" w14:textId="77777777" w:rsidTr="005A0389">
        <w:tc>
          <w:tcPr>
            <w:tcW w:w="4678" w:type="dxa"/>
            <w:shd w:val="clear" w:color="auto" w:fill="auto"/>
          </w:tcPr>
          <w:p w14:paraId="065009F5" w14:textId="116DD54A" w:rsidR="00FE0B53" w:rsidRDefault="00FE0B53" w:rsidP="00FE0B53">
            <w:pPr>
              <w:pStyle w:val="TableText"/>
            </w:pPr>
            <w:r w:rsidRPr="003219DB">
              <w:t>An examination of factors that led to release into Australia of a consignment of soil (declared as fertiliser) and interception at the border of another consignment of soil (declared as fertiliser</w:t>
            </w:r>
            <w:r>
              <w:t>)</w:t>
            </w:r>
          </w:p>
        </w:tc>
        <w:tc>
          <w:tcPr>
            <w:tcW w:w="1701" w:type="dxa"/>
            <w:shd w:val="clear" w:color="auto" w:fill="auto"/>
          </w:tcPr>
          <w:p w14:paraId="479AA1C5" w14:textId="77777777" w:rsidR="00FE0B53" w:rsidRDefault="00FE0B53" w:rsidP="00FE0B53">
            <w:pPr>
              <w:pStyle w:val="TableText"/>
            </w:pPr>
            <w:r>
              <w:rPr>
                <w:rFonts w:cs="Segoe UI"/>
                <w:color w:val="000000"/>
              </w:rPr>
              <w:t>June 2012</w:t>
            </w:r>
          </w:p>
        </w:tc>
        <w:tc>
          <w:tcPr>
            <w:tcW w:w="1701" w:type="dxa"/>
            <w:shd w:val="clear" w:color="auto" w:fill="auto"/>
          </w:tcPr>
          <w:p w14:paraId="123CCB06" w14:textId="77777777" w:rsidR="00FE0B53" w:rsidRDefault="00FE0B53" w:rsidP="00FE0B53">
            <w:pPr>
              <w:pStyle w:val="TableText"/>
            </w:pPr>
            <w:r>
              <w:t>4</w:t>
            </w:r>
          </w:p>
        </w:tc>
        <w:tc>
          <w:tcPr>
            <w:tcW w:w="1161" w:type="dxa"/>
            <w:shd w:val="clear" w:color="auto" w:fill="auto"/>
          </w:tcPr>
          <w:p w14:paraId="41457175" w14:textId="77777777" w:rsidR="00FE0B53" w:rsidRDefault="00FE0B53" w:rsidP="00FE0B53">
            <w:pPr>
              <w:pStyle w:val="TableText"/>
            </w:pPr>
            <w:r>
              <w:t>2</w:t>
            </w:r>
          </w:p>
        </w:tc>
      </w:tr>
      <w:tr w:rsidR="00FE0B53" w14:paraId="76C36384" w14:textId="77777777" w:rsidTr="005A0389">
        <w:tc>
          <w:tcPr>
            <w:tcW w:w="4678" w:type="dxa"/>
            <w:shd w:val="clear" w:color="auto" w:fill="auto"/>
          </w:tcPr>
          <w:p w14:paraId="4A1E1A97" w14:textId="587ABB26" w:rsidR="00FE0B53" w:rsidRDefault="00FE0B53" w:rsidP="00FE0B53">
            <w:pPr>
              <w:pStyle w:val="TableText"/>
            </w:pPr>
            <w:r w:rsidRPr="0054134A">
              <w:t>An examination of the performance of the systems that the biosecurity divisions of the Department of Agriculture, Fisheries and Forestry has in place to detect and mitigate biosecurity risks before they get to Australia’s border</w:t>
            </w:r>
            <w:r>
              <w:t>—i</w:t>
            </w:r>
            <w:r w:rsidRPr="0054134A">
              <w:t>mportation of plant nursery stock</w:t>
            </w:r>
          </w:p>
        </w:tc>
        <w:tc>
          <w:tcPr>
            <w:tcW w:w="1701" w:type="dxa"/>
            <w:shd w:val="clear" w:color="auto" w:fill="auto"/>
          </w:tcPr>
          <w:p w14:paraId="7FEEE9FE" w14:textId="77777777" w:rsidR="00FE0B53" w:rsidRDefault="00FE0B53" w:rsidP="00FE0B53">
            <w:pPr>
              <w:pStyle w:val="TableText"/>
            </w:pPr>
            <w:r>
              <w:rPr>
                <w:rFonts w:cs="Segoe UI"/>
                <w:color w:val="000000"/>
              </w:rPr>
              <w:t>August 2011</w:t>
            </w:r>
          </w:p>
        </w:tc>
        <w:tc>
          <w:tcPr>
            <w:tcW w:w="1701" w:type="dxa"/>
            <w:shd w:val="clear" w:color="auto" w:fill="auto"/>
          </w:tcPr>
          <w:p w14:paraId="0B93BEFF" w14:textId="77777777" w:rsidR="00FE0B53" w:rsidRDefault="00FE0B53" w:rsidP="00FE0B53">
            <w:pPr>
              <w:pStyle w:val="TableText"/>
            </w:pPr>
            <w:r>
              <w:t>11</w:t>
            </w:r>
          </w:p>
        </w:tc>
        <w:tc>
          <w:tcPr>
            <w:tcW w:w="1161" w:type="dxa"/>
            <w:shd w:val="clear" w:color="auto" w:fill="auto"/>
          </w:tcPr>
          <w:p w14:paraId="3E12EAB8" w14:textId="77777777" w:rsidR="00FE0B53" w:rsidRDefault="00FE0B53" w:rsidP="00FE0B53">
            <w:pPr>
              <w:pStyle w:val="TableText"/>
            </w:pPr>
            <w:r>
              <w:t>2</w:t>
            </w:r>
          </w:p>
        </w:tc>
      </w:tr>
      <w:tr w:rsidR="00FE0B53" w14:paraId="5F4B5028" w14:textId="77777777" w:rsidTr="005A0389">
        <w:tc>
          <w:tcPr>
            <w:tcW w:w="4678" w:type="dxa"/>
            <w:shd w:val="clear" w:color="auto" w:fill="auto"/>
          </w:tcPr>
          <w:p w14:paraId="40CDB484" w14:textId="6FBA858F" w:rsidR="00FE0B53" w:rsidRDefault="00FE0B53" w:rsidP="00FE0B53">
            <w:pPr>
              <w:pStyle w:val="TableText"/>
            </w:pPr>
            <w:r w:rsidRPr="004A65C8">
              <w:t>An examination of the performance of the systems that the biosecurity divisions of the Department of Agriculture, Fisheries and Forestry has in place to manage biosecurity risks along entry pathways</w:t>
            </w:r>
            <w:r w:rsidRPr="0067485A">
              <w:t>—</w:t>
            </w:r>
            <w:r>
              <w:t>citrus canker</w:t>
            </w:r>
          </w:p>
        </w:tc>
        <w:tc>
          <w:tcPr>
            <w:tcW w:w="1701" w:type="dxa"/>
            <w:shd w:val="clear" w:color="auto" w:fill="auto"/>
          </w:tcPr>
          <w:p w14:paraId="2E9305A5" w14:textId="77777777" w:rsidR="00FE0B53" w:rsidRDefault="00FE0B53" w:rsidP="00FE0B53">
            <w:pPr>
              <w:pStyle w:val="TableText"/>
            </w:pPr>
            <w:r>
              <w:rPr>
                <w:rFonts w:cs="Segoe UI"/>
                <w:color w:val="000000"/>
              </w:rPr>
              <w:t>August 2011</w:t>
            </w:r>
          </w:p>
        </w:tc>
        <w:tc>
          <w:tcPr>
            <w:tcW w:w="1701" w:type="dxa"/>
            <w:shd w:val="clear" w:color="auto" w:fill="auto"/>
          </w:tcPr>
          <w:p w14:paraId="594C4EAD" w14:textId="77777777" w:rsidR="00FE0B53" w:rsidRDefault="00FE0B53" w:rsidP="00FE0B53">
            <w:pPr>
              <w:pStyle w:val="TableText"/>
            </w:pPr>
            <w:r>
              <w:t>6</w:t>
            </w:r>
          </w:p>
        </w:tc>
        <w:tc>
          <w:tcPr>
            <w:tcW w:w="1161" w:type="dxa"/>
            <w:shd w:val="clear" w:color="auto" w:fill="auto"/>
          </w:tcPr>
          <w:p w14:paraId="5F73247A" w14:textId="77777777" w:rsidR="00FE0B53" w:rsidRDefault="00FE0B53" w:rsidP="00FE0B53">
            <w:pPr>
              <w:pStyle w:val="TableText"/>
            </w:pPr>
            <w:r>
              <w:t>4</w:t>
            </w:r>
          </w:p>
        </w:tc>
      </w:tr>
      <w:tr w:rsidR="00FE0B53" w14:paraId="2D3DE5A6" w14:textId="77777777" w:rsidTr="005A0389">
        <w:tc>
          <w:tcPr>
            <w:tcW w:w="4678" w:type="dxa"/>
            <w:shd w:val="clear" w:color="auto" w:fill="auto"/>
          </w:tcPr>
          <w:p w14:paraId="674F07B0" w14:textId="7FF44683" w:rsidR="00FE0B53" w:rsidRDefault="00FE0B53" w:rsidP="00FE0B53">
            <w:pPr>
              <w:pStyle w:val="TableText"/>
            </w:pPr>
            <w:r w:rsidRPr="0054134A">
              <w:t>Management of quarantine waste from international vessels at Australian seaports</w:t>
            </w:r>
          </w:p>
        </w:tc>
        <w:tc>
          <w:tcPr>
            <w:tcW w:w="1701" w:type="dxa"/>
            <w:shd w:val="clear" w:color="auto" w:fill="auto"/>
          </w:tcPr>
          <w:p w14:paraId="5DE6E020" w14:textId="77777777" w:rsidR="00FE0B53" w:rsidRDefault="00FE0B53" w:rsidP="00FE0B53">
            <w:pPr>
              <w:pStyle w:val="TableText"/>
            </w:pPr>
            <w:r>
              <w:rPr>
                <w:rFonts w:cs="Segoe UI"/>
                <w:color w:val="000000"/>
              </w:rPr>
              <w:t>July 2011</w:t>
            </w:r>
          </w:p>
        </w:tc>
        <w:tc>
          <w:tcPr>
            <w:tcW w:w="1701" w:type="dxa"/>
            <w:shd w:val="clear" w:color="auto" w:fill="auto"/>
          </w:tcPr>
          <w:p w14:paraId="7D3108C2" w14:textId="77777777" w:rsidR="00FE0B53" w:rsidRDefault="00FE0B53" w:rsidP="00FE0B53">
            <w:pPr>
              <w:pStyle w:val="TableText"/>
            </w:pPr>
            <w:r>
              <w:t>4</w:t>
            </w:r>
          </w:p>
        </w:tc>
        <w:tc>
          <w:tcPr>
            <w:tcW w:w="1161" w:type="dxa"/>
            <w:shd w:val="clear" w:color="auto" w:fill="auto"/>
          </w:tcPr>
          <w:p w14:paraId="5D29F236" w14:textId="77777777" w:rsidR="00FE0B53" w:rsidRDefault="00FE0B53" w:rsidP="00FE0B53">
            <w:pPr>
              <w:pStyle w:val="TableText"/>
            </w:pPr>
            <w:r>
              <w:t>1</w:t>
            </w:r>
          </w:p>
        </w:tc>
      </w:tr>
      <w:tr w:rsidR="00FE0B53" w14:paraId="19B2F667" w14:textId="77777777" w:rsidTr="0067485A">
        <w:tc>
          <w:tcPr>
            <w:tcW w:w="6379" w:type="dxa"/>
            <w:gridSpan w:val="2"/>
            <w:shd w:val="clear" w:color="auto" w:fill="auto"/>
          </w:tcPr>
          <w:p w14:paraId="3A9FD797" w14:textId="77777777" w:rsidR="00FE0B53" w:rsidRDefault="00FE0B53" w:rsidP="00FE0B53">
            <w:pPr>
              <w:pStyle w:val="TableText"/>
              <w:rPr>
                <w:rFonts w:cs="Segoe UI"/>
                <w:color w:val="000000"/>
              </w:rPr>
            </w:pPr>
            <w:r>
              <w:rPr>
                <w:b/>
              </w:rPr>
              <w:t>Total</w:t>
            </w:r>
          </w:p>
        </w:tc>
        <w:tc>
          <w:tcPr>
            <w:tcW w:w="1701" w:type="dxa"/>
            <w:shd w:val="clear" w:color="auto" w:fill="auto"/>
          </w:tcPr>
          <w:p w14:paraId="211E7DDF" w14:textId="77777777" w:rsidR="00FE0B53" w:rsidRDefault="00FE0B53" w:rsidP="00FE0B53">
            <w:pPr>
              <w:pStyle w:val="TableText"/>
            </w:pPr>
            <w:r>
              <w:rPr>
                <w:b/>
              </w:rPr>
              <w:t>96</w:t>
            </w:r>
          </w:p>
        </w:tc>
        <w:tc>
          <w:tcPr>
            <w:tcW w:w="1161" w:type="dxa"/>
            <w:shd w:val="clear" w:color="auto" w:fill="auto"/>
          </w:tcPr>
          <w:p w14:paraId="29CF8877" w14:textId="77777777" w:rsidR="00FE0B53" w:rsidRDefault="00FE0B53" w:rsidP="00FE0B53">
            <w:pPr>
              <w:pStyle w:val="TableText"/>
            </w:pPr>
            <w:r>
              <w:rPr>
                <w:b/>
              </w:rPr>
              <w:t>47</w:t>
            </w:r>
          </w:p>
        </w:tc>
      </w:tr>
    </w:tbl>
    <w:p w14:paraId="798562B4" w14:textId="1010A58A" w:rsidR="003B166A" w:rsidRDefault="004141FA" w:rsidP="00263927">
      <w:pPr>
        <w:pStyle w:val="FigureTableNoteSource"/>
        <w:spacing w:line="240" w:lineRule="auto"/>
        <w:contextualSpacing w:val="0"/>
      </w:pPr>
      <w:r>
        <w:t xml:space="preserve">Note: </w:t>
      </w:r>
      <w:hyperlink r:id="rId21" w:history="1">
        <w:r w:rsidRPr="00263927">
          <w:rPr>
            <w:rStyle w:val="Hyperlink"/>
          </w:rPr>
          <w:t>Completed audits and reviews</w:t>
        </w:r>
      </w:hyperlink>
      <w:r>
        <w:t xml:space="preserve"> are available on the Inspector-General of Biosecurity website.</w:t>
      </w:r>
    </w:p>
    <w:p w14:paraId="505FFF94" w14:textId="4DDFB375" w:rsidR="00FC388A" w:rsidRPr="003A100C" w:rsidRDefault="003B166A" w:rsidP="006A77FA">
      <w:pPr>
        <w:spacing w:before="240"/>
      </w:pPr>
      <w:r>
        <w:t>I also considered generic issues identified by the IIGB in 2015 (Interim Inspector-General of Biosecurity</w:t>
      </w:r>
      <w:r>
        <w:rPr>
          <w:szCs w:val="26"/>
        </w:rPr>
        <w:t> </w:t>
      </w:r>
      <w:r w:rsidRPr="00AB4A57">
        <w:t>2015</w:t>
      </w:r>
      <w:r>
        <w:t>) for re-examination in future IGB reviews or for active departmental review.</w:t>
      </w:r>
    </w:p>
    <w:p w14:paraId="56825FCF" w14:textId="77777777" w:rsidR="00FE2380" w:rsidRDefault="004141FA">
      <w:pPr>
        <w:pStyle w:val="Heading2"/>
      </w:pPr>
      <w:bookmarkStart w:id="8" w:name="_Toc524077276"/>
      <w:r>
        <w:lastRenderedPageBreak/>
        <w:t>Findings</w:t>
      </w:r>
      <w:bookmarkEnd w:id="8"/>
    </w:p>
    <w:p w14:paraId="62A27059" w14:textId="77777777" w:rsidR="00FE2380" w:rsidRDefault="004141FA" w:rsidP="00A51B4F">
      <w:pPr>
        <w:pStyle w:val="Heading3"/>
      </w:pPr>
      <w:bookmarkStart w:id="9" w:name="_Toc524077277"/>
      <w:r>
        <w:t>Process for tracking decisions and actions to implement recommendations</w:t>
      </w:r>
      <w:bookmarkEnd w:id="9"/>
    </w:p>
    <w:p w14:paraId="0CBCF29B" w14:textId="5AE61F7A" w:rsidR="00FE2380" w:rsidRDefault="00A669C0" w:rsidP="00A51B4F">
      <w:r>
        <w:t>From</w:t>
      </w:r>
      <w:r w:rsidR="00B22DE0">
        <w:t xml:space="preserve"> 2010 t</w:t>
      </w:r>
      <w:r w:rsidR="004141FA">
        <w:t xml:space="preserve">he department recorded and individually numbered all Interim Inspector-General of Biosecurity (IIGB) audit recommendations in </w:t>
      </w:r>
      <w:proofErr w:type="spellStart"/>
      <w:r w:rsidR="004141FA">
        <w:t>eTRAC</w:t>
      </w:r>
      <w:proofErr w:type="spellEnd"/>
      <w:r w:rsidR="004141FA">
        <w:t xml:space="preserve">, its decision- and action-tracking system. </w:t>
      </w:r>
      <w:r w:rsidR="000949D7">
        <w:t>Between October 2014 and March 2017, t</w:t>
      </w:r>
      <w:r w:rsidR="004141FA">
        <w:t>he IIGB was co-located with the departmental internal audit team, and this team had responsibility for recording and monitoring decisions and actions on audit recommendations. After the Inspector-General of Biosecurity (IGB) was established, the IGB</w:t>
      </w:r>
      <w:r w:rsidR="00253888">
        <w:t xml:space="preserve"> unit </w:t>
      </w:r>
      <w:r w:rsidR="004141FA">
        <w:t>took on this responsibility due to its greater independence from the department. The process for capturing and reviewing information on decisions and actions on audit recommendations changed, leading to some confusion and potential for gaps or duplication and inefficiency.</w:t>
      </w:r>
    </w:p>
    <w:p w14:paraId="5C1ECC86" w14:textId="1A26633F" w:rsidR="00FE2380" w:rsidRDefault="004141FA">
      <w:r>
        <w:t xml:space="preserve">A wide range of departmental staff across business areas were responsible for ensuring that IIGB recommendation follow-up actions were taken and recorded in </w:t>
      </w:r>
      <w:proofErr w:type="spellStart"/>
      <w:r>
        <w:t>eTRAC</w:t>
      </w:r>
      <w:proofErr w:type="spellEnd"/>
      <w:r>
        <w:t xml:space="preserve">. This resulted in </w:t>
      </w:r>
      <w:r w:rsidR="001A2A35">
        <w:t xml:space="preserve">some </w:t>
      </w:r>
      <w:r>
        <w:t xml:space="preserve">lack of clarity on which divisions, branches and positions were responsible for implementing recommendations and recording actions in </w:t>
      </w:r>
      <w:proofErr w:type="spellStart"/>
      <w:r>
        <w:t>eTRAC</w:t>
      </w:r>
      <w:proofErr w:type="spellEnd"/>
      <w:r>
        <w:t xml:space="preserve">—exacerbated by departmental restructures and staff changes during the eight years </w:t>
      </w:r>
      <w:r w:rsidR="00157F13">
        <w:t xml:space="preserve">in which </w:t>
      </w:r>
      <w:r>
        <w:t>IIGB audit</w:t>
      </w:r>
      <w:r w:rsidR="00157F13">
        <w:t>s had been conducted</w:t>
      </w:r>
      <w:r>
        <w:t xml:space="preserve">. Consequently, some corporate knowledge and responsibility for implementing recommendations was lost. </w:t>
      </w:r>
      <w:r w:rsidR="00961071">
        <w:t>IIGBs</w:t>
      </w:r>
      <w:r>
        <w:t xml:space="preserve"> </w:t>
      </w:r>
      <w:r w:rsidR="00A669C0">
        <w:t xml:space="preserve">and departmental staff </w:t>
      </w:r>
      <w:r>
        <w:t xml:space="preserve">considered recommendations individually rather by review, so </w:t>
      </w:r>
      <w:r w:rsidR="00A669C0">
        <w:t>some</w:t>
      </w:r>
      <w:r>
        <w:t xml:space="preserve"> </w:t>
      </w:r>
      <w:r w:rsidR="00157F13">
        <w:t xml:space="preserve">staff </w:t>
      </w:r>
      <w:r>
        <w:t>had little overview of how individual actions contributed to overall biosecurity outcomes in particular areas. The department remedied this to some extent for this review by assigning each IIGB audit to a single ‘risk owner’ for compilation of all responses.</w:t>
      </w:r>
    </w:p>
    <w:p w14:paraId="1EC7FB65" w14:textId="02347AB7" w:rsidR="00FE2380" w:rsidRDefault="004141FA">
      <w:r>
        <w:t>The department was implementing the online governance tool Planning Hub at the time of this review. Planning Hub has seven interlinking modules covering areas including business planning, risk planning and management, and project planning and reporting. This should enable the department to strengthen its governance and performance oversight.</w:t>
      </w:r>
    </w:p>
    <w:p w14:paraId="790418B8" w14:textId="7A53D2A3" w:rsidR="00FE2380" w:rsidRDefault="004141FA">
      <w:r>
        <w:t xml:space="preserve">The ‘Action Tracker’ Planning Hub module enables the department to track and progress actions and decisions arising from committees and governance boards. The module can also be used to capture and track tasks to be completed as part of a project. Action Tracker will replace </w:t>
      </w:r>
      <w:proofErr w:type="spellStart"/>
      <w:r>
        <w:t>eTRAC</w:t>
      </w:r>
      <w:proofErr w:type="spellEnd"/>
      <w:r>
        <w:t xml:space="preserve">. To retain corporate knowledge, the department must ensure that significant issues recorded in </w:t>
      </w:r>
      <w:proofErr w:type="spellStart"/>
      <w:r>
        <w:t>eTRAC</w:t>
      </w:r>
      <w:proofErr w:type="spellEnd"/>
      <w:r>
        <w:t xml:space="preserve"> are transferred and clearly followed up in Action Tracker.</w:t>
      </w:r>
    </w:p>
    <w:p w14:paraId="2D35528A" w14:textId="529D07A2" w:rsidR="00FE2380" w:rsidRDefault="00157F13">
      <w:r>
        <w:t>The department did not apply</w:t>
      </w:r>
      <w:r w:rsidR="004141FA">
        <w:t xml:space="preserve"> its normal systems for overseeing implementation of decisions and actions arising from other audit and review processes (such as ANAO and internal audits) to IIGB and IGB recommendations, to avoid </w:t>
      </w:r>
      <w:r>
        <w:t>perception of interference with I</w:t>
      </w:r>
      <w:r w:rsidR="004141FA">
        <w:t xml:space="preserve">GB independence. </w:t>
      </w:r>
      <w:r w:rsidR="00114D2F">
        <w:t>However,</w:t>
      </w:r>
      <w:r w:rsidR="004141FA">
        <w:t xml:space="preserve"> IIGB and IGB audits and reviews</w:t>
      </w:r>
      <w:r w:rsidR="00114D2F">
        <w:t>, with</w:t>
      </w:r>
      <w:r w:rsidR="004141FA">
        <w:t xml:space="preserve"> departmental responses</w:t>
      </w:r>
      <w:r w:rsidR="00114D2F">
        <w:t xml:space="preserve"> to recommendations</w:t>
      </w:r>
      <w:r w:rsidR="004141FA">
        <w:t>, and IIGB reports on their implementation, are already in the public domain.</w:t>
      </w:r>
      <w:r w:rsidR="00114D2F">
        <w:t xml:space="preserve"> I consider that oversight of this implementation should be improved and integrated with other departmental processes.</w:t>
      </w:r>
    </w:p>
    <w:p w14:paraId="4C3BE06A" w14:textId="77777777" w:rsidR="00EB5749" w:rsidRDefault="00EB5749">
      <w:pPr>
        <w:spacing w:after="0"/>
        <w:rPr>
          <w:rFonts w:eastAsia="Calibri"/>
          <w:b/>
          <w:bCs/>
          <w:color w:val="404040"/>
          <w:szCs w:val="18"/>
          <w:lang w:eastAsia="en-US"/>
        </w:rPr>
      </w:pPr>
      <w:r>
        <w:br w:type="page"/>
      </w:r>
    </w:p>
    <w:p w14:paraId="71AC502C" w14:textId="40EFD7F0" w:rsidR="00FE2380" w:rsidRDefault="004141FA">
      <w:pPr>
        <w:pStyle w:val="RecommendationHeading"/>
      </w:pPr>
      <w:r>
        <w:lastRenderedPageBreak/>
        <w:t>Recommendation 1</w:t>
      </w:r>
    </w:p>
    <w:p w14:paraId="7A8C923B" w14:textId="4FEDF778" w:rsidR="00FE2380" w:rsidRDefault="004141FA">
      <w:pPr>
        <w:pStyle w:val="BoxText"/>
      </w:pPr>
      <w:r>
        <w:t>The department should streamline and improve internal transparency of processes for short- and long-term tracking of implementation of decisions and actions arising from IIGB and IGB audits and reviews. It should also integrate them with processes for tracking responses to internal audits and ANAO reviews. Risk owners should be responsible for entering and tracking actions against IGB review recommendations in departmental tracking systems. Progress should be visible to senior departmental risk managers, the IGB and other audit bodies as appropriate.</w:t>
      </w:r>
    </w:p>
    <w:p w14:paraId="4F26D6C3" w14:textId="77777777" w:rsidR="003F697F" w:rsidRPr="003F697F" w:rsidRDefault="008F4713" w:rsidP="003F697F">
      <w:pPr>
        <w:pStyle w:val="BoxText"/>
        <w:rPr>
          <w:rStyle w:val="Strong"/>
        </w:rPr>
      </w:pPr>
      <w:r w:rsidRPr="003F697F">
        <w:rPr>
          <w:rStyle w:val="Strong"/>
        </w:rPr>
        <w:t xml:space="preserve">Department’s response: </w:t>
      </w:r>
      <w:r w:rsidR="003F697F" w:rsidRPr="003F697F">
        <w:rPr>
          <w:rStyle w:val="Strong"/>
          <w:b w:val="0"/>
        </w:rPr>
        <w:t>Agreed.</w:t>
      </w:r>
    </w:p>
    <w:p w14:paraId="406B3F03" w14:textId="2009DC5F" w:rsidR="008F4713" w:rsidRPr="003F697F" w:rsidRDefault="003F697F" w:rsidP="003F697F">
      <w:pPr>
        <w:pStyle w:val="BoxText"/>
        <w:rPr>
          <w:b/>
        </w:rPr>
      </w:pPr>
      <w:r w:rsidRPr="003F697F">
        <w:rPr>
          <w:rStyle w:val="Strong"/>
          <w:b w:val="0"/>
        </w:rPr>
        <w:t>The department will use the Planning Hub – ‘Action Tracker’ module to enter and track the implementation of recommendations arising from IGB reviews. This will facilitate transparency of actions and link responses to IGB reports with responses to ANAO and internal audit reports. Relevant risk owners in the Biosecurity group will be responsible for ensuring recommendations are implemented.</w:t>
      </w:r>
    </w:p>
    <w:p w14:paraId="3AB5BAAA" w14:textId="0ABCCED3" w:rsidR="006132A6" w:rsidRDefault="006132A6" w:rsidP="006132A6">
      <w:pPr>
        <w:pStyle w:val="FigureTableNoteSource"/>
      </w:pPr>
      <w:bookmarkStart w:id="10" w:name="_Toc524077278"/>
      <w:r>
        <w:t xml:space="preserve">Note: The full departmental response to the recommendation is at </w:t>
      </w:r>
      <w:hyperlink w:anchor="_Appendix_A" w:history="1">
        <w:r>
          <w:rPr>
            <w:rStyle w:val="Hyperlink"/>
            <w:lang w:eastAsia="en-AU"/>
          </w:rPr>
          <w:t>Appendix A</w:t>
        </w:r>
      </w:hyperlink>
      <w:r w:rsidR="00C8356A" w:rsidRPr="00C8356A">
        <w:rPr>
          <w:rStyle w:val="Hyperlink"/>
          <w:u w:val="none"/>
          <w:lang w:eastAsia="en-AU"/>
        </w:rPr>
        <w:t>.</w:t>
      </w:r>
    </w:p>
    <w:p w14:paraId="7DD2D126" w14:textId="77777777" w:rsidR="00FE2380" w:rsidRDefault="004141FA" w:rsidP="00A51B4F">
      <w:pPr>
        <w:pStyle w:val="Heading3"/>
      </w:pPr>
      <w:r>
        <w:t>Implementation of recommendations over time</w:t>
      </w:r>
      <w:bookmarkEnd w:id="10"/>
    </w:p>
    <w:p w14:paraId="1BAE986A" w14:textId="17A2F119" w:rsidR="00FE2380" w:rsidRDefault="004141FA">
      <w:r>
        <w:t>I asked the department about implementation of 47 recommendations in the 15 IIGB reviews I considered. These queries related to recommendations that:</w:t>
      </w:r>
    </w:p>
    <w:p w14:paraId="1419ECDB" w14:textId="7556C35F" w:rsidR="00FE2380" w:rsidRDefault="004141FA" w:rsidP="004141FA">
      <w:pPr>
        <w:pStyle w:val="ListBullet"/>
      </w:pPr>
      <w:proofErr w:type="spellStart"/>
      <w:r>
        <w:t>were</w:t>
      </w:r>
      <w:proofErr w:type="spellEnd"/>
      <w:r>
        <w:t xml:space="preserve"> not recorded as having been implemented and/or closed by the department. These </w:t>
      </w:r>
      <w:r w:rsidR="00AF1CB2">
        <w:t xml:space="preserve">recommendations </w:t>
      </w:r>
      <w:r>
        <w:t xml:space="preserve">were mainly </w:t>
      </w:r>
      <w:r w:rsidR="002775F6">
        <w:t xml:space="preserve">in </w:t>
      </w:r>
      <w:r>
        <w:t xml:space="preserve">recent reviews where </w:t>
      </w:r>
      <w:r w:rsidR="00AF1CB2">
        <w:t xml:space="preserve">their </w:t>
      </w:r>
      <w:r>
        <w:t>implementation would require complex changes or planning that could not be done quickly</w:t>
      </w:r>
    </w:p>
    <w:p w14:paraId="41A058F0" w14:textId="0195D391" w:rsidR="00FE2380" w:rsidRDefault="004141FA" w:rsidP="004141FA">
      <w:pPr>
        <w:pStyle w:val="ListBullet"/>
      </w:pPr>
      <w:r>
        <w:t>were recorded as having been closed by the department because intentions or processes had been put in place to implement the recommendations</w:t>
      </w:r>
      <w:r w:rsidR="002775F6">
        <w:t>,</w:t>
      </w:r>
      <w:r>
        <w:t xml:space="preserve"> but the department had not provided evidence of implementation adequate to achieve the envisaged outcomes</w:t>
      </w:r>
      <w:r w:rsidR="002775F6">
        <w:t>—</w:t>
      </w:r>
      <w:r>
        <w:t>creat</w:t>
      </w:r>
      <w:r w:rsidR="002775F6">
        <w:t>ing</w:t>
      </w:r>
      <w:r>
        <w:t xml:space="preserve"> the risk that outcomes might not be achieved if intentions </w:t>
      </w:r>
      <w:r w:rsidR="002775F6">
        <w:t>were</w:t>
      </w:r>
      <w:r>
        <w:t xml:space="preserve"> not action</w:t>
      </w:r>
      <w:r w:rsidR="00157F13">
        <w:t>ed, or</w:t>
      </w:r>
    </w:p>
    <w:p w14:paraId="3F80BEB0" w14:textId="274F8EF2" w:rsidR="00FE2380" w:rsidRDefault="004141FA" w:rsidP="004141FA">
      <w:pPr>
        <w:pStyle w:val="ListBullet"/>
      </w:pPr>
      <w:r>
        <w:t>were recorded as having been satisfactorily implemented and closed by the department</w:t>
      </w:r>
      <w:r w:rsidR="00157F13">
        <w:t>, but</w:t>
      </w:r>
      <w:r>
        <w:t xml:space="preserve"> further evidence </w:t>
      </w:r>
      <w:r w:rsidR="00157F13">
        <w:t xml:space="preserve">was sought </w:t>
      </w:r>
      <w:r>
        <w:t>to demonstrate that the department had continued implementation over time—addressing the risk that satisfactory implementation might have lapsed or waned due to pressure of other work or loss of corporate knowledge.</w:t>
      </w:r>
    </w:p>
    <w:p w14:paraId="46D00A57" w14:textId="6AD238A9" w:rsidR="003B166A" w:rsidRDefault="004141FA">
      <w:r>
        <w:t>The department</w:t>
      </w:r>
      <w:r w:rsidR="00451EF3">
        <w:t>‘s</w:t>
      </w:r>
      <w:r>
        <w:t xml:space="preserve"> responses to these queries</w:t>
      </w:r>
      <w:r w:rsidR="00451EF3">
        <w:t xml:space="preserve"> provided </w:t>
      </w:r>
      <w:r>
        <w:t xml:space="preserve">evidence of </w:t>
      </w:r>
      <w:r w:rsidR="00451EF3">
        <w:t xml:space="preserve">satisfactory </w:t>
      </w:r>
      <w:r>
        <w:t xml:space="preserve">progress </w:t>
      </w:r>
      <w:r w:rsidR="00451EF3">
        <w:t>with</w:t>
      </w:r>
      <w:r>
        <w:t xml:space="preserve"> ongoing implementation and/or completion</w:t>
      </w:r>
      <w:r w:rsidR="00451EF3">
        <w:t xml:space="preserve"> of actions</w:t>
      </w:r>
      <w:r w:rsidR="00AF1CB2">
        <w:t xml:space="preserve"> addressing nearly all</w:t>
      </w:r>
      <w:r w:rsidR="00451EF3">
        <w:t xml:space="preserve"> recommendations</w:t>
      </w:r>
      <w:r>
        <w:t xml:space="preserve">. </w:t>
      </w:r>
    </w:p>
    <w:p w14:paraId="0DE93564" w14:textId="52767629" w:rsidR="003B166A" w:rsidRDefault="003B166A">
      <w:r>
        <w:t>Full implementation of some recommendations required collaborative action with external parties, with timescales outside departmental control. Nevertheless, I found evidence that the department was actively pursuing these through negotiations with the relevant parties.</w:t>
      </w:r>
    </w:p>
    <w:p w14:paraId="65B8EC51" w14:textId="6256C8E3" w:rsidR="006C2F1C" w:rsidRDefault="00451EF3" w:rsidP="006C2F1C">
      <w:proofErr w:type="gramStart"/>
      <w:r>
        <w:t>A number of</w:t>
      </w:r>
      <w:proofErr w:type="gramEnd"/>
      <w:r>
        <w:t xml:space="preserve"> the</w:t>
      </w:r>
      <w:r w:rsidR="004141FA">
        <w:t xml:space="preserve"> recommendations and responses</w:t>
      </w:r>
      <w:r w:rsidR="00E004E3">
        <w:t xml:space="preserve"> concerned issues which are highly relevant to </w:t>
      </w:r>
      <w:r w:rsidR="004141FA">
        <w:t>other reviews in</w:t>
      </w:r>
      <w:r w:rsidR="00E004E3">
        <w:t xml:space="preserve"> the IGB</w:t>
      </w:r>
      <w:r w:rsidR="004141FA">
        <w:t xml:space="preserve"> 2018–19 review work plan—notably reviews of approved arrangements, interceptions and incursions, and pre-border certification</w:t>
      </w:r>
      <w:r w:rsidR="006C2F1C">
        <w:t xml:space="preserve"> (</w:t>
      </w:r>
      <w:r w:rsidR="006C2F1C">
        <w:fldChar w:fldCharType="begin"/>
      </w:r>
      <w:r w:rsidR="006C2F1C">
        <w:instrText xml:space="preserve"> REF _Ref524078296 \h </w:instrText>
      </w:r>
      <w:r w:rsidR="006C2F1C">
        <w:fldChar w:fldCharType="separate"/>
      </w:r>
      <w:r w:rsidR="006C2F1C">
        <w:rPr>
          <w:rFonts w:eastAsia="Calibri"/>
          <w:color w:val="404040"/>
          <w:szCs w:val="18"/>
          <w:lang w:eastAsia="en-US"/>
        </w:rPr>
        <w:t xml:space="preserve">Table </w:t>
      </w:r>
      <w:r w:rsidR="006C2F1C">
        <w:rPr>
          <w:rFonts w:eastAsia="Calibri"/>
          <w:noProof/>
          <w:color w:val="404040"/>
          <w:szCs w:val="18"/>
          <w:lang w:eastAsia="en-US"/>
        </w:rPr>
        <w:t>2</w:t>
      </w:r>
      <w:r w:rsidR="006C2F1C">
        <w:fldChar w:fldCharType="end"/>
      </w:r>
      <w:r w:rsidR="006C2F1C">
        <w:t>)</w:t>
      </w:r>
      <w:r w:rsidR="004141FA">
        <w:t>.</w:t>
      </w:r>
      <w:r w:rsidR="00E004E3">
        <w:t xml:space="preserve"> This demonstrated the value of periodic review of past IIGB and IGB audits and reviews.</w:t>
      </w:r>
      <w:bookmarkStart w:id="11" w:name="_Ref522194883"/>
      <w:bookmarkStart w:id="12" w:name="_Ref521678692"/>
    </w:p>
    <w:p w14:paraId="343F5101" w14:textId="77777777" w:rsidR="006C2F1C" w:rsidRDefault="006C2F1C">
      <w:pPr>
        <w:spacing w:after="0"/>
      </w:pPr>
      <w:r>
        <w:br w:type="page"/>
      </w:r>
    </w:p>
    <w:p w14:paraId="73A07975" w14:textId="301D0E43" w:rsidR="00FE2380" w:rsidRDefault="004141FA" w:rsidP="00AA59DE">
      <w:pPr>
        <w:pStyle w:val="Caption"/>
        <w:keepNext/>
        <w:tabs>
          <w:tab w:val="left" w:pos="567"/>
        </w:tabs>
        <w:spacing w:before="240" w:after="100"/>
        <w:rPr>
          <w:rFonts w:eastAsia="Calibri"/>
          <w:color w:val="404040"/>
          <w:sz w:val="24"/>
          <w:szCs w:val="18"/>
          <w:lang w:eastAsia="en-US"/>
        </w:rPr>
      </w:pPr>
      <w:bookmarkStart w:id="13" w:name="_Ref524078296"/>
      <w:r>
        <w:rPr>
          <w:rFonts w:eastAsia="Calibri"/>
          <w:color w:val="404040"/>
          <w:sz w:val="24"/>
          <w:szCs w:val="18"/>
          <w:lang w:eastAsia="en-US"/>
        </w:rPr>
        <w:lastRenderedPageBreak/>
        <w:t xml:space="preserve">Table </w:t>
      </w:r>
      <w:r>
        <w:rPr>
          <w:rFonts w:eastAsia="Calibri"/>
          <w:color w:val="404040"/>
          <w:sz w:val="24"/>
          <w:szCs w:val="18"/>
          <w:lang w:eastAsia="en-US"/>
        </w:rPr>
        <w:fldChar w:fldCharType="begin"/>
      </w:r>
      <w:r>
        <w:rPr>
          <w:rFonts w:eastAsia="Calibri"/>
          <w:color w:val="404040"/>
          <w:sz w:val="24"/>
          <w:szCs w:val="18"/>
          <w:lang w:eastAsia="en-US"/>
        </w:rPr>
        <w:instrText xml:space="preserve"> SEQ Table \* ARABIC </w:instrText>
      </w:r>
      <w:r>
        <w:rPr>
          <w:rFonts w:eastAsia="Calibri"/>
          <w:color w:val="404040"/>
          <w:sz w:val="24"/>
          <w:szCs w:val="18"/>
          <w:lang w:eastAsia="en-US"/>
        </w:rPr>
        <w:fldChar w:fldCharType="separate"/>
      </w:r>
      <w:r w:rsidR="003A100C">
        <w:rPr>
          <w:rFonts w:eastAsia="Calibri"/>
          <w:noProof/>
          <w:color w:val="404040"/>
          <w:sz w:val="24"/>
          <w:szCs w:val="18"/>
          <w:lang w:eastAsia="en-US"/>
        </w:rPr>
        <w:t>2</w:t>
      </w:r>
      <w:r>
        <w:rPr>
          <w:rFonts w:eastAsia="Calibri"/>
          <w:color w:val="404040"/>
          <w:sz w:val="24"/>
          <w:szCs w:val="18"/>
          <w:lang w:eastAsia="en-US"/>
        </w:rPr>
        <w:fldChar w:fldCharType="end"/>
      </w:r>
      <w:bookmarkEnd w:id="11"/>
      <w:bookmarkEnd w:id="13"/>
      <w:r>
        <w:rPr>
          <w:rFonts w:eastAsia="Calibri"/>
          <w:color w:val="404040"/>
          <w:sz w:val="24"/>
          <w:szCs w:val="18"/>
          <w:lang w:eastAsia="en-US"/>
        </w:rPr>
        <w:t xml:space="preserve"> Inspector-General of Biosecurity queries to department about implementation of Interim Inspector-General of Biosecurity audit recommendations</w:t>
      </w:r>
    </w:p>
    <w:tbl>
      <w:tblPr>
        <w:tblW w:w="9498" w:type="dxa"/>
        <w:tblBorders>
          <w:top w:val="single" w:sz="4" w:space="0" w:color="auto"/>
          <w:bottom w:val="single" w:sz="4" w:space="0" w:color="auto"/>
        </w:tblBorders>
        <w:tblLook w:val="04A0" w:firstRow="1" w:lastRow="0" w:firstColumn="1" w:lastColumn="0" w:noHBand="0" w:noVBand="1"/>
      </w:tblPr>
      <w:tblGrid>
        <w:gridCol w:w="4678"/>
        <w:gridCol w:w="1559"/>
        <w:gridCol w:w="3261"/>
      </w:tblGrid>
      <w:tr w:rsidR="00A00987" w:rsidRPr="0014613C" w14:paraId="054723EE" w14:textId="77777777" w:rsidTr="00C84F88">
        <w:trPr>
          <w:trHeight w:val="454"/>
          <w:tblHeader/>
        </w:trPr>
        <w:tc>
          <w:tcPr>
            <w:tcW w:w="4678" w:type="dxa"/>
            <w:shd w:val="clear" w:color="auto" w:fill="auto"/>
          </w:tcPr>
          <w:p w14:paraId="5E773566" w14:textId="77777777" w:rsidR="00A00987" w:rsidRPr="00A00987" w:rsidRDefault="00A00987" w:rsidP="00C84F88">
            <w:pPr>
              <w:pStyle w:val="TableText"/>
              <w:rPr>
                <w:rFonts w:asciiTheme="minorHAnsi" w:hAnsiTheme="minorHAnsi"/>
                <w:b/>
                <w:szCs w:val="18"/>
              </w:rPr>
            </w:pPr>
            <w:r w:rsidRPr="00A00987">
              <w:rPr>
                <w:rFonts w:asciiTheme="minorHAnsi" w:hAnsiTheme="minorHAnsi"/>
                <w:b/>
                <w:szCs w:val="18"/>
              </w:rPr>
              <w:t>IIGB report title</w:t>
            </w:r>
          </w:p>
        </w:tc>
        <w:tc>
          <w:tcPr>
            <w:tcW w:w="1559" w:type="dxa"/>
            <w:shd w:val="clear" w:color="auto" w:fill="auto"/>
          </w:tcPr>
          <w:p w14:paraId="1E4869E4" w14:textId="77777777" w:rsidR="00A00987" w:rsidRPr="00A00987" w:rsidRDefault="00A00987" w:rsidP="00C84F88">
            <w:pPr>
              <w:pStyle w:val="TableText"/>
              <w:rPr>
                <w:rFonts w:asciiTheme="minorHAnsi" w:hAnsiTheme="minorHAnsi"/>
                <w:b/>
                <w:szCs w:val="18"/>
              </w:rPr>
            </w:pPr>
            <w:r w:rsidRPr="00A00987">
              <w:rPr>
                <w:rFonts w:asciiTheme="minorHAnsi" w:hAnsiTheme="minorHAnsi"/>
                <w:b/>
                <w:szCs w:val="18"/>
              </w:rPr>
              <w:t xml:space="preserve">Recommendation no. </w:t>
            </w:r>
            <w:r w:rsidRPr="00A00987">
              <w:rPr>
                <w:rFonts w:asciiTheme="minorHAnsi" w:hAnsiTheme="minorHAnsi"/>
                <w:b/>
                <w:szCs w:val="18"/>
                <w:vertAlign w:val="superscript"/>
              </w:rPr>
              <w:t>a</w:t>
            </w:r>
          </w:p>
        </w:tc>
        <w:tc>
          <w:tcPr>
            <w:tcW w:w="3261" w:type="dxa"/>
            <w:shd w:val="clear" w:color="auto" w:fill="auto"/>
          </w:tcPr>
          <w:p w14:paraId="5B130F84" w14:textId="77777777" w:rsidR="00A00987" w:rsidRPr="00A00987" w:rsidRDefault="00A00987" w:rsidP="00C84F88">
            <w:pPr>
              <w:pStyle w:val="TableText"/>
              <w:rPr>
                <w:rFonts w:asciiTheme="minorHAnsi" w:hAnsiTheme="minorHAnsi"/>
                <w:b/>
                <w:szCs w:val="18"/>
              </w:rPr>
            </w:pPr>
            <w:r w:rsidRPr="00A00987">
              <w:rPr>
                <w:rFonts w:asciiTheme="minorHAnsi" w:hAnsiTheme="minorHAnsi"/>
                <w:b/>
                <w:szCs w:val="18"/>
              </w:rPr>
              <w:t>Reason for query</w:t>
            </w:r>
          </w:p>
        </w:tc>
      </w:tr>
      <w:tr w:rsidR="006F03D7" w:rsidRPr="0014613C" w14:paraId="4A83E61D" w14:textId="77777777" w:rsidTr="006F03D7">
        <w:trPr>
          <w:trHeight w:val="376"/>
        </w:trPr>
        <w:tc>
          <w:tcPr>
            <w:tcW w:w="4678" w:type="dxa"/>
            <w:vMerge w:val="restart"/>
            <w:shd w:val="clear" w:color="auto" w:fill="auto"/>
          </w:tcPr>
          <w:p w14:paraId="153A274C"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Effectiveness of biosecurity controls for importation of tomato and carrot seeds</w:t>
            </w:r>
          </w:p>
        </w:tc>
        <w:tc>
          <w:tcPr>
            <w:tcW w:w="1559" w:type="dxa"/>
            <w:shd w:val="clear" w:color="auto" w:fill="auto"/>
          </w:tcPr>
          <w:p w14:paraId="73024D2C" w14:textId="77777777" w:rsidR="006F03D7" w:rsidRPr="0014613C" w:rsidRDefault="006F03D7" w:rsidP="00C84F88">
            <w:pPr>
              <w:pStyle w:val="TableText"/>
              <w:rPr>
                <w:rFonts w:asciiTheme="minorHAnsi" w:hAnsiTheme="minorHAnsi"/>
                <w:szCs w:val="18"/>
                <w:lang w:eastAsia="ja-JP"/>
              </w:rPr>
            </w:pPr>
            <w:r w:rsidRPr="0014613C">
              <w:rPr>
                <w:rFonts w:asciiTheme="minorHAnsi" w:hAnsiTheme="minorHAnsi"/>
                <w:szCs w:val="18"/>
                <w:lang w:eastAsia="ja-JP"/>
              </w:rPr>
              <w:t>1, 3, 5, 10, 12</w:t>
            </w:r>
          </w:p>
        </w:tc>
        <w:tc>
          <w:tcPr>
            <w:tcW w:w="3261" w:type="dxa"/>
            <w:shd w:val="clear" w:color="auto" w:fill="auto"/>
          </w:tcPr>
          <w:p w14:paraId="3A578486"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Not closed by department</w:t>
            </w:r>
          </w:p>
        </w:tc>
      </w:tr>
      <w:tr w:rsidR="006F03D7" w:rsidRPr="0014613C" w14:paraId="4F6C21FE" w14:textId="77777777" w:rsidTr="00C84F88">
        <w:tc>
          <w:tcPr>
            <w:tcW w:w="4678" w:type="dxa"/>
            <w:vMerge/>
            <w:shd w:val="clear" w:color="auto" w:fill="auto"/>
          </w:tcPr>
          <w:p w14:paraId="411FD3C8" w14:textId="77777777" w:rsidR="006F03D7" w:rsidRPr="0014613C" w:rsidRDefault="006F03D7" w:rsidP="00C84F88">
            <w:pPr>
              <w:pStyle w:val="TableText"/>
              <w:rPr>
                <w:rFonts w:asciiTheme="minorHAnsi" w:hAnsiTheme="minorHAnsi"/>
                <w:szCs w:val="18"/>
              </w:rPr>
            </w:pPr>
          </w:p>
        </w:tc>
        <w:tc>
          <w:tcPr>
            <w:tcW w:w="1559" w:type="dxa"/>
            <w:shd w:val="clear" w:color="auto" w:fill="auto"/>
          </w:tcPr>
          <w:p w14:paraId="7D0C730C" w14:textId="77777777" w:rsidR="006F03D7" w:rsidRPr="0014613C" w:rsidRDefault="006F03D7" w:rsidP="00C84F88">
            <w:pPr>
              <w:pStyle w:val="TableText"/>
              <w:rPr>
                <w:rFonts w:asciiTheme="minorHAnsi" w:hAnsiTheme="minorHAnsi"/>
                <w:szCs w:val="18"/>
                <w:lang w:eastAsia="ja-JP"/>
              </w:rPr>
            </w:pPr>
            <w:r w:rsidRPr="0014613C">
              <w:rPr>
                <w:rFonts w:asciiTheme="minorHAnsi" w:hAnsiTheme="minorHAnsi"/>
                <w:szCs w:val="18"/>
                <w:lang w:eastAsia="ja-JP"/>
              </w:rPr>
              <w:t>2, 8</w:t>
            </w:r>
          </w:p>
        </w:tc>
        <w:tc>
          <w:tcPr>
            <w:tcW w:w="3261" w:type="dxa"/>
            <w:shd w:val="clear" w:color="auto" w:fill="auto"/>
          </w:tcPr>
          <w:p w14:paraId="61A699EE"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due to intent or process to implement</w:t>
            </w:r>
          </w:p>
        </w:tc>
      </w:tr>
      <w:tr w:rsidR="006F03D7" w:rsidRPr="0014613C" w14:paraId="7EC49F5D" w14:textId="77777777" w:rsidTr="00C84F88">
        <w:tc>
          <w:tcPr>
            <w:tcW w:w="4678" w:type="dxa"/>
            <w:vMerge/>
            <w:shd w:val="clear" w:color="auto" w:fill="auto"/>
          </w:tcPr>
          <w:p w14:paraId="0260E1A6" w14:textId="77777777" w:rsidR="006F03D7" w:rsidRPr="0014613C" w:rsidRDefault="006F03D7" w:rsidP="00C84F88">
            <w:pPr>
              <w:pStyle w:val="TableText"/>
              <w:rPr>
                <w:rFonts w:asciiTheme="minorHAnsi" w:hAnsiTheme="minorHAnsi"/>
                <w:szCs w:val="18"/>
              </w:rPr>
            </w:pPr>
          </w:p>
        </w:tc>
        <w:tc>
          <w:tcPr>
            <w:tcW w:w="1559" w:type="dxa"/>
            <w:shd w:val="clear" w:color="auto" w:fill="auto"/>
          </w:tcPr>
          <w:p w14:paraId="59BD3EA6"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4</w:t>
            </w:r>
          </w:p>
        </w:tc>
        <w:tc>
          <w:tcPr>
            <w:tcW w:w="3261" w:type="dxa"/>
            <w:shd w:val="clear" w:color="auto" w:fill="auto"/>
          </w:tcPr>
          <w:p w14:paraId="4C1939A0"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6F03D7" w:rsidRPr="0014613C" w14:paraId="20657693" w14:textId="77777777" w:rsidTr="00C84F88">
        <w:tc>
          <w:tcPr>
            <w:tcW w:w="4678" w:type="dxa"/>
            <w:vMerge w:val="restart"/>
            <w:shd w:val="clear" w:color="auto" w:fill="auto"/>
          </w:tcPr>
          <w:p w14:paraId="5822B6BC"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Management of biosecurity risks associated with timber packaging and dunnage</w:t>
            </w:r>
          </w:p>
        </w:tc>
        <w:tc>
          <w:tcPr>
            <w:tcW w:w="1559" w:type="dxa"/>
            <w:shd w:val="clear" w:color="auto" w:fill="auto"/>
          </w:tcPr>
          <w:p w14:paraId="46C91F31" w14:textId="77777777" w:rsidR="006F03D7" w:rsidRPr="0014613C" w:rsidRDefault="006F03D7" w:rsidP="00C84F88">
            <w:pPr>
              <w:pStyle w:val="TableText"/>
              <w:rPr>
                <w:rFonts w:asciiTheme="minorHAnsi" w:hAnsiTheme="minorHAnsi"/>
                <w:szCs w:val="18"/>
                <w:lang w:eastAsia="ja-JP"/>
              </w:rPr>
            </w:pPr>
            <w:r w:rsidRPr="0014613C">
              <w:rPr>
                <w:rFonts w:asciiTheme="minorHAnsi" w:hAnsiTheme="minorHAnsi"/>
                <w:szCs w:val="18"/>
                <w:lang w:eastAsia="ja-JP"/>
              </w:rPr>
              <w:t>1</w:t>
            </w:r>
            <w:r w:rsidRPr="0014613C">
              <w:rPr>
                <w:rStyle w:val="Strong"/>
                <w:rFonts w:asciiTheme="minorHAnsi" w:hAnsiTheme="minorHAnsi"/>
                <w:szCs w:val="18"/>
                <w:vertAlign w:val="superscript"/>
              </w:rPr>
              <w:t>b</w:t>
            </w:r>
            <w:r w:rsidRPr="0014613C">
              <w:rPr>
                <w:rFonts w:asciiTheme="minorHAnsi" w:hAnsiTheme="minorHAnsi"/>
                <w:szCs w:val="18"/>
                <w:lang w:eastAsia="ja-JP"/>
              </w:rPr>
              <w:t>, 8</w:t>
            </w:r>
            <w:r w:rsidRPr="0014613C">
              <w:rPr>
                <w:rStyle w:val="Strong"/>
                <w:rFonts w:asciiTheme="minorHAnsi" w:hAnsiTheme="minorHAnsi"/>
                <w:szCs w:val="18"/>
                <w:vertAlign w:val="superscript"/>
              </w:rPr>
              <w:t>d</w:t>
            </w:r>
          </w:p>
        </w:tc>
        <w:tc>
          <w:tcPr>
            <w:tcW w:w="3261" w:type="dxa"/>
            <w:shd w:val="clear" w:color="auto" w:fill="auto"/>
          </w:tcPr>
          <w:p w14:paraId="2CBE6CEC"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6F03D7" w:rsidRPr="0014613C" w14:paraId="71AC5557" w14:textId="77777777" w:rsidTr="00C84F88">
        <w:tc>
          <w:tcPr>
            <w:tcW w:w="4678" w:type="dxa"/>
            <w:vMerge/>
            <w:shd w:val="clear" w:color="auto" w:fill="auto"/>
          </w:tcPr>
          <w:p w14:paraId="6F829AE6" w14:textId="77777777" w:rsidR="006F03D7" w:rsidRPr="0014613C" w:rsidRDefault="006F03D7" w:rsidP="00C84F88">
            <w:pPr>
              <w:pStyle w:val="TableText"/>
              <w:rPr>
                <w:rFonts w:asciiTheme="minorHAnsi" w:hAnsiTheme="minorHAnsi"/>
                <w:szCs w:val="18"/>
              </w:rPr>
            </w:pPr>
          </w:p>
        </w:tc>
        <w:tc>
          <w:tcPr>
            <w:tcW w:w="1559" w:type="dxa"/>
            <w:shd w:val="clear" w:color="auto" w:fill="auto"/>
          </w:tcPr>
          <w:p w14:paraId="007D5DEC" w14:textId="77777777" w:rsidR="006F03D7" w:rsidRPr="0014613C" w:rsidRDefault="006F03D7" w:rsidP="00C84F88">
            <w:pPr>
              <w:pStyle w:val="TableText"/>
              <w:rPr>
                <w:rFonts w:asciiTheme="minorHAnsi" w:hAnsiTheme="minorHAnsi"/>
                <w:szCs w:val="18"/>
                <w:lang w:eastAsia="ja-JP"/>
              </w:rPr>
            </w:pPr>
            <w:r w:rsidRPr="0014613C">
              <w:rPr>
                <w:rFonts w:asciiTheme="minorHAnsi" w:hAnsiTheme="minorHAnsi"/>
                <w:szCs w:val="18"/>
                <w:lang w:eastAsia="ja-JP"/>
              </w:rPr>
              <w:t>2</w:t>
            </w:r>
            <w:r w:rsidRPr="0014613C">
              <w:rPr>
                <w:rStyle w:val="Strong"/>
                <w:rFonts w:asciiTheme="minorHAnsi" w:hAnsiTheme="minorHAnsi"/>
                <w:szCs w:val="18"/>
                <w:vertAlign w:val="superscript"/>
              </w:rPr>
              <w:t>b</w:t>
            </w:r>
            <w:r w:rsidRPr="0014613C">
              <w:rPr>
                <w:rFonts w:asciiTheme="minorHAnsi" w:hAnsiTheme="minorHAnsi"/>
                <w:szCs w:val="18"/>
                <w:lang w:eastAsia="ja-JP"/>
              </w:rPr>
              <w:t>, 3, 4</w:t>
            </w:r>
            <w:r w:rsidRPr="0014613C">
              <w:rPr>
                <w:rStyle w:val="Strong"/>
                <w:rFonts w:asciiTheme="minorHAnsi" w:hAnsiTheme="minorHAnsi"/>
                <w:szCs w:val="18"/>
                <w:vertAlign w:val="superscript"/>
              </w:rPr>
              <w:t>d</w:t>
            </w:r>
            <w:r w:rsidRPr="0014613C">
              <w:rPr>
                <w:rFonts w:asciiTheme="minorHAnsi" w:hAnsiTheme="minorHAnsi"/>
                <w:szCs w:val="18"/>
                <w:lang w:eastAsia="ja-JP"/>
              </w:rPr>
              <w:t>, 5</w:t>
            </w:r>
            <w:r w:rsidRPr="0014613C">
              <w:rPr>
                <w:rStyle w:val="Strong"/>
                <w:rFonts w:asciiTheme="minorHAnsi" w:hAnsiTheme="minorHAnsi"/>
                <w:szCs w:val="18"/>
                <w:vertAlign w:val="superscript"/>
              </w:rPr>
              <w:t>d</w:t>
            </w:r>
            <w:r w:rsidRPr="0014613C">
              <w:rPr>
                <w:rFonts w:asciiTheme="minorHAnsi" w:hAnsiTheme="minorHAnsi"/>
                <w:szCs w:val="18"/>
                <w:lang w:eastAsia="ja-JP"/>
              </w:rPr>
              <w:t>, 6</w:t>
            </w:r>
            <w:r w:rsidRPr="0014613C">
              <w:rPr>
                <w:rStyle w:val="Strong"/>
                <w:rFonts w:asciiTheme="minorHAnsi" w:hAnsiTheme="minorHAnsi"/>
                <w:szCs w:val="18"/>
                <w:vertAlign w:val="superscript"/>
              </w:rPr>
              <w:t>d</w:t>
            </w:r>
          </w:p>
        </w:tc>
        <w:tc>
          <w:tcPr>
            <w:tcW w:w="3261" w:type="dxa"/>
            <w:shd w:val="clear" w:color="auto" w:fill="auto"/>
          </w:tcPr>
          <w:p w14:paraId="6488DDA8"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due to intent or process to implement</w:t>
            </w:r>
          </w:p>
        </w:tc>
      </w:tr>
      <w:tr w:rsidR="00A00987" w:rsidRPr="0014613C" w14:paraId="72007596" w14:textId="77777777" w:rsidTr="00C84F88">
        <w:tc>
          <w:tcPr>
            <w:tcW w:w="4678" w:type="dxa"/>
            <w:shd w:val="clear" w:color="auto" w:fill="auto"/>
          </w:tcPr>
          <w:p w14:paraId="7B52D1B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Effectiveness of biosecurity controls for importation of natural sausage casings</w:t>
            </w:r>
          </w:p>
        </w:tc>
        <w:tc>
          <w:tcPr>
            <w:tcW w:w="1559" w:type="dxa"/>
            <w:shd w:val="clear" w:color="auto" w:fill="auto"/>
          </w:tcPr>
          <w:p w14:paraId="3343E432"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3</w:t>
            </w:r>
          </w:p>
        </w:tc>
        <w:tc>
          <w:tcPr>
            <w:tcW w:w="3261" w:type="dxa"/>
            <w:shd w:val="clear" w:color="auto" w:fill="auto"/>
          </w:tcPr>
          <w:p w14:paraId="4E962B1A"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19DCB4F2" w14:textId="77777777" w:rsidTr="00C84F88">
        <w:tc>
          <w:tcPr>
            <w:tcW w:w="4678" w:type="dxa"/>
            <w:shd w:val="clear" w:color="auto" w:fill="auto"/>
          </w:tcPr>
          <w:p w14:paraId="16ABDFF9"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Effectiveness of biosecurity controls for importing stockfeed of plant origin</w:t>
            </w:r>
          </w:p>
        </w:tc>
        <w:tc>
          <w:tcPr>
            <w:tcW w:w="1559" w:type="dxa"/>
            <w:shd w:val="clear" w:color="auto" w:fill="auto"/>
          </w:tcPr>
          <w:p w14:paraId="5ABC1D43" w14:textId="77777777" w:rsidR="00A00987" w:rsidRPr="0014613C" w:rsidRDefault="00A00987" w:rsidP="00C84F88">
            <w:pPr>
              <w:pStyle w:val="TableText"/>
              <w:rPr>
                <w:rFonts w:asciiTheme="minorHAnsi" w:hAnsiTheme="minorHAnsi"/>
                <w:szCs w:val="18"/>
                <w:lang w:eastAsia="ja-JP"/>
              </w:rPr>
            </w:pPr>
            <w:r w:rsidRPr="0014613C">
              <w:rPr>
                <w:rFonts w:asciiTheme="minorHAnsi" w:hAnsiTheme="minorHAnsi"/>
                <w:szCs w:val="18"/>
                <w:lang w:eastAsia="ja-JP"/>
              </w:rPr>
              <w:t>1, 2</w:t>
            </w:r>
            <w:r w:rsidRPr="0014613C">
              <w:rPr>
                <w:rStyle w:val="Strong"/>
                <w:rFonts w:asciiTheme="minorHAnsi" w:hAnsiTheme="minorHAnsi"/>
                <w:szCs w:val="18"/>
                <w:vertAlign w:val="superscript"/>
              </w:rPr>
              <w:t>c</w:t>
            </w:r>
            <w:r w:rsidRPr="0014613C">
              <w:rPr>
                <w:rFonts w:asciiTheme="minorHAnsi" w:hAnsiTheme="minorHAnsi"/>
                <w:szCs w:val="18"/>
                <w:lang w:eastAsia="ja-JP"/>
              </w:rPr>
              <w:t>, 3</w:t>
            </w:r>
            <w:r w:rsidRPr="0014613C">
              <w:rPr>
                <w:rStyle w:val="Strong"/>
                <w:rFonts w:asciiTheme="minorHAnsi" w:hAnsiTheme="minorHAnsi"/>
                <w:szCs w:val="18"/>
                <w:vertAlign w:val="superscript"/>
              </w:rPr>
              <w:t>c</w:t>
            </w:r>
            <w:r w:rsidRPr="0014613C">
              <w:rPr>
                <w:rFonts w:asciiTheme="minorHAnsi" w:hAnsiTheme="minorHAnsi"/>
                <w:szCs w:val="18"/>
                <w:lang w:eastAsia="ja-JP"/>
              </w:rPr>
              <w:t>, 4, 5, 7</w:t>
            </w:r>
          </w:p>
        </w:tc>
        <w:tc>
          <w:tcPr>
            <w:tcW w:w="3261" w:type="dxa"/>
            <w:shd w:val="clear" w:color="auto" w:fill="auto"/>
          </w:tcPr>
          <w:p w14:paraId="7DBB69F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2570E3D1" w14:textId="77777777" w:rsidTr="00C84F88">
        <w:tc>
          <w:tcPr>
            <w:tcW w:w="4678" w:type="dxa"/>
            <w:shd w:val="clear" w:color="auto" w:fill="auto"/>
          </w:tcPr>
          <w:p w14:paraId="431672C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Managing biosecurity risks associated with international online purchases</w:t>
            </w:r>
          </w:p>
        </w:tc>
        <w:tc>
          <w:tcPr>
            <w:tcW w:w="1559" w:type="dxa"/>
            <w:shd w:val="clear" w:color="auto" w:fill="auto"/>
          </w:tcPr>
          <w:p w14:paraId="4F3DB4A6"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p>
        </w:tc>
        <w:tc>
          <w:tcPr>
            <w:tcW w:w="3261" w:type="dxa"/>
            <w:shd w:val="clear" w:color="auto" w:fill="auto"/>
          </w:tcPr>
          <w:p w14:paraId="0D483048"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6F03D7" w:rsidRPr="0014613C" w14:paraId="721A085B" w14:textId="77777777" w:rsidTr="00C84F88">
        <w:tc>
          <w:tcPr>
            <w:tcW w:w="4678" w:type="dxa"/>
            <w:vMerge w:val="restart"/>
            <w:shd w:val="clear" w:color="auto" w:fill="auto"/>
          </w:tcPr>
          <w:p w14:paraId="76E0A276"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Effectiveness of biosecurity controls for imported fresh cut flowers</w:t>
            </w:r>
          </w:p>
        </w:tc>
        <w:tc>
          <w:tcPr>
            <w:tcW w:w="1559" w:type="dxa"/>
            <w:shd w:val="clear" w:color="auto" w:fill="auto"/>
          </w:tcPr>
          <w:p w14:paraId="22C58B65"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1</w:t>
            </w:r>
            <w:r w:rsidRPr="0014613C">
              <w:rPr>
                <w:rFonts w:asciiTheme="minorHAnsi" w:hAnsiTheme="minorHAnsi"/>
                <w:b/>
                <w:bCs/>
                <w:szCs w:val="18"/>
                <w:vertAlign w:val="superscript"/>
              </w:rPr>
              <w:t>b</w:t>
            </w:r>
            <w:r w:rsidRPr="0014613C">
              <w:rPr>
                <w:rFonts w:asciiTheme="minorHAnsi" w:hAnsiTheme="minorHAnsi"/>
                <w:szCs w:val="18"/>
              </w:rPr>
              <w:t>, 3</w:t>
            </w:r>
            <w:r w:rsidRPr="0014613C">
              <w:rPr>
                <w:rFonts w:asciiTheme="minorHAnsi" w:hAnsiTheme="minorHAnsi"/>
                <w:b/>
                <w:bCs/>
                <w:szCs w:val="18"/>
                <w:vertAlign w:val="superscript"/>
              </w:rPr>
              <w:t>b</w:t>
            </w:r>
            <w:r w:rsidRPr="0014613C">
              <w:rPr>
                <w:rFonts w:asciiTheme="minorHAnsi" w:hAnsiTheme="minorHAnsi"/>
                <w:szCs w:val="18"/>
              </w:rPr>
              <w:t>, 4</w:t>
            </w:r>
            <w:r w:rsidRPr="0014613C">
              <w:rPr>
                <w:rFonts w:asciiTheme="minorHAnsi" w:hAnsiTheme="minorHAnsi"/>
                <w:b/>
                <w:bCs/>
                <w:szCs w:val="18"/>
                <w:vertAlign w:val="superscript"/>
              </w:rPr>
              <w:t>b</w:t>
            </w:r>
          </w:p>
        </w:tc>
        <w:tc>
          <w:tcPr>
            <w:tcW w:w="3261" w:type="dxa"/>
            <w:shd w:val="clear" w:color="auto" w:fill="auto"/>
          </w:tcPr>
          <w:p w14:paraId="0F81655B"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due to intent or process to implement</w:t>
            </w:r>
          </w:p>
        </w:tc>
      </w:tr>
      <w:tr w:rsidR="006F03D7" w:rsidRPr="0014613C" w14:paraId="056F1F5F" w14:textId="77777777" w:rsidTr="00C84F88">
        <w:tc>
          <w:tcPr>
            <w:tcW w:w="4678" w:type="dxa"/>
            <w:vMerge/>
            <w:shd w:val="clear" w:color="auto" w:fill="auto"/>
          </w:tcPr>
          <w:p w14:paraId="6BBF8304" w14:textId="77777777" w:rsidR="006F03D7" w:rsidRPr="0014613C" w:rsidRDefault="006F03D7" w:rsidP="00C84F88">
            <w:pPr>
              <w:pStyle w:val="TableText"/>
              <w:rPr>
                <w:rFonts w:asciiTheme="minorHAnsi" w:hAnsiTheme="minorHAnsi"/>
                <w:szCs w:val="18"/>
              </w:rPr>
            </w:pPr>
          </w:p>
        </w:tc>
        <w:tc>
          <w:tcPr>
            <w:tcW w:w="1559" w:type="dxa"/>
            <w:shd w:val="clear" w:color="auto" w:fill="auto"/>
          </w:tcPr>
          <w:p w14:paraId="2D122950"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5, 6</w:t>
            </w:r>
          </w:p>
        </w:tc>
        <w:tc>
          <w:tcPr>
            <w:tcW w:w="3261" w:type="dxa"/>
            <w:shd w:val="clear" w:color="auto" w:fill="auto"/>
          </w:tcPr>
          <w:p w14:paraId="2CC7BB74"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Not closed by department</w:t>
            </w:r>
          </w:p>
        </w:tc>
      </w:tr>
      <w:tr w:rsidR="00A00987" w:rsidRPr="0014613C" w14:paraId="2BDEFC6C" w14:textId="77777777" w:rsidTr="00C84F88">
        <w:tc>
          <w:tcPr>
            <w:tcW w:w="4678" w:type="dxa"/>
            <w:shd w:val="clear" w:color="auto" w:fill="auto"/>
          </w:tcPr>
          <w:p w14:paraId="131324E7"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Effectiveness of biosecurity controls for imported animal breeding material (mammalian semen and embryos)</w:t>
            </w:r>
          </w:p>
        </w:tc>
        <w:tc>
          <w:tcPr>
            <w:tcW w:w="1559" w:type="dxa"/>
            <w:shd w:val="clear" w:color="auto" w:fill="auto"/>
          </w:tcPr>
          <w:p w14:paraId="607B7DE5"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r w:rsidRPr="0014613C">
              <w:rPr>
                <w:rFonts w:asciiTheme="minorHAnsi" w:hAnsiTheme="minorHAnsi"/>
                <w:b/>
                <w:bCs/>
                <w:szCs w:val="18"/>
                <w:vertAlign w:val="superscript"/>
              </w:rPr>
              <w:t>c</w:t>
            </w:r>
            <w:r w:rsidRPr="0014613C">
              <w:rPr>
                <w:rFonts w:asciiTheme="minorHAnsi" w:hAnsiTheme="minorHAnsi"/>
                <w:szCs w:val="18"/>
              </w:rPr>
              <w:t>, 4</w:t>
            </w:r>
          </w:p>
        </w:tc>
        <w:tc>
          <w:tcPr>
            <w:tcW w:w="3261" w:type="dxa"/>
            <w:shd w:val="clear" w:color="auto" w:fill="auto"/>
          </w:tcPr>
          <w:p w14:paraId="7C999B12"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3B3C719E" w14:textId="77777777" w:rsidTr="00C84F88">
        <w:tc>
          <w:tcPr>
            <w:tcW w:w="4678" w:type="dxa"/>
            <w:shd w:val="clear" w:color="auto" w:fill="auto"/>
          </w:tcPr>
          <w:p w14:paraId="248690E1"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An examination of the effectiveness of Department of Agriculture, Fisheries and Forestry controls to manage biosecurity risks in the importation of freshwater and marine ornamental fish</w:t>
            </w:r>
          </w:p>
        </w:tc>
        <w:tc>
          <w:tcPr>
            <w:tcW w:w="1559" w:type="dxa"/>
            <w:shd w:val="clear" w:color="auto" w:fill="auto"/>
          </w:tcPr>
          <w:p w14:paraId="5970D2D1"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1, 3, 4</w:t>
            </w:r>
          </w:p>
        </w:tc>
        <w:tc>
          <w:tcPr>
            <w:tcW w:w="3261" w:type="dxa"/>
            <w:shd w:val="clear" w:color="auto" w:fill="auto"/>
          </w:tcPr>
          <w:p w14:paraId="585475EA"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0A0D7146" w14:textId="77777777" w:rsidTr="00C84F88">
        <w:tc>
          <w:tcPr>
            <w:tcW w:w="4678" w:type="dxa"/>
            <w:shd w:val="clear" w:color="auto" w:fill="auto"/>
          </w:tcPr>
          <w:p w14:paraId="18DF8B8C"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The effectiveness of controls for imported uncooked, cooked and cured pig meat</w:t>
            </w:r>
          </w:p>
        </w:tc>
        <w:tc>
          <w:tcPr>
            <w:tcW w:w="1559" w:type="dxa"/>
            <w:shd w:val="clear" w:color="auto" w:fill="auto"/>
          </w:tcPr>
          <w:p w14:paraId="52F948D5"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r w:rsidRPr="0014613C">
              <w:rPr>
                <w:rStyle w:val="Strong"/>
                <w:rFonts w:asciiTheme="minorHAnsi" w:hAnsiTheme="minorHAnsi"/>
                <w:szCs w:val="18"/>
                <w:vertAlign w:val="superscript"/>
              </w:rPr>
              <w:t>c</w:t>
            </w:r>
            <w:r w:rsidRPr="0014613C">
              <w:rPr>
                <w:rFonts w:asciiTheme="minorHAnsi" w:hAnsiTheme="minorHAnsi"/>
                <w:szCs w:val="18"/>
              </w:rPr>
              <w:t>, 2</w:t>
            </w:r>
            <w:r w:rsidRPr="0014613C">
              <w:rPr>
                <w:rStyle w:val="Strong"/>
                <w:rFonts w:asciiTheme="minorHAnsi" w:hAnsiTheme="minorHAnsi"/>
                <w:szCs w:val="18"/>
                <w:vertAlign w:val="superscript"/>
              </w:rPr>
              <w:t>b</w:t>
            </w:r>
            <w:r w:rsidRPr="0014613C">
              <w:rPr>
                <w:rFonts w:asciiTheme="minorHAnsi" w:hAnsiTheme="minorHAnsi"/>
                <w:szCs w:val="18"/>
              </w:rPr>
              <w:t>, 3</w:t>
            </w:r>
            <w:r w:rsidRPr="0014613C">
              <w:rPr>
                <w:rStyle w:val="Strong"/>
                <w:rFonts w:asciiTheme="minorHAnsi" w:hAnsiTheme="minorHAnsi"/>
                <w:szCs w:val="18"/>
                <w:vertAlign w:val="superscript"/>
              </w:rPr>
              <w:t>b</w:t>
            </w:r>
            <w:r w:rsidRPr="0014613C">
              <w:rPr>
                <w:rFonts w:asciiTheme="minorHAnsi" w:hAnsiTheme="minorHAnsi"/>
                <w:szCs w:val="18"/>
              </w:rPr>
              <w:t>, 4</w:t>
            </w:r>
            <w:r w:rsidRPr="0014613C">
              <w:rPr>
                <w:rStyle w:val="Strong"/>
                <w:rFonts w:asciiTheme="minorHAnsi" w:hAnsiTheme="minorHAnsi"/>
                <w:szCs w:val="18"/>
                <w:vertAlign w:val="superscript"/>
              </w:rPr>
              <w:t>b</w:t>
            </w:r>
          </w:p>
        </w:tc>
        <w:tc>
          <w:tcPr>
            <w:tcW w:w="3261" w:type="dxa"/>
            <w:shd w:val="clear" w:color="auto" w:fill="auto"/>
          </w:tcPr>
          <w:p w14:paraId="406BFE7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436BCE54" w14:textId="77777777" w:rsidTr="00C84F88">
        <w:tc>
          <w:tcPr>
            <w:tcW w:w="4678" w:type="dxa"/>
            <w:shd w:val="clear" w:color="auto" w:fill="auto"/>
          </w:tcPr>
          <w:p w14:paraId="40BF48B2"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Importation of untanned animal hides from Colombia in 2012–13</w:t>
            </w:r>
          </w:p>
        </w:tc>
        <w:tc>
          <w:tcPr>
            <w:tcW w:w="1559" w:type="dxa"/>
            <w:shd w:val="clear" w:color="auto" w:fill="auto"/>
          </w:tcPr>
          <w:p w14:paraId="0554AC56"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8</w:t>
            </w:r>
          </w:p>
        </w:tc>
        <w:tc>
          <w:tcPr>
            <w:tcW w:w="3261" w:type="dxa"/>
            <w:shd w:val="clear" w:color="auto" w:fill="auto"/>
          </w:tcPr>
          <w:p w14:paraId="1C64004A"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028C1E71" w14:textId="77777777" w:rsidTr="00C84F88">
        <w:tc>
          <w:tcPr>
            <w:tcW w:w="4678" w:type="dxa"/>
            <w:shd w:val="clear" w:color="auto" w:fill="auto"/>
          </w:tcPr>
          <w:p w14:paraId="19D7563E"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Undeclared importation of food from the Republic of Korea detected in December 2010</w:t>
            </w:r>
          </w:p>
        </w:tc>
        <w:tc>
          <w:tcPr>
            <w:tcW w:w="1559" w:type="dxa"/>
            <w:shd w:val="clear" w:color="auto" w:fill="auto"/>
          </w:tcPr>
          <w:p w14:paraId="7514474F"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2</w:t>
            </w:r>
          </w:p>
        </w:tc>
        <w:tc>
          <w:tcPr>
            <w:tcW w:w="3261" w:type="dxa"/>
            <w:shd w:val="clear" w:color="auto" w:fill="auto"/>
          </w:tcPr>
          <w:p w14:paraId="2600AA25"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5ADD8B3C" w14:textId="77777777" w:rsidTr="00C84F88">
        <w:tc>
          <w:tcPr>
            <w:tcW w:w="4678" w:type="dxa"/>
            <w:shd w:val="clear" w:color="auto" w:fill="auto"/>
          </w:tcPr>
          <w:p w14:paraId="54789616"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An examination of factors that led to release into Australia of a consignment of soil (declared as fertiliser) and interception at the border of another consignment of soil (declared as fertiliser)</w:t>
            </w:r>
          </w:p>
        </w:tc>
        <w:tc>
          <w:tcPr>
            <w:tcW w:w="1559" w:type="dxa"/>
            <w:shd w:val="clear" w:color="auto" w:fill="auto"/>
          </w:tcPr>
          <w:p w14:paraId="3122BD4F"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p>
        </w:tc>
        <w:tc>
          <w:tcPr>
            <w:tcW w:w="3261" w:type="dxa"/>
            <w:shd w:val="clear" w:color="auto" w:fill="auto"/>
          </w:tcPr>
          <w:p w14:paraId="1CC55F16"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412C973A" w14:textId="77777777" w:rsidTr="00C84F88">
        <w:tc>
          <w:tcPr>
            <w:tcW w:w="4678" w:type="dxa"/>
            <w:shd w:val="clear" w:color="auto" w:fill="auto"/>
          </w:tcPr>
          <w:p w14:paraId="0033582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An examination of the performance of the systems that the biosecurity divisions of the Department of Agriculture, Fisheries and Forestry has in place to detect and mitigate biosecurity risks before they get to Australia’s border—importation of plant nursery stock</w:t>
            </w:r>
          </w:p>
        </w:tc>
        <w:tc>
          <w:tcPr>
            <w:tcW w:w="1559" w:type="dxa"/>
            <w:shd w:val="clear" w:color="auto" w:fill="auto"/>
          </w:tcPr>
          <w:p w14:paraId="4CC8FA4D"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2, 7</w:t>
            </w:r>
            <w:r w:rsidRPr="0014613C">
              <w:rPr>
                <w:rStyle w:val="Strong"/>
                <w:rFonts w:asciiTheme="minorHAnsi" w:hAnsiTheme="minorHAnsi"/>
                <w:szCs w:val="18"/>
                <w:vertAlign w:val="superscript"/>
              </w:rPr>
              <w:t>c</w:t>
            </w:r>
          </w:p>
        </w:tc>
        <w:tc>
          <w:tcPr>
            <w:tcW w:w="3261" w:type="dxa"/>
            <w:shd w:val="clear" w:color="auto" w:fill="auto"/>
          </w:tcPr>
          <w:p w14:paraId="55372FAB"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783D9F15" w14:textId="77777777" w:rsidTr="00C84F88">
        <w:tc>
          <w:tcPr>
            <w:tcW w:w="4678" w:type="dxa"/>
            <w:shd w:val="clear" w:color="auto" w:fill="auto"/>
          </w:tcPr>
          <w:p w14:paraId="66B25952"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An examination of the performance of the systems that the biosecurity divisions of the Department of Agriculture, Fisheries and Forestry has in place to manage biosecurity risks along entry pathways—citrus canker</w:t>
            </w:r>
          </w:p>
        </w:tc>
        <w:tc>
          <w:tcPr>
            <w:tcW w:w="1559" w:type="dxa"/>
            <w:shd w:val="clear" w:color="auto" w:fill="auto"/>
          </w:tcPr>
          <w:p w14:paraId="6319830B"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1, 2, 3, 4</w:t>
            </w:r>
            <w:r w:rsidRPr="0014613C">
              <w:rPr>
                <w:rStyle w:val="Strong"/>
                <w:rFonts w:asciiTheme="minorHAnsi" w:hAnsiTheme="minorHAnsi"/>
                <w:szCs w:val="18"/>
                <w:vertAlign w:val="superscript"/>
              </w:rPr>
              <w:t>d</w:t>
            </w:r>
          </w:p>
        </w:tc>
        <w:tc>
          <w:tcPr>
            <w:tcW w:w="3261" w:type="dxa"/>
            <w:shd w:val="clear" w:color="auto" w:fill="auto"/>
          </w:tcPr>
          <w:p w14:paraId="64C5182F"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45853F33" w14:textId="77777777" w:rsidTr="00C84F88">
        <w:tc>
          <w:tcPr>
            <w:tcW w:w="4678" w:type="dxa"/>
            <w:shd w:val="clear" w:color="auto" w:fill="auto"/>
          </w:tcPr>
          <w:p w14:paraId="6F0CEAED"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Management of quarantine waste from international vessels at Australian seaports</w:t>
            </w:r>
          </w:p>
        </w:tc>
        <w:tc>
          <w:tcPr>
            <w:tcW w:w="1559" w:type="dxa"/>
            <w:shd w:val="clear" w:color="auto" w:fill="auto"/>
          </w:tcPr>
          <w:p w14:paraId="5D9D8181"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r w:rsidRPr="0014613C">
              <w:rPr>
                <w:rFonts w:asciiTheme="minorHAnsi" w:hAnsiTheme="minorHAnsi"/>
                <w:b/>
                <w:bCs/>
                <w:szCs w:val="18"/>
                <w:vertAlign w:val="superscript"/>
              </w:rPr>
              <w:t>b</w:t>
            </w:r>
          </w:p>
        </w:tc>
        <w:tc>
          <w:tcPr>
            <w:tcW w:w="3261" w:type="dxa"/>
            <w:shd w:val="clear" w:color="auto" w:fill="auto"/>
          </w:tcPr>
          <w:p w14:paraId="7E7E11FE"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bl>
    <w:p w14:paraId="5BC84B82" w14:textId="77777777" w:rsidR="00FE2380" w:rsidRDefault="004141FA" w:rsidP="006004E0">
      <w:pPr>
        <w:pStyle w:val="FigureTableNoteSource"/>
      </w:pPr>
      <w:proofErr w:type="spellStart"/>
      <w:proofErr w:type="gramStart"/>
      <w:r w:rsidRPr="006004E0">
        <w:rPr>
          <w:rStyle w:val="Strong"/>
        </w:rPr>
        <w:t>a</w:t>
      </w:r>
      <w:proofErr w:type="spellEnd"/>
      <w:proofErr w:type="gramEnd"/>
      <w:r>
        <w:t xml:space="preserve"> Original recommendation no. </w:t>
      </w:r>
      <w:r w:rsidRPr="006004E0">
        <w:rPr>
          <w:rStyle w:val="Strong"/>
        </w:rPr>
        <w:t>b</w:t>
      </w:r>
      <w:r>
        <w:t xml:space="preserve"> To be considered by IGB in 2018–19 approved arrangements review. </w:t>
      </w:r>
      <w:r w:rsidRPr="006004E0">
        <w:rPr>
          <w:rStyle w:val="Strong"/>
        </w:rPr>
        <w:t>c</w:t>
      </w:r>
      <w:r>
        <w:t xml:space="preserve"> </w:t>
      </w:r>
      <w:proofErr w:type="gramStart"/>
      <w:r>
        <w:t>To</w:t>
      </w:r>
      <w:proofErr w:type="gramEnd"/>
      <w:r>
        <w:t xml:space="preserve"> be considered by IGB in 2018–19 pre-border certification review. </w:t>
      </w:r>
      <w:r w:rsidRPr="006004E0">
        <w:rPr>
          <w:rStyle w:val="Strong"/>
        </w:rPr>
        <w:t>d</w:t>
      </w:r>
      <w:r>
        <w:t xml:space="preserve"> </w:t>
      </w:r>
      <w:proofErr w:type="gramStart"/>
      <w:r>
        <w:t>To</w:t>
      </w:r>
      <w:proofErr w:type="gramEnd"/>
      <w:r>
        <w:t xml:space="preserve"> be considered by IGB in 2018–19 interceptions and incursions review.</w:t>
      </w:r>
    </w:p>
    <w:p w14:paraId="2E05A5FA" w14:textId="26D8D21F" w:rsidR="00FE2380" w:rsidRDefault="004141FA">
      <w:pPr>
        <w:pStyle w:val="FigureTableNoteSource"/>
      </w:pPr>
      <w:r>
        <w:t xml:space="preserve">Note: </w:t>
      </w:r>
      <w:hyperlink r:id="rId22" w:history="1">
        <w:r w:rsidRPr="003B2F34">
          <w:rPr>
            <w:rStyle w:val="Hyperlink"/>
          </w:rPr>
          <w:t>Completed audits and reviews</w:t>
        </w:r>
      </w:hyperlink>
      <w:r>
        <w:t xml:space="preserve"> are available on the Inspector-General of Biosecurity website.</w:t>
      </w:r>
    </w:p>
    <w:p w14:paraId="17F4CCDA" w14:textId="77777777" w:rsidR="00FE2380" w:rsidRDefault="004141FA" w:rsidP="00A51B4F">
      <w:pPr>
        <w:pStyle w:val="Heading2"/>
      </w:pPr>
      <w:bookmarkStart w:id="14" w:name="_Toc524077279"/>
      <w:bookmarkEnd w:id="12"/>
      <w:r>
        <w:lastRenderedPageBreak/>
        <w:t>Conclusion</w:t>
      </w:r>
      <w:bookmarkEnd w:id="14"/>
    </w:p>
    <w:p w14:paraId="25638790" w14:textId="079F867B" w:rsidR="00FE2380" w:rsidRDefault="004141FA" w:rsidP="00A51B4F">
      <w:r>
        <w:t>I agree with the Interim Inspector-General of Biosecurity (</w:t>
      </w:r>
      <w:r w:rsidR="009E1F62">
        <w:t>2016</w:t>
      </w:r>
      <w:r>
        <w:t>) that the solid and ongoing rate of implementation of IIGB recommendations demonstrates that the department has continued its commitment to continuous improvement in biosecurity risk management. Future streamlining of internal processes to track implementation will support this.</w:t>
      </w:r>
    </w:p>
    <w:p w14:paraId="765453E9" w14:textId="7F8D1A31" w:rsidR="00FE2380" w:rsidRDefault="004141FA">
      <w:r>
        <w:t>An annual review of departmental implementation of IGB review recommendations would be appropriate, and I will include another review in my 2018–19 work plan.</w:t>
      </w:r>
    </w:p>
    <w:p w14:paraId="68462EC8" w14:textId="77777777" w:rsidR="00BB1F61" w:rsidRDefault="00BB1F61"/>
    <w:p w14:paraId="1C23FF1E" w14:textId="489AB6F0" w:rsidR="00FE2380" w:rsidRDefault="00BB1F61">
      <w:r>
        <w:rPr>
          <w:noProof/>
        </w:rPr>
        <w:drawing>
          <wp:inline distT="0" distB="0" distL="0" distR="0" wp14:anchorId="7269008F" wp14:editId="414752F4">
            <wp:extent cx="2049780" cy="36068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23" cstate="print"/>
                    <a:stretch>
                      <a:fillRect/>
                    </a:stretch>
                  </pic:blipFill>
                  <pic:spPr>
                    <a:xfrm>
                      <a:off x="0" y="0"/>
                      <a:ext cx="2049780" cy="360680"/>
                    </a:xfrm>
                    <a:prstGeom prst="rect">
                      <a:avLst/>
                    </a:prstGeom>
                  </pic:spPr>
                </pic:pic>
              </a:graphicData>
            </a:graphic>
          </wp:inline>
        </w:drawing>
      </w:r>
    </w:p>
    <w:p w14:paraId="2BFEE3E9" w14:textId="56771301" w:rsidR="00FE2380" w:rsidRDefault="004141FA" w:rsidP="00BB1F61">
      <w:pPr>
        <w:spacing w:before="240" w:after="0"/>
      </w:pPr>
      <w:r>
        <w:t>Dr Helen Scott-Orr</w:t>
      </w:r>
      <w:r w:rsidR="004604AF">
        <w:t xml:space="preserve"> PSM</w:t>
      </w:r>
    </w:p>
    <w:p w14:paraId="6C7A3C75" w14:textId="77777777" w:rsidR="00FE2380" w:rsidRDefault="004141FA" w:rsidP="00BB1F61">
      <w:pPr>
        <w:spacing w:before="120" w:after="0"/>
      </w:pPr>
      <w:r>
        <w:t>Inspector-General of Biosecurity</w:t>
      </w:r>
    </w:p>
    <w:p w14:paraId="286E340A" w14:textId="75982C17" w:rsidR="00FE2380" w:rsidRDefault="00B302FA" w:rsidP="00BB1F61">
      <w:pPr>
        <w:spacing w:after="480"/>
      </w:pPr>
      <w:r w:rsidRPr="003F697F">
        <w:t>2</w:t>
      </w:r>
      <w:r w:rsidR="00A32526">
        <w:t>7</w:t>
      </w:r>
      <w:r w:rsidR="004141FA" w:rsidRPr="003F697F">
        <w:t xml:space="preserve"> </w:t>
      </w:r>
      <w:r w:rsidR="00505B57" w:rsidRPr="003F697F">
        <w:t>September</w:t>
      </w:r>
      <w:r w:rsidR="004141FA" w:rsidRPr="003F697F">
        <w:t xml:space="preserve"> 2</w:t>
      </w:r>
      <w:r w:rsidR="004141FA" w:rsidRPr="00B302FA">
        <w:t>018</w:t>
      </w:r>
    </w:p>
    <w:p w14:paraId="26CF2DE3" w14:textId="24F3883B" w:rsidR="00FE2380" w:rsidRDefault="004141FA" w:rsidP="005763DA">
      <w:pPr>
        <w:pStyle w:val="Heading2"/>
        <w:numPr>
          <w:ilvl w:val="0"/>
          <w:numId w:val="0"/>
        </w:numPr>
        <w:spacing w:after="360"/>
        <w:ind w:left="567" w:hanging="567"/>
      </w:pPr>
      <w:bookmarkStart w:id="15" w:name="_Appendix_A"/>
      <w:bookmarkStart w:id="16" w:name="_Toc524077280"/>
      <w:bookmarkEnd w:id="15"/>
      <w:r>
        <w:lastRenderedPageBreak/>
        <w:t>Appendix A</w:t>
      </w:r>
      <w:bookmarkEnd w:id="16"/>
      <w:r w:rsidR="0017270E">
        <w:t>: Agency response</w:t>
      </w:r>
    </w:p>
    <w:p w14:paraId="75203787" w14:textId="0F526E18" w:rsidR="009E4E30" w:rsidRDefault="009E4E30">
      <w:r w:rsidRPr="009E4E30">
        <w:rPr>
          <w:noProof/>
        </w:rPr>
        <w:drawing>
          <wp:inline distT="0" distB="0" distL="0" distR="0" wp14:anchorId="67B64B01" wp14:editId="3E7FC968">
            <wp:extent cx="5868035" cy="746138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68035" cy="7461382"/>
                    </a:xfrm>
                    <a:prstGeom prst="rect">
                      <a:avLst/>
                    </a:prstGeom>
                    <a:noFill/>
                    <a:ln>
                      <a:noFill/>
                    </a:ln>
                  </pic:spPr>
                </pic:pic>
              </a:graphicData>
            </a:graphic>
          </wp:inline>
        </w:drawing>
      </w:r>
    </w:p>
    <w:p w14:paraId="68563F92" w14:textId="77777777" w:rsidR="009E4E30" w:rsidRDefault="009E4E30">
      <w:pPr>
        <w:spacing w:after="0"/>
      </w:pPr>
      <w:r>
        <w:br w:type="page"/>
      </w:r>
    </w:p>
    <w:p w14:paraId="0DF1C655" w14:textId="67FA6B8C" w:rsidR="00FE2380" w:rsidRDefault="009E4E30">
      <w:r w:rsidRPr="009E4E30">
        <w:rPr>
          <w:noProof/>
        </w:rPr>
        <w:lastRenderedPageBreak/>
        <w:drawing>
          <wp:inline distT="0" distB="0" distL="0" distR="0" wp14:anchorId="5F4C6532" wp14:editId="033E2587">
            <wp:extent cx="5868035" cy="39110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68035" cy="3911017"/>
                    </a:xfrm>
                    <a:prstGeom prst="rect">
                      <a:avLst/>
                    </a:prstGeom>
                    <a:noFill/>
                    <a:ln>
                      <a:noFill/>
                    </a:ln>
                  </pic:spPr>
                </pic:pic>
              </a:graphicData>
            </a:graphic>
          </wp:inline>
        </w:drawing>
      </w:r>
    </w:p>
    <w:p w14:paraId="6FFF1C9E" w14:textId="77777777" w:rsidR="00FE2380" w:rsidRDefault="004141FA" w:rsidP="00AB4A57">
      <w:pPr>
        <w:pStyle w:val="Heading2"/>
        <w:numPr>
          <w:ilvl w:val="0"/>
          <w:numId w:val="0"/>
        </w:numPr>
        <w:ind w:left="567" w:hanging="567"/>
      </w:pPr>
      <w:bookmarkStart w:id="17" w:name="_Toc524077281"/>
      <w:r>
        <w:lastRenderedPageBreak/>
        <w:t>References</w:t>
      </w:r>
      <w:bookmarkEnd w:id="17"/>
    </w:p>
    <w:p w14:paraId="28F9CCDD" w14:textId="2C66C43F" w:rsidR="00FE2380" w:rsidRDefault="004141FA">
      <w:r>
        <w:t xml:space="preserve">Inspector-General of Biosecurity 2018, </w:t>
      </w:r>
      <w:hyperlink r:id="rId26" w:history="1">
        <w:r w:rsidRPr="00430856">
          <w:rPr>
            <w:rStyle w:val="Hyperlink"/>
          </w:rPr>
          <w:t>Horse importation biosecurity risk management</w:t>
        </w:r>
      </w:hyperlink>
      <w:r>
        <w:t>, Department of Agriculture and Water Resources, Canberra.</w:t>
      </w:r>
    </w:p>
    <w:p w14:paraId="123510AE" w14:textId="4616B6B9" w:rsidR="00FE2380" w:rsidRDefault="004141FA">
      <w:r>
        <w:t xml:space="preserve">——2017, </w:t>
      </w:r>
      <w:hyperlink r:id="rId27" w:history="1">
        <w:r w:rsidRPr="00430856">
          <w:rPr>
            <w:rStyle w:val="Hyperlink"/>
          </w:rPr>
          <w:t>Uncooked prawn imports: effectiveness of biosecurity controls</w:t>
        </w:r>
      </w:hyperlink>
      <w:r>
        <w:t>, Department of Agriculture and Water Resources, Canberra.</w:t>
      </w:r>
    </w:p>
    <w:p w14:paraId="1235AE4D" w14:textId="39EC7607" w:rsidR="009E1F62" w:rsidRDefault="009E1F62">
      <w:r w:rsidRPr="009E1F62">
        <w:t>Interim Inspector-General of Biosecurity 201</w:t>
      </w:r>
      <w:r>
        <w:t>6</w:t>
      </w:r>
      <w:r w:rsidRPr="009E1F62">
        <w:t xml:space="preserve">, </w:t>
      </w:r>
      <w:hyperlink r:id="rId28" w:history="1">
        <w:r w:rsidRPr="00430856">
          <w:rPr>
            <w:rStyle w:val="Hyperlink"/>
          </w:rPr>
          <w:t>Implementation of previous Interim Inspector-General of Biosecurity recommendations</w:t>
        </w:r>
        <w:r w:rsidR="006161D9" w:rsidRPr="00430856">
          <w:rPr>
            <w:rStyle w:val="Hyperlink"/>
          </w:rPr>
          <w:t>—review April 2016</w:t>
        </w:r>
      </w:hyperlink>
      <w:r w:rsidRPr="009E1F62">
        <w:t>, Department of Agriculture, Canberra.</w:t>
      </w:r>
    </w:p>
    <w:p w14:paraId="18CDA740" w14:textId="3A11C0F6" w:rsidR="00FE2380" w:rsidRDefault="009E1F62">
      <w:r w:rsidRPr="009E1F62">
        <w:t>——</w:t>
      </w:r>
      <w:r w:rsidR="004141FA">
        <w:t xml:space="preserve">2015, </w:t>
      </w:r>
      <w:hyperlink r:id="rId29" w:history="1">
        <w:r w:rsidR="004141FA" w:rsidRPr="00430856">
          <w:rPr>
            <w:rStyle w:val="Hyperlink"/>
          </w:rPr>
          <w:t>Implementation of previous Interim Inspector-General of Biosecurity recommendations</w:t>
        </w:r>
      </w:hyperlink>
      <w:r w:rsidR="004141FA">
        <w:t>, Department of Agriculture, Canberra.</w:t>
      </w:r>
    </w:p>
    <w:p w14:paraId="5F2C0393" w14:textId="5B1AE077" w:rsidR="00430856" w:rsidRDefault="00430856">
      <w:r w:rsidRPr="00430856">
        <w:t>——201</w:t>
      </w:r>
      <w:r>
        <w:t xml:space="preserve">4, </w:t>
      </w:r>
      <w:hyperlink r:id="rId30" w:history="1">
        <w:r w:rsidRPr="00430856">
          <w:rPr>
            <w:rStyle w:val="Hyperlink"/>
          </w:rPr>
          <w:t>An examination of biosecurity controls associated with the export from Australia of live abalone to China and Hong Kong</w:t>
        </w:r>
      </w:hyperlink>
      <w:r>
        <w:t>, Department of Agriculture, Fisheries and Forestry, Canberra.</w:t>
      </w:r>
    </w:p>
    <w:p w14:paraId="249F7747" w14:textId="4B2C12BA" w:rsidR="005F1103" w:rsidRDefault="005F1103">
      <w:r w:rsidRPr="005F1103">
        <w:t>——201</w:t>
      </w:r>
      <w:r>
        <w:t>1</w:t>
      </w:r>
      <w:r w:rsidRPr="005F1103">
        <w:t>,</w:t>
      </w:r>
      <w:r w:rsidR="00CC72CC">
        <w:t xml:space="preserve"> </w:t>
      </w:r>
      <w:hyperlink r:id="rId31" w:history="1">
        <w:r w:rsidR="00CC72CC" w:rsidRPr="00CC72CC">
          <w:rPr>
            <w:rStyle w:val="Hyperlink"/>
          </w:rPr>
          <w:t>Prawn consignment incident review: Part two</w:t>
        </w:r>
      </w:hyperlink>
      <w:r w:rsidR="00CC72CC">
        <w:t xml:space="preserve">, </w:t>
      </w:r>
      <w:r w:rsidR="00CC72CC" w:rsidRPr="00CC72CC">
        <w:t>Department of Agriculture, Fisheries and Forestry, Canberra.</w:t>
      </w:r>
    </w:p>
    <w:p w14:paraId="6D4AF8E8" w14:textId="32116183" w:rsidR="005F1103" w:rsidRDefault="005F1103">
      <w:r w:rsidRPr="005F1103">
        <w:t>——201</w:t>
      </w:r>
      <w:r>
        <w:t>0</w:t>
      </w:r>
      <w:r w:rsidRPr="005F1103">
        <w:t>,</w:t>
      </w:r>
      <w:r w:rsidR="00CC72CC" w:rsidRPr="00CC72CC">
        <w:t xml:space="preserve"> </w:t>
      </w:r>
      <w:hyperlink r:id="rId32" w:history="1">
        <w:r w:rsidR="00CC72CC" w:rsidRPr="00CC72CC">
          <w:rPr>
            <w:rStyle w:val="Hyperlink"/>
          </w:rPr>
          <w:t>Prawn consignment incident review: Part one</w:t>
        </w:r>
      </w:hyperlink>
      <w:r w:rsidR="00CC72CC">
        <w:t xml:space="preserve">, </w:t>
      </w:r>
      <w:r w:rsidR="00CC72CC" w:rsidRPr="00CC72CC">
        <w:t>Department of Agriculture, Fisheries and Forestry, Canberra.</w:t>
      </w:r>
    </w:p>
    <w:sectPr w:rsidR="005F1103">
      <w:pgSz w:w="11906" w:h="16838"/>
      <w:pgMar w:top="1247" w:right="1247" w:bottom="124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0992" w14:textId="77777777" w:rsidR="00BA65AC" w:rsidRDefault="00BA65AC">
      <w:r>
        <w:separator/>
      </w:r>
    </w:p>
    <w:p w14:paraId="4533FB75" w14:textId="77777777" w:rsidR="00BA65AC" w:rsidRDefault="00BA65AC"/>
    <w:p w14:paraId="7642940A" w14:textId="77777777" w:rsidR="00BA65AC" w:rsidRDefault="00BA65AC"/>
    <w:p w14:paraId="733629FB" w14:textId="77777777" w:rsidR="00BA65AC" w:rsidRDefault="00BA65AC"/>
  </w:endnote>
  <w:endnote w:type="continuationSeparator" w:id="0">
    <w:p w14:paraId="094FD970" w14:textId="77777777" w:rsidR="00BA65AC" w:rsidRDefault="00BA65AC">
      <w:r>
        <w:continuationSeparator/>
      </w:r>
    </w:p>
    <w:p w14:paraId="57555C8D" w14:textId="77777777" w:rsidR="00BA65AC" w:rsidRDefault="00BA65AC"/>
    <w:p w14:paraId="00CC7647" w14:textId="77777777" w:rsidR="00BA65AC" w:rsidRDefault="00BA65AC"/>
    <w:p w14:paraId="3EE2283B" w14:textId="77777777" w:rsidR="00BA65AC" w:rsidRDefault="00BA6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670E" w14:textId="77777777" w:rsidR="004141FA" w:rsidRDefault="004141FA">
    <w:pPr>
      <w:pStyle w:val="Footer"/>
    </w:pPr>
    <w:r>
      <w:fldChar w:fldCharType="begin"/>
    </w:r>
    <w:r>
      <w:instrText xml:space="preserve"> PAGE   \* MERGEFORMAT </w:instrText>
    </w:r>
    <w:r>
      <w:fldChar w:fldCharType="separate"/>
    </w:r>
    <w:r w:rsidR="00F02711">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F594" w14:textId="77777777" w:rsidR="00BA65AC" w:rsidRDefault="00BA65AC">
      <w:r>
        <w:separator/>
      </w:r>
    </w:p>
  </w:footnote>
  <w:footnote w:type="continuationSeparator" w:id="0">
    <w:p w14:paraId="097424AB" w14:textId="77777777" w:rsidR="00BA65AC" w:rsidRDefault="00BA65AC">
      <w:r>
        <w:continuationSeparator/>
      </w:r>
    </w:p>
  </w:footnote>
  <w:footnote w:type="continuationNotice" w:id="1">
    <w:p w14:paraId="2E431479" w14:textId="77777777" w:rsidR="00BA65AC" w:rsidRDefault="00BA6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C3E9" w14:textId="684903A1" w:rsidR="004141FA" w:rsidRDefault="004141FA">
    <w:pPr>
      <w:pStyle w:val="Header"/>
      <w:pBdr>
        <w:bottom w:val="single" w:sz="4" w:space="1" w:color="auto"/>
      </w:pBdr>
      <w:rPr>
        <w:sz w:val="20"/>
        <w:szCs w:val="20"/>
      </w:rPr>
    </w:pPr>
    <w:r>
      <w:rPr>
        <w:sz w:val="20"/>
        <w:szCs w:val="20"/>
      </w:rPr>
      <w:t xml:space="preserve">Implementation of Interim Inspector-General of Biosecurity recommendations </w:t>
    </w:r>
    <w:r>
      <w:rPr>
        <w:sz w:val="20"/>
        <w:szCs w:val="20"/>
      </w:rPr>
      <w:tab/>
      <w:t>IGB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0E23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40B7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08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2A41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BEE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BAC4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C63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4AD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506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2430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E3CCD"/>
    <w:multiLevelType w:val="hybridMultilevel"/>
    <w:tmpl w:val="97508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586B39"/>
    <w:multiLevelType w:val="hybridMultilevel"/>
    <w:tmpl w:val="49A6E5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7110CA"/>
    <w:multiLevelType w:val="multilevel"/>
    <w:tmpl w:val="8AE05DFE"/>
    <w:numStyleLink w:val="Headings"/>
  </w:abstractNum>
  <w:abstractNum w:abstractNumId="13" w15:restartNumberingAfterBreak="0">
    <w:nsid w:val="23231F18"/>
    <w:multiLevelType w:val="hybridMultilevel"/>
    <w:tmpl w:val="29702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9A1DBD"/>
    <w:multiLevelType w:val="multilevel"/>
    <w:tmpl w:val="4260BF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D5608D9"/>
    <w:multiLevelType w:val="multilevel"/>
    <w:tmpl w:val="8AE05DFE"/>
    <w:styleLink w:val="Headings"/>
    <w:lvl w:ilvl="0">
      <w:start w:val="1"/>
      <w:numFmt w:val="decimal"/>
      <w:pStyle w:val="Heading2"/>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A2D0AED"/>
    <w:multiLevelType w:val="multilevel"/>
    <w:tmpl w:val="71C03C8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Calibri" w:hAnsi="Calibri" w:cs="Calibri" w:hint="default"/>
        <w:b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D11AC1"/>
    <w:multiLevelType w:val="multilevel"/>
    <w:tmpl w:val="4260BF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51B580F"/>
    <w:multiLevelType w:val="hybridMultilevel"/>
    <w:tmpl w:val="10AE2798"/>
    <w:lvl w:ilvl="0" w:tplc="F82E9186">
      <w:start w:val="1"/>
      <w:numFmt w:val="decimal"/>
      <w:lvlText w:val="%1."/>
      <w:lvlJc w:val="left"/>
      <w:pPr>
        <w:ind w:left="759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9" w15:restartNumberingAfterBreak="0">
    <w:nsid w:val="5F0F7A24"/>
    <w:multiLevelType w:val="hybridMultilevel"/>
    <w:tmpl w:val="C2246118"/>
    <w:lvl w:ilvl="0" w:tplc="F82E9186">
      <w:start w:val="1"/>
      <w:numFmt w:val="decimal"/>
      <w:lvlText w:val="%1."/>
      <w:lvlJc w:val="lef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0" w15:restartNumberingAfterBreak="0">
    <w:nsid w:val="67A61789"/>
    <w:multiLevelType w:val="multilevel"/>
    <w:tmpl w:val="7CE26BD4"/>
    <w:styleLink w:val="Part2"/>
    <w:lvl w:ilvl="0">
      <w:start w:val="1"/>
      <w:numFmt w:val="decimal"/>
      <w:lvlText w:val="%1"/>
      <w:lvlJc w:val="left"/>
      <w:pPr>
        <w:ind w:left="851" w:hanging="851"/>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890DC0"/>
    <w:multiLevelType w:val="hybridMultilevel"/>
    <w:tmpl w:val="65EC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DD6742"/>
    <w:multiLevelType w:val="multilevel"/>
    <w:tmpl w:val="4260BF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30047839">
    <w:abstractNumId w:val="19"/>
  </w:num>
  <w:num w:numId="2" w16cid:durableId="251596840">
    <w:abstractNumId w:val="18"/>
  </w:num>
  <w:num w:numId="3" w16cid:durableId="2118982878">
    <w:abstractNumId w:val="16"/>
  </w:num>
  <w:num w:numId="4" w16cid:durableId="1637837475">
    <w:abstractNumId w:val="3"/>
  </w:num>
  <w:num w:numId="5" w16cid:durableId="1857187907">
    <w:abstractNumId w:val="20"/>
  </w:num>
  <w:num w:numId="6" w16cid:durableId="525489445">
    <w:abstractNumId w:val="11"/>
  </w:num>
  <w:num w:numId="7" w16cid:durableId="480198660">
    <w:abstractNumId w:val="10"/>
  </w:num>
  <w:num w:numId="8" w16cid:durableId="1824732520">
    <w:abstractNumId w:val="19"/>
  </w:num>
  <w:num w:numId="9" w16cid:durableId="1558055123">
    <w:abstractNumId w:val="19"/>
  </w:num>
  <w:num w:numId="10" w16cid:durableId="1304314106">
    <w:abstractNumId w:val="19"/>
  </w:num>
  <w:num w:numId="11" w16cid:durableId="1656566440">
    <w:abstractNumId w:val="19"/>
  </w:num>
  <w:num w:numId="12" w16cid:durableId="1425423218">
    <w:abstractNumId w:val="13"/>
  </w:num>
  <w:num w:numId="13" w16cid:durableId="1687563231">
    <w:abstractNumId w:val="19"/>
  </w:num>
  <w:num w:numId="14" w16cid:durableId="1603494509">
    <w:abstractNumId w:val="22"/>
  </w:num>
  <w:num w:numId="15" w16cid:durableId="1510411320">
    <w:abstractNumId w:val="19"/>
  </w:num>
  <w:num w:numId="16" w16cid:durableId="1867673953">
    <w:abstractNumId w:val="17"/>
  </w:num>
  <w:num w:numId="17" w16cid:durableId="2011253783">
    <w:abstractNumId w:val="19"/>
  </w:num>
  <w:num w:numId="18" w16cid:durableId="248469422">
    <w:abstractNumId w:val="19"/>
  </w:num>
  <w:num w:numId="19" w16cid:durableId="614143411">
    <w:abstractNumId w:val="19"/>
  </w:num>
  <w:num w:numId="20" w16cid:durableId="1148786319">
    <w:abstractNumId w:val="19"/>
  </w:num>
  <w:num w:numId="21" w16cid:durableId="515537985">
    <w:abstractNumId w:val="19"/>
  </w:num>
  <w:num w:numId="22" w16cid:durableId="2061591863">
    <w:abstractNumId w:val="19"/>
  </w:num>
  <w:num w:numId="23" w16cid:durableId="1119645820">
    <w:abstractNumId w:val="19"/>
  </w:num>
  <w:num w:numId="24" w16cid:durableId="1299843773">
    <w:abstractNumId w:val="21"/>
  </w:num>
  <w:num w:numId="25" w16cid:durableId="581917013">
    <w:abstractNumId w:val="19"/>
  </w:num>
  <w:num w:numId="26" w16cid:durableId="140082459">
    <w:abstractNumId w:val="19"/>
  </w:num>
  <w:num w:numId="27" w16cid:durableId="1706758202">
    <w:abstractNumId w:val="19"/>
  </w:num>
  <w:num w:numId="28" w16cid:durableId="1781414419">
    <w:abstractNumId w:val="9"/>
  </w:num>
  <w:num w:numId="29" w16cid:durableId="1993484443">
    <w:abstractNumId w:val="7"/>
  </w:num>
  <w:num w:numId="30" w16cid:durableId="471872815">
    <w:abstractNumId w:val="6"/>
  </w:num>
  <w:num w:numId="31" w16cid:durableId="1327051887">
    <w:abstractNumId w:val="5"/>
  </w:num>
  <w:num w:numId="32" w16cid:durableId="211115846">
    <w:abstractNumId w:val="4"/>
  </w:num>
  <w:num w:numId="33" w16cid:durableId="1707833298">
    <w:abstractNumId w:val="8"/>
  </w:num>
  <w:num w:numId="34" w16cid:durableId="872428524">
    <w:abstractNumId w:val="2"/>
  </w:num>
  <w:num w:numId="35" w16cid:durableId="2008702782">
    <w:abstractNumId w:val="1"/>
  </w:num>
  <w:num w:numId="36" w16cid:durableId="1329677739">
    <w:abstractNumId w:val="14"/>
  </w:num>
  <w:num w:numId="37" w16cid:durableId="1386444184">
    <w:abstractNumId w:val="0"/>
  </w:num>
  <w:num w:numId="38" w16cid:durableId="1125349702">
    <w:abstractNumId w:val="15"/>
  </w:num>
  <w:num w:numId="39" w16cid:durableId="1262838547">
    <w:abstractNumId w:val="12"/>
  </w:num>
  <w:num w:numId="40" w16cid:durableId="52949170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380"/>
    <w:rsid w:val="000949D7"/>
    <w:rsid w:val="000C5EE4"/>
    <w:rsid w:val="000D19A8"/>
    <w:rsid w:val="00114D2F"/>
    <w:rsid w:val="001240E5"/>
    <w:rsid w:val="00154BAE"/>
    <w:rsid w:val="00157F13"/>
    <w:rsid w:val="0017270E"/>
    <w:rsid w:val="001872B0"/>
    <w:rsid w:val="00195007"/>
    <w:rsid w:val="001A2A35"/>
    <w:rsid w:val="001A31A2"/>
    <w:rsid w:val="001D5B87"/>
    <w:rsid w:val="00221956"/>
    <w:rsid w:val="0022551C"/>
    <w:rsid w:val="00253888"/>
    <w:rsid w:val="00263927"/>
    <w:rsid w:val="002775F6"/>
    <w:rsid w:val="002819B5"/>
    <w:rsid w:val="003219DB"/>
    <w:rsid w:val="0032267C"/>
    <w:rsid w:val="00396B9B"/>
    <w:rsid w:val="003A100C"/>
    <w:rsid w:val="003B166A"/>
    <w:rsid w:val="003B2F34"/>
    <w:rsid w:val="003B5704"/>
    <w:rsid w:val="003D0A44"/>
    <w:rsid w:val="003D1141"/>
    <w:rsid w:val="003F60F9"/>
    <w:rsid w:val="003F697F"/>
    <w:rsid w:val="004141FA"/>
    <w:rsid w:val="00414633"/>
    <w:rsid w:val="00430856"/>
    <w:rsid w:val="004459AE"/>
    <w:rsid w:val="00451EF3"/>
    <w:rsid w:val="004604AF"/>
    <w:rsid w:val="00467C63"/>
    <w:rsid w:val="004861DB"/>
    <w:rsid w:val="004A65C8"/>
    <w:rsid w:val="00505B57"/>
    <w:rsid w:val="005241E9"/>
    <w:rsid w:val="0054134A"/>
    <w:rsid w:val="00572FA1"/>
    <w:rsid w:val="005763DA"/>
    <w:rsid w:val="005972B8"/>
    <w:rsid w:val="005A0389"/>
    <w:rsid w:val="005B7F21"/>
    <w:rsid w:val="005E417D"/>
    <w:rsid w:val="005F1103"/>
    <w:rsid w:val="006004E0"/>
    <w:rsid w:val="006132A6"/>
    <w:rsid w:val="006161D9"/>
    <w:rsid w:val="0067485A"/>
    <w:rsid w:val="00695524"/>
    <w:rsid w:val="006A77FA"/>
    <w:rsid w:val="006C2F1C"/>
    <w:rsid w:val="006F03D7"/>
    <w:rsid w:val="00724774"/>
    <w:rsid w:val="0078785C"/>
    <w:rsid w:val="00790E00"/>
    <w:rsid w:val="007D7718"/>
    <w:rsid w:val="00851FFA"/>
    <w:rsid w:val="00875082"/>
    <w:rsid w:val="008771D7"/>
    <w:rsid w:val="00883D0B"/>
    <w:rsid w:val="0088726A"/>
    <w:rsid w:val="008A174C"/>
    <w:rsid w:val="008E76A4"/>
    <w:rsid w:val="008F4713"/>
    <w:rsid w:val="00954ECA"/>
    <w:rsid w:val="00961071"/>
    <w:rsid w:val="009E1F62"/>
    <w:rsid w:val="009E4E30"/>
    <w:rsid w:val="00A00987"/>
    <w:rsid w:val="00A32526"/>
    <w:rsid w:val="00A51B4F"/>
    <w:rsid w:val="00A669C0"/>
    <w:rsid w:val="00A73085"/>
    <w:rsid w:val="00A92783"/>
    <w:rsid w:val="00AA1C09"/>
    <w:rsid w:val="00AA59DE"/>
    <w:rsid w:val="00AB4A57"/>
    <w:rsid w:val="00AD50D9"/>
    <w:rsid w:val="00AF1CB2"/>
    <w:rsid w:val="00B22DE0"/>
    <w:rsid w:val="00B302FA"/>
    <w:rsid w:val="00B463B3"/>
    <w:rsid w:val="00B65D80"/>
    <w:rsid w:val="00B768E8"/>
    <w:rsid w:val="00BA65AC"/>
    <w:rsid w:val="00BB1F61"/>
    <w:rsid w:val="00BC6012"/>
    <w:rsid w:val="00BE3EE6"/>
    <w:rsid w:val="00C308E3"/>
    <w:rsid w:val="00C40E7F"/>
    <w:rsid w:val="00C47922"/>
    <w:rsid w:val="00C51059"/>
    <w:rsid w:val="00C8356A"/>
    <w:rsid w:val="00CA0748"/>
    <w:rsid w:val="00CC1387"/>
    <w:rsid w:val="00CC4CC0"/>
    <w:rsid w:val="00CC72CC"/>
    <w:rsid w:val="00CD2EB2"/>
    <w:rsid w:val="00CE3812"/>
    <w:rsid w:val="00CF1547"/>
    <w:rsid w:val="00D076A0"/>
    <w:rsid w:val="00D219F5"/>
    <w:rsid w:val="00D24507"/>
    <w:rsid w:val="00D3320B"/>
    <w:rsid w:val="00DA22A4"/>
    <w:rsid w:val="00DB586B"/>
    <w:rsid w:val="00DB7763"/>
    <w:rsid w:val="00E004E3"/>
    <w:rsid w:val="00E46AC8"/>
    <w:rsid w:val="00E729D9"/>
    <w:rsid w:val="00E77066"/>
    <w:rsid w:val="00EB5749"/>
    <w:rsid w:val="00EE20C9"/>
    <w:rsid w:val="00EE7067"/>
    <w:rsid w:val="00F02711"/>
    <w:rsid w:val="00F25FF0"/>
    <w:rsid w:val="00F31DC8"/>
    <w:rsid w:val="00FC388A"/>
    <w:rsid w:val="00FC7ECC"/>
    <w:rsid w:val="00FE0B53"/>
    <w:rsid w:val="00FE2380"/>
    <w:rsid w:val="00FF44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195E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12" w:unhideWhenUsed="1" w:qFormat="1"/>
    <w:lsdException w:name="List Number 2" w:uiPriority="99"/>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alibri" w:eastAsia="PMingLiU" w:hAnsi="Calibri"/>
      <w:sz w:val="24"/>
      <w:szCs w:val="22"/>
    </w:rPr>
  </w:style>
  <w:style w:type="paragraph" w:styleId="Heading1">
    <w:name w:val="heading 1"/>
    <w:basedOn w:val="Normal"/>
    <w:next w:val="Normal"/>
    <w:autoRedefine/>
    <w:qFormat/>
    <w:rsid w:val="001A31A2"/>
    <w:pPr>
      <w:spacing w:before="600" w:after="0"/>
      <w:outlineLvl w:val="0"/>
    </w:pPr>
    <w:rPr>
      <w:b/>
      <w:sz w:val="48"/>
      <w:szCs w:val="44"/>
    </w:rPr>
  </w:style>
  <w:style w:type="paragraph" w:styleId="Heading2">
    <w:name w:val="heading 2"/>
    <w:basedOn w:val="Normal"/>
    <w:next w:val="Normal"/>
    <w:link w:val="Heading2Char"/>
    <w:qFormat/>
    <w:pPr>
      <w:keepNext/>
      <w:pageBreakBefore/>
      <w:numPr>
        <w:numId w:val="39"/>
      </w:numPr>
      <w:spacing w:before="240" w:after="60"/>
      <w:outlineLvl w:val="1"/>
    </w:pPr>
    <w:rPr>
      <w:rFonts w:cs="Arial"/>
      <w:b/>
      <w:bCs/>
      <w:iCs/>
      <w:sz w:val="40"/>
      <w:szCs w:val="28"/>
    </w:rPr>
  </w:style>
  <w:style w:type="paragraph" w:styleId="Heading3">
    <w:name w:val="heading 3"/>
    <w:basedOn w:val="Normal"/>
    <w:next w:val="Normal"/>
    <w:autoRedefine/>
    <w:qFormat/>
    <w:rsid w:val="00A51B4F"/>
    <w:pPr>
      <w:spacing w:before="240" w:after="100" w:afterAutospacing="1"/>
      <w:ind w:left="567" w:hanging="567"/>
      <w:outlineLvl w:val="2"/>
    </w:pPr>
    <w:rPr>
      <w:rFonts w:ascii="Cambria" w:hAnsi="Cambria" w:cs="Arial"/>
      <w:b/>
      <w:bCs/>
      <w:szCs w:val="20"/>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autoRedefine/>
    <w:qFormat/>
    <w:pPr>
      <w:spacing w:before="240"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pPr>
      <w:numPr>
        <w:numId w:val="38"/>
      </w:numPr>
    </w:pPr>
  </w:style>
  <w:style w:type="table" w:styleId="TableGrid">
    <w:name w:val="Table Grid"/>
    <w:basedOn w:val="TableNormal"/>
    <w:uiPriority w:val="59"/>
    <w:pPr>
      <w:spacing w:before="120" w:after="120"/>
    </w:pPr>
    <w:rPr>
      <w:rFonts w:ascii="Trebuchet MS" w:eastAsia="PMingLiU" w:hAnsi="Trebuchet MS"/>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paragraph" w:styleId="Header">
    <w:name w:val="header"/>
    <w:basedOn w:val="Normal"/>
    <w:pPr>
      <w:tabs>
        <w:tab w:val="center" w:pos="4153"/>
        <w:tab w:val="right" w:pos="8306"/>
      </w:tabs>
    </w:pPr>
  </w:style>
  <w:style w:type="paragraph" w:styleId="Footer">
    <w:name w:val="footer"/>
    <w:basedOn w:val="Normal"/>
    <w:link w:val="FooterChar"/>
    <w:autoRedefine/>
    <w:uiPriority w:val="99"/>
    <w:pPr>
      <w:tabs>
        <w:tab w:val="center" w:pos="4153"/>
        <w:tab w:val="right" w:pos="8306"/>
      </w:tabs>
      <w:jc w:val="right"/>
    </w:pPr>
    <w:rPr>
      <w:noProof/>
      <w:sz w:val="20"/>
      <w:szCs w:val="20"/>
    </w:rPr>
  </w:style>
  <w:style w:type="character" w:styleId="PageNumber">
    <w:name w:val="page number"/>
    <w:rPr>
      <w:rFonts w:ascii="Trebuchet MS" w:hAnsi="Trebuchet MS"/>
      <w:sz w:val="20"/>
    </w:rPr>
  </w:style>
  <w:style w:type="character" w:customStyle="1" w:styleId="FooterChar">
    <w:name w:val="Footer Char"/>
    <w:link w:val="Footer"/>
    <w:uiPriority w:val="99"/>
    <w:rPr>
      <w:rFonts w:ascii="Calibri" w:eastAsia="PMingLiU" w:hAnsi="Calibri"/>
      <w:noProof/>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rebuchet MS" w:eastAsia="PMingLiU" w:hAnsi="Trebuchet MS"/>
      <w:lang w:eastAsia="en-AU"/>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rebuchet MS" w:eastAsia="PMingLiU" w:hAnsi="Trebuchet MS"/>
      <w:b/>
      <w:bCs/>
      <w:lang w:eastAsia="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PMingLiU" w:hAnsi="Tahoma" w:cs="Tahoma"/>
      <w:sz w:val="16"/>
      <w:szCs w:val="16"/>
      <w:lang w:eastAsia="en-AU"/>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Trebuchet MS" w:eastAsia="PMingLiU" w:hAnsi="Trebuchet MS"/>
      <w:lang w:eastAsia="en-AU"/>
    </w:rPr>
  </w:style>
  <w:style w:type="character" w:styleId="FootnoteReference">
    <w:name w:val="footnote reference"/>
    <w:rPr>
      <w:vertAlign w:val="superscript"/>
    </w:rPr>
  </w:style>
  <w:style w:type="paragraph" w:styleId="TOC1">
    <w:name w:val="toc 1"/>
    <w:basedOn w:val="Normal"/>
    <w:next w:val="Normal"/>
    <w:autoRedefine/>
    <w:uiPriority w:val="39"/>
    <w:pPr>
      <w:tabs>
        <w:tab w:val="right" w:leader="dot" w:pos="9231"/>
      </w:tabs>
    </w:pPr>
    <w:rPr>
      <w:b/>
    </w:rPr>
  </w:style>
  <w:style w:type="paragraph" w:styleId="TOC2">
    <w:name w:val="toc 2"/>
    <w:basedOn w:val="Normal"/>
    <w:next w:val="Normal"/>
    <w:autoRedefine/>
    <w:uiPriority w:val="39"/>
    <w:pPr>
      <w:tabs>
        <w:tab w:val="left" w:pos="993"/>
        <w:tab w:val="right" w:leader="dot" w:pos="9214"/>
      </w:tabs>
      <w:ind w:left="426"/>
    </w:pPr>
    <w:rPr>
      <w:noProof/>
    </w:rPr>
  </w:style>
  <w:style w:type="character" w:styleId="Hyperlink">
    <w:name w:val="Hyperlink"/>
    <w:uiPriority w:val="99"/>
    <w:rPr>
      <w:color w:val="0000FF"/>
      <w:u w:val="single"/>
    </w:rPr>
  </w:style>
  <w:style w:type="paragraph" w:styleId="ListParagraph">
    <w:name w:val="List Paragraph"/>
    <w:basedOn w:val="Normal"/>
    <w:uiPriority w:val="99"/>
    <w:qFormat/>
    <w:pPr>
      <w:ind w:left="720"/>
    </w:pPr>
    <w:rPr>
      <w:rFonts w:eastAsia="Calibri"/>
    </w:rPr>
  </w:style>
  <w:style w:type="paragraph" w:customStyle="1" w:styleId="TitlePageHeading">
    <w:name w:val="Title Page Heading"/>
    <w:basedOn w:val="Normal"/>
    <w:qFormat/>
    <w:pPr>
      <w:spacing w:before="120" w:after="200" w:line="360" w:lineRule="auto"/>
      <w:jc w:val="center"/>
    </w:pPr>
    <w:rPr>
      <w:b/>
      <w:sz w:val="32"/>
      <w:szCs w:val="32"/>
    </w:rPr>
  </w:style>
  <w:style w:type="character" w:customStyle="1" w:styleId="Heading2Char">
    <w:name w:val="Heading 2 Char"/>
    <w:link w:val="Heading2"/>
    <w:rPr>
      <w:rFonts w:ascii="Calibri" w:eastAsia="PMingLiU" w:hAnsi="Calibri" w:cs="Arial"/>
      <w:b/>
      <w:bCs/>
      <w:iCs/>
      <w:sz w:val="40"/>
      <w:szCs w:val="28"/>
    </w:rPr>
  </w:style>
  <w:style w:type="paragraph" w:styleId="TOCHeading">
    <w:name w:val="TOC Heading"/>
    <w:basedOn w:val="Heading1"/>
    <w:next w:val="Normal"/>
    <w:uiPriority w:val="39"/>
    <w:unhideWhenUsed/>
    <w:qFormat/>
    <w:pPr>
      <w:keepLines/>
      <w:spacing w:before="480" w:line="276" w:lineRule="auto"/>
      <w:outlineLvl w:val="9"/>
    </w:pPr>
    <w:rPr>
      <w:rFonts w:ascii="Cambria" w:eastAsia="Times New Roman" w:hAnsi="Cambria"/>
      <w:color w:val="365F91"/>
      <w:sz w:val="28"/>
      <w:szCs w:val="28"/>
      <w:lang w:val="en-US" w:eastAsia="en-US"/>
    </w:rPr>
  </w:style>
  <w:style w:type="paragraph" w:styleId="TOC3">
    <w:name w:val="toc 3"/>
    <w:basedOn w:val="Normal"/>
    <w:next w:val="Normal"/>
    <w:autoRedefine/>
    <w:uiPriority w:val="39"/>
    <w:pPr>
      <w:tabs>
        <w:tab w:val="right" w:leader="dot" w:pos="8539"/>
      </w:tabs>
      <w:spacing w:after="100"/>
      <w:ind w:left="440"/>
    </w:pPr>
    <w:rPr>
      <w:rFonts w:ascii="Calibri Light" w:hAnsi="Calibri Light"/>
      <w:noProof/>
    </w:rPr>
  </w:style>
  <w:style w:type="character" w:styleId="Strong">
    <w:name w:val="Strong"/>
    <w:uiPriority w:val="99"/>
    <w:qFormat/>
    <w:rPr>
      <w:b/>
      <w:bC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Tableheader">
    <w:name w:val="Table header"/>
    <w:basedOn w:val="Normal"/>
    <w:pPr>
      <w:tabs>
        <w:tab w:val="left" w:pos="567"/>
      </w:tabs>
      <w:suppressAutoHyphens/>
      <w:autoSpaceDN w:val="0"/>
      <w:spacing w:before="60" w:after="60"/>
      <w:textAlignment w:val="baseline"/>
    </w:pPr>
    <w:rPr>
      <w:rFonts w:eastAsia="Calibri" w:cs="Mangal"/>
      <w:b/>
      <w:sz w:val="18"/>
      <w:lang w:eastAsia="en-US" w:bidi="hi-IN"/>
    </w:rPr>
  </w:style>
  <w:style w:type="character" w:styleId="Emphasis">
    <w:name w:val="Emphasis"/>
    <w:rPr>
      <w:i/>
      <w:iCs/>
    </w:rPr>
  </w:style>
  <w:style w:type="character" w:customStyle="1" w:styleId="Bold">
    <w:name w:val="Bold"/>
    <w:rPr>
      <w:b/>
    </w:rPr>
  </w:style>
  <w:style w:type="paragraph" w:customStyle="1" w:styleId="Copyrightpageheading">
    <w:name w:val="Copyright page heading"/>
    <w:next w:val="Normal"/>
    <w:pPr>
      <w:suppressAutoHyphens/>
      <w:autoSpaceDN w:val="0"/>
      <w:spacing w:after="60"/>
      <w:textAlignment w:val="baseline"/>
    </w:pPr>
    <w:rPr>
      <w:rFonts w:ascii="Calibri" w:eastAsia="Calibri" w:hAnsi="Calibri"/>
      <w:b/>
      <w:sz w:val="18"/>
      <w:szCs w:val="22"/>
      <w:lang w:eastAsia="en-US"/>
    </w:rPr>
  </w:style>
  <w:style w:type="paragraph" w:styleId="ListNumber2">
    <w:name w:val="List Number 2"/>
    <w:basedOn w:val="Normal"/>
    <w:uiPriority w:val="99"/>
    <w:pPr>
      <w:numPr>
        <w:numId w:val="4"/>
      </w:numPr>
      <w:contextualSpacing/>
    </w:pPr>
  </w:style>
  <w:style w:type="numbering" w:customStyle="1" w:styleId="Part2">
    <w:name w:val="Part 2"/>
    <w:pPr>
      <w:numPr>
        <w:numId w:val="5"/>
      </w:numPr>
    </w:pPr>
  </w:style>
  <w:style w:type="paragraph" w:styleId="Revision">
    <w:name w:val="Revision"/>
    <w:hidden/>
    <w:uiPriority w:val="99"/>
    <w:semiHidden/>
    <w:rPr>
      <w:rFonts w:ascii="Trebuchet MS" w:eastAsia="PMingLiU" w:hAnsi="Trebuchet MS"/>
      <w:sz w:val="22"/>
      <w:szCs w:val="22"/>
    </w:rPr>
  </w:style>
  <w:style w:type="paragraph" w:styleId="Caption">
    <w:name w:val="caption"/>
    <w:basedOn w:val="Normal"/>
    <w:next w:val="Normal"/>
    <w:link w:val="CaptionChar"/>
    <w:uiPriority w:val="12"/>
    <w:unhideWhenUsed/>
    <w:qFormat/>
    <w:rPr>
      <w:b/>
      <w:bCs/>
      <w:sz w:val="20"/>
      <w:szCs w:val="20"/>
    </w:rPr>
  </w:style>
  <w:style w:type="table" w:styleId="MediumGrid3-Accent6">
    <w:name w:val="Medium Grid 3 Accent 6"/>
    <w:basedOn w:val="TableGrid1"/>
    <w:uiPriority w:val="60"/>
    <w:pPr>
      <w:spacing w:after="200" w:line="280" w:lineRule="atLeast"/>
    </w:pPr>
    <w:rPr>
      <w:rFonts w:ascii="Calibri" w:eastAsia="Calibri" w:hAnsi="Calibri"/>
      <w:color w:val="E36C0A"/>
      <w:lang w:eastAsia="en-US" w:bidi="hi-I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line="276" w:lineRule="auto"/>
    </w:pPr>
    <w:rPr>
      <w:rFonts w:ascii="Cambria" w:eastAsia="Calibri" w:hAnsi="Cambria"/>
      <w:sz w:val="20"/>
      <w:lang w:eastAsia="en-US"/>
    </w:rPr>
  </w:style>
  <w:style w:type="character" w:customStyle="1" w:styleId="CaptionChar">
    <w:name w:val="Caption Char"/>
    <w:link w:val="Caption"/>
    <w:uiPriority w:val="12"/>
    <w:rPr>
      <w:rFonts w:ascii="Trebuchet MS" w:eastAsia="PMingLiU" w:hAnsi="Trebuchet MS"/>
      <w:b/>
      <w:bCs/>
    </w:rPr>
  </w:style>
  <w:style w:type="paragraph" w:customStyle="1" w:styleId="TableText">
    <w:name w:val="Table Text"/>
    <w:basedOn w:val="Normal"/>
    <w:uiPriority w:val="13"/>
    <w:qFormat/>
    <w:pPr>
      <w:spacing w:before="60" w:after="60"/>
    </w:pPr>
    <w:rPr>
      <w:rFonts w:eastAsia="Calibri"/>
      <w:sz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eastAsia="Calibri"/>
      <w:sz w:val="18"/>
      <w:lang w:eastAsia="en-US"/>
    </w:rPr>
  </w:style>
  <w:style w:type="paragraph" w:customStyle="1" w:styleId="Normalsmall">
    <w:name w:val="Normal small"/>
    <w:qFormat/>
    <w:pPr>
      <w:spacing w:after="120" w:line="276" w:lineRule="auto"/>
    </w:pPr>
    <w:rPr>
      <w:rFonts w:ascii="Cambria" w:eastAsia="Calibri" w:hAnsi="Cambria"/>
      <w:sz w:val="18"/>
      <w:szCs w:val="18"/>
      <w:lang w:eastAsia="en-US"/>
    </w:rPr>
  </w:style>
  <w:style w:type="paragraph" w:styleId="ListBullet">
    <w:name w:val="List Bullet"/>
    <w:basedOn w:val="Normal"/>
    <w:pPr>
      <w:numPr>
        <w:numId w:val="28"/>
      </w:numPr>
      <w:contextualSpacing/>
    </w:pPr>
  </w:style>
  <w:style w:type="paragraph" w:styleId="ListNumber">
    <w:name w:val="List Number"/>
    <w:basedOn w:val="Normal"/>
    <w:pPr>
      <w:numPr>
        <w:numId w:val="33"/>
      </w:numPr>
      <w:contextualSpacing/>
    </w:pPr>
  </w:style>
  <w:style w:type="paragraph" w:customStyle="1" w:styleId="RecommendationHeading">
    <w:name w:val="Recommendation Heading"/>
    <w:qFormat/>
    <w:pPr>
      <w:keepNext/>
      <w:tabs>
        <w:tab w:val="left" w:pos="567"/>
      </w:tabs>
      <w:spacing w:before="360" w:after="100"/>
    </w:pPr>
    <w:rPr>
      <w:rFonts w:ascii="Calibri" w:eastAsia="Calibri" w:hAnsi="Calibri"/>
      <w:b/>
      <w:bCs/>
      <w:color w:val="404040"/>
      <w:sz w:val="24"/>
      <w:szCs w:val="18"/>
      <w:lang w:eastAsia="en-US"/>
    </w:rPr>
  </w:style>
  <w:style w:type="paragraph" w:styleId="Date">
    <w:name w:val="Date"/>
    <w:basedOn w:val="Normal"/>
    <w:next w:val="Normal"/>
    <w:link w:val="DateChar"/>
  </w:style>
  <w:style w:type="character" w:customStyle="1" w:styleId="DateChar">
    <w:name w:val="Date Char"/>
    <w:basedOn w:val="DefaultParagraphFont"/>
    <w:link w:val="Date"/>
    <w:rPr>
      <w:rFonts w:ascii="Calibri" w:eastAsia="PMingLiU" w:hAnsi="Calibri"/>
      <w:sz w:val="24"/>
      <w:szCs w:val="22"/>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575">
      <w:bodyDiv w:val="1"/>
      <w:marLeft w:val="0"/>
      <w:marRight w:val="0"/>
      <w:marTop w:val="0"/>
      <w:marBottom w:val="0"/>
      <w:divBdr>
        <w:top w:val="none" w:sz="0" w:space="0" w:color="auto"/>
        <w:left w:val="none" w:sz="0" w:space="0" w:color="auto"/>
        <w:bottom w:val="none" w:sz="0" w:space="0" w:color="auto"/>
        <w:right w:val="none" w:sz="0" w:space="0" w:color="auto"/>
      </w:divBdr>
    </w:div>
    <w:div w:id="80220123">
      <w:bodyDiv w:val="1"/>
      <w:marLeft w:val="0"/>
      <w:marRight w:val="0"/>
      <w:marTop w:val="0"/>
      <w:marBottom w:val="0"/>
      <w:divBdr>
        <w:top w:val="none" w:sz="0" w:space="0" w:color="auto"/>
        <w:left w:val="none" w:sz="0" w:space="0" w:color="auto"/>
        <w:bottom w:val="none" w:sz="0" w:space="0" w:color="auto"/>
        <w:right w:val="none" w:sz="0" w:space="0" w:color="auto"/>
      </w:divBdr>
    </w:div>
    <w:div w:id="155925136">
      <w:bodyDiv w:val="1"/>
      <w:marLeft w:val="0"/>
      <w:marRight w:val="0"/>
      <w:marTop w:val="0"/>
      <w:marBottom w:val="0"/>
      <w:divBdr>
        <w:top w:val="none" w:sz="0" w:space="0" w:color="auto"/>
        <w:left w:val="none" w:sz="0" w:space="0" w:color="auto"/>
        <w:bottom w:val="none" w:sz="0" w:space="0" w:color="auto"/>
        <w:right w:val="none" w:sz="0" w:space="0" w:color="auto"/>
      </w:divBdr>
    </w:div>
    <w:div w:id="520625752">
      <w:bodyDiv w:val="1"/>
      <w:marLeft w:val="0"/>
      <w:marRight w:val="0"/>
      <w:marTop w:val="0"/>
      <w:marBottom w:val="0"/>
      <w:divBdr>
        <w:top w:val="none" w:sz="0" w:space="0" w:color="auto"/>
        <w:left w:val="none" w:sz="0" w:space="0" w:color="auto"/>
        <w:bottom w:val="none" w:sz="0" w:space="0" w:color="auto"/>
        <w:right w:val="none" w:sz="0" w:space="0" w:color="auto"/>
      </w:divBdr>
    </w:div>
    <w:div w:id="597297059">
      <w:bodyDiv w:val="1"/>
      <w:marLeft w:val="0"/>
      <w:marRight w:val="0"/>
      <w:marTop w:val="0"/>
      <w:marBottom w:val="0"/>
      <w:divBdr>
        <w:top w:val="none" w:sz="0" w:space="0" w:color="auto"/>
        <w:left w:val="none" w:sz="0" w:space="0" w:color="auto"/>
        <w:bottom w:val="none" w:sz="0" w:space="0" w:color="auto"/>
        <w:right w:val="none" w:sz="0" w:space="0" w:color="auto"/>
      </w:divBdr>
    </w:div>
    <w:div w:id="678897015">
      <w:bodyDiv w:val="1"/>
      <w:marLeft w:val="0"/>
      <w:marRight w:val="0"/>
      <w:marTop w:val="0"/>
      <w:marBottom w:val="0"/>
      <w:divBdr>
        <w:top w:val="none" w:sz="0" w:space="0" w:color="auto"/>
        <w:left w:val="none" w:sz="0" w:space="0" w:color="auto"/>
        <w:bottom w:val="none" w:sz="0" w:space="0" w:color="auto"/>
        <w:right w:val="none" w:sz="0" w:space="0" w:color="auto"/>
      </w:divBdr>
    </w:div>
    <w:div w:id="680543541">
      <w:bodyDiv w:val="1"/>
      <w:marLeft w:val="0"/>
      <w:marRight w:val="0"/>
      <w:marTop w:val="0"/>
      <w:marBottom w:val="0"/>
      <w:divBdr>
        <w:top w:val="none" w:sz="0" w:space="0" w:color="auto"/>
        <w:left w:val="none" w:sz="0" w:space="0" w:color="auto"/>
        <w:bottom w:val="none" w:sz="0" w:space="0" w:color="auto"/>
        <w:right w:val="none" w:sz="0" w:space="0" w:color="auto"/>
      </w:divBdr>
    </w:div>
    <w:div w:id="892084133">
      <w:bodyDiv w:val="1"/>
      <w:marLeft w:val="0"/>
      <w:marRight w:val="0"/>
      <w:marTop w:val="0"/>
      <w:marBottom w:val="0"/>
      <w:divBdr>
        <w:top w:val="none" w:sz="0" w:space="0" w:color="auto"/>
        <w:left w:val="none" w:sz="0" w:space="0" w:color="auto"/>
        <w:bottom w:val="none" w:sz="0" w:space="0" w:color="auto"/>
        <w:right w:val="none" w:sz="0" w:space="0" w:color="auto"/>
      </w:divBdr>
    </w:div>
    <w:div w:id="1044715291">
      <w:bodyDiv w:val="1"/>
      <w:marLeft w:val="0"/>
      <w:marRight w:val="0"/>
      <w:marTop w:val="0"/>
      <w:marBottom w:val="0"/>
      <w:divBdr>
        <w:top w:val="none" w:sz="0" w:space="0" w:color="auto"/>
        <w:left w:val="none" w:sz="0" w:space="0" w:color="auto"/>
        <w:bottom w:val="none" w:sz="0" w:space="0" w:color="auto"/>
        <w:right w:val="none" w:sz="0" w:space="0" w:color="auto"/>
      </w:divBdr>
    </w:div>
    <w:div w:id="1109667518">
      <w:bodyDiv w:val="1"/>
      <w:marLeft w:val="0"/>
      <w:marRight w:val="0"/>
      <w:marTop w:val="0"/>
      <w:marBottom w:val="0"/>
      <w:divBdr>
        <w:top w:val="none" w:sz="0" w:space="0" w:color="auto"/>
        <w:left w:val="none" w:sz="0" w:space="0" w:color="auto"/>
        <w:bottom w:val="none" w:sz="0" w:space="0" w:color="auto"/>
        <w:right w:val="none" w:sz="0" w:space="0" w:color="auto"/>
      </w:divBdr>
    </w:div>
    <w:div w:id="1191727796">
      <w:bodyDiv w:val="1"/>
      <w:marLeft w:val="0"/>
      <w:marRight w:val="0"/>
      <w:marTop w:val="0"/>
      <w:marBottom w:val="0"/>
      <w:divBdr>
        <w:top w:val="none" w:sz="0" w:space="0" w:color="auto"/>
        <w:left w:val="none" w:sz="0" w:space="0" w:color="auto"/>
        <w:bottom w:val="none" w:sz="0" w:space="0" w:color="auto"/>
        <w:right w:val="none" w:sz="0" w:space="0" w:color="auto"/>
      </w:divBdr>
    </w:div>
    <w:div w:id="1231579439">
      <w:bodyDiv w:val="1"/>
      <w:marLeft w:val="0"/>
      <w:marRight w:val="0"/>
      <w:marTop w:val="0"/>
      <w:marBottom w:val="0"/>
      <w:divBdr>
        <w:top w:val="none" w:sz="0" w:space="0" w:color="auto"/>
        <w:left w:val="none" w:sz="0" w:space="0" w:color="auto"/>
        <w:bottom w:val="none" w:sz="0" w:space="0" w:color="auto"/>
        <w:right w:val="none" w:sz="0" w:space="0" w:color="auto"/>
      </w:divBdr>
    </w:div>
    <w:div w:id="1262688331">
      <w:bodyDiv w:val="1"/>
      <w:marLeft w:val="0"/>
      <w:marRight w:val="0"/>
      <w:marTop w:val="0"/>
      <w:marBottom w:val="0"/>
      <w:divBdr>
        <w:top w:val="none" w:sz="0" w:space="0" w:color="auto"/>
        <w:left w:val="none" w:sz="0" w:space="0" w:color="auto"/>
        <w:bottom w:val="none" w:sz="0" w:space="0" w:color="auto"/>
        <w:right w:val="none" w:sz="0" w:space="0" w:color="auto"/>
      </w:divBdr>
    </w:div>
    <w:div w:id="1326324426">
      <w:bodyDiv w:val="1"/>
      <w:marLeft w:val="0"/>
      <w:marRight w:val="0"/>
      <w:marTop w:val="0"/>
      <w:marBottom w:val="0"/>
      <w:divBdr>
        <w:top w:val="none" w:sz="0" w:space="0" w:color="auto"/>
        <w:left w:val="none" w:sz="0" w:space="0" w:color="auto"/>
        <w:bottom w:val="none" w:sz="0" w:space="0" w:color="auto"/>
        <w:right w:val="none" w:sz="0" w:space="0" w:color="auto"/>
      </w:divBdr>
      <w:divsChild>
        <w:div w:id="1048529634">
          <w:marLeft w:val="0"/>
          <w:marRight w:val="0"/>
          <w:marTop w:val="0"/>
          <w:marBottom w:val="0"/>
          <w:divBdr>
            <w:top w:val="none" w:sz="0" w:space="0" w:color="auto"/>
            <w:left w:val="none" w:sz="0" w:space="0" w:color="auto"/>
            <w:bottom w:val="none" w:sz="0" w:space="0" w:color="auto"/>
            <w:right w:val="none" w:sz="0" w:space="0" w:color="auto"/>
          </w:divBdr>
          <w:divsChild>
            <w:div w:id="1994873130">
              <w:marLeft w:val="0"/>
              <w:marRight w:val="0"/>
              <w:marTop w:val="0"/>
              <w:marBottom w:val="169"/>
              <w:divBdr>
                <w:top w:val="none" w:sz="0" w:space="0" w:color="auto"/>
                <w:left w:val="none" w:sz="0" w:space="0" w:color="auto"/>
                <w:bottom w:val="none" w:sz="0" w:space="0" w:color="auto"/>
                <w:right w:val="none" w:sz="0" w:space="0" w:color="auto"/>
              </w:divBdr>
              <w:divsChild>
                <w:div w:id="1981766682">
                  <w:marLeft w:val="0"/>
                  <w:marRight w:val="0"/>
                  <w:marTop w:val="0"/>
                  <w:marBottom w:val="0"/>
                  <w:divBdr>
                    <w:top w:val="none" w:sz="0" w:space="0" w:color="auto"/>
                    <w:left w:val="none" w:sz="0" w:space="0" w:color="auto"/>
                    <w:bottom w:val="none" w:sz="0" w:space="0" w:color="auto"/>
                    <w:right w:val="none" w:sz="0" w:space="0" w:color="auto"/>
                  </w:divBdr>
                  <w:divsChild>
                    <w:div w:id="834539898">
                      <w:marLeft w:val="0"/>
                      <w:marRight w:val="0"/>
                      <w:marTop w:val="0"/>
                      <w:marBottom w:val="0"/>
                      <w:divBdr>
                        <w:top w:val="none" w:sz="0" w:space="0" w:color="auto"/>
                        <w:left w:val="none" w:sz="0" w:space="0" w:color="auto"/>
                        <w:bottom w:val="none" w:sz="0" w:space="0" w:color="auto"/>
                        <w:right w:val="none" w:sz="0" w:space="0" w:color="auto"/>
                      </w:divBdr>
                      <w:divsChild>
                        <w:div w:id="855727545">
                          <w:marLeft w:val="0"/>
                          <w:marRight w:val="0"/>
                          <w:marTop w:val="0"/>
                          <w:marBottom w:val="0"/>
                          <w:divBdr>
                            <w:top w:val="none" w:sz="0" w:space="0" w:color="auto"/>
                            <w:left w:val="none" w:sz="0" w:space="0" w:color="auto"/>
                            <w:bottom w:val="none" w:sz="0" w:space="0" w:color="auto"/>
                            <w:right w:val="none" w:sz="0" w:space="0" w:color="auto"/>
                          </w:divBdr>
                        </w:div>
                        <w:div w:id="1730105354">
                          <w:marLeft w:val="0"/>
                          <w:marRight w:val="0"/>
                          <w:marTop w:val="0"/>
                          <w:marBottom w:val="0"/>
                          <w:divBdr>
                            <w:top w:val="none" w:sz="0" w:space="0" w:color="auto"/>
                            <w:left w:val="none" w:sz="0" w:space="0" w:color="auto"/>
                            <w:bottom w:val="none" w:sz="0" w:space="0" w:color="auto"/>
                            <w:right w:val="none" w:sz="0" w:space="0" w:color="auto"/>
                          </w:divBdr>
                        </w:div>
                        <w:div w:id="2094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986258">
      <w:bodyDiv w:val="1"/>
      <w:marLeft w:val="0"/>
      <w:marRight w:val="0"/>
      <w:marTop w:val="0"/>
      <w:marBottom w:val="0"/>
      <w:divBdr>
        <w:top w:val="none" w:sz="0" w:space="0" w:color="auto"/>
        <w:left w:val="none" w:sz="0" w:space="0" w:color="auto"/>
        <w:bottom w:val="none" w:sz="0" w:space="0" w:color="auto"/>
        <w:right w:val="none" w:sz="0" w:space="0" w:color="auto"/>
      </w:divBdr>
    </w:div>
    <w:div w:id="1365328874">
      <w:bodyDiv w:val="1"/>
      <w:marLeft w:val="0"/>
      <w:marRight w:val="0"/>
      <w:marTop w:val="0"/>
      <w:marBottom w:val="0"/>
      <w:divBdr>
        <w:top w:val="none" w:sz="0" w:space="0" w:color="auto"/>
        <w:left w:val="none" w:sz="0" w:space="0" w:color="auto"/>
        <w:bottom w:val="none" w:sz="0" w:space="0" w:color="auto"/>
        <w:right w:val="none" w:sz="0" w:space="0" w:color="auto"/>
      </w:divBdr>
    </w:div>
    <w:div w:id="1400708826">
      <w:bodyDiv w:val="1"/>
      <w:marLeft w:val="0"/>
      <w:marRight w:val="0"/>
      <w:marTop w:val="0"/>
      <w:marBottom w:val="0"/>
      <w:divBdr>
        <w:top w:val="none" w:sz="0" w:space="0" w:color="auto"/>
        <w:left w:val="none" w:sz="0" w:space="0" w:color="auto"/>
        <w:bottom w:val="none" w:sz="0" w:space="0" w:color="auto"/>
        <w:right w:val="none" w:sz="0" w:space="0" w:color="auto"/>
      </w:divBdr>
      <w:divsChild>
        <w:div w:id="1120031812">
          <w:marLeft w:val="0"/>
          <w:marRight w:val="0"/>
          <w:marTop w:val="0"/>
          <w:marBottom w:val="0"/>
          <w:divBdr>
            <w:top w:val="none" w:sz="0" w:space="0" w:color="auto"/>
            <w:left w:val="none" w:sz="0" w:space="0" w:color="auto"/>
            <w:bottom w:val="none" w:sz="0" w:space="0" w:color="auto"/>
            <w:right w:val="none" w:sz="0" w:space="0" w:color="auto"/>
          </w:divBdr>
          <w:divsChild>
            <w:div w:id="1300962051">
              <w:marLeft w:val="0"/>
              <w:marRight w:val="0"/>
              <w:marTop w:val="0"/>
              <w:marBottom w:val="0"/>
              <w:divBdr>
                <w:top w:val="none" w:sz="0" w:space="0" w:color="auto"/>
                <w:left w:val="none" w:sz="0" w:space="0" w:color="auto"/>
                <w:bottom w:val="none" w:sz="0" w:space="0" w:color="auto"/>
                <w:right w:val="none" w:sz="0" w:space="0" w:color="auto"/>
              </w:divBdr>
              <w:divsChild>
                <w:div w:id="2075229201">
                  <w:marLeft w:val="0"/>
                  <w:marRight w:val="0"/>
                  <w:marTop w:val="0"/>
                  <w:marBottom w:val="0"/>
                  <w:divBdr>
                    <w:top w:val="none" w:sz="0" w:space="0" w:color="auto"/>
                    <w:left w:val="none" w:sz="0" w:space="0" w:color="auto"/>
                    <w:bottom w:val="none" w:sz="0" w:space="0" w:color="auto"/>
                    <w:right w:val="none" w:sz="0" w:space="0" w:color="auto"/>
                  </w:divBdr>
                  <w:divsChild>
                    <w:div w:id="151682163">
                      <w:marLeft w:val="0"/>
                      <w:marRight w:val="0"/>
                      <w:marTop w:val="0"/>
                      <w:marBottom w:val="0"/>
                      <w:divBdr>
                        <w:top w:val="none" w:sz="0" w:space="0" w:color="auto"/>
                        <w:left w:val="none" w:sz="0" w:space="0" w:color="auto"/>
                        <w:bottom w:val="none" w:sz="0" w:space="0" w:color="auto"/>
                        <w:right w:val="none" w:sz="0" w:space="0" w:color="auto"/>
                      </w:divBdr>
                      <w:divsChild>
                        <w:div w:id="1736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2862">
      <w:bodyDiv w:val="1"/>
      <w:marLeft w:val="0"/>
      <w:marRight w:val="0"/>
      <w:marTop w:val="0"/>
      <w:marBottom w:val="0"/>
      <w:divBdr>
        <w:top w:val="none" w:sz="0" w:space="0" w:color="auto"/>
        <w:left w:val="none" w:sz="0" w:space="0" w:color="auto"/>
        <w:bottom w:val="none" w:sz="0" w:space="0" w:color="auto"/>
        <w:right w:val="none" w:sz="0" w:space="0" w:color="auto"/>
      </w:divBdr>
    </w:div>
    <w:div w:id="1538274226">
      <w:bodyDiv w:val="1"/>
      <w:marLeft w:val="0"/>
      <w:marRight w:val="0"/>
      <w:marTop w:val="0"/>
      <w:marBottom w:val="0"/>
      <w:divBdr>
        <w:top w:val="none" w:sz="0" w:space="0" w:color="auto"/>
        <w:left w:val="none" w:sz="0" w:space="0" w:color="auto"/>
        <w:bottom w:val="none" w:sz="0" w:space="0" w:color="auto"/>
        <w:right w:val="none" w:sz="0" w:space="0" w:color="auto"/>
      </w:divBdr>
    </w:div>
    <w:div w:id="1565410985">
      <w:bodyDiv w:val="1"/>
      <w:marLeft w:val="0"/>
      <w:marRight w:val="0"/>
      <w:marTop w:val="0"/>
      <w:marBottom w:val="0"/>
      <w:divBdr>
        <w:top w:val="none" w:sz="0" w:space="0" w:color="auto"/>
        <w:left w:val="none" w:sz="0" w:space="0" w:color="auto"/>
        <w:bottom w:val="none" w:sz="0" w:space="0" w:color="auto"/>
        <w:right w:val="none" w:sz="0" w:space="0" w:color="auto"/>
      </w:divBdr>
    </w:div>
    <w:div w:id="1577545436">
      <w:bodyDiv w:val="1"/>
      <w:marLeft w:val="0"/>
      <w:marRight w:val="0"/>
      <w:marTop w:val="0"/>
      <w:marBottom w:val="0"/>
      <w:divBdr>
        <w:top w:val="none" w:sz="0" w:space="0" w:color="auto"/>
        <w:left w:val="none" w:sz="0" w:space="0" w:color="auto"/>
        <w:bottom w:val="none" w:sz="0" w:space="0" w:color="auto"/>
        <w:right w:val="none" w:sz="0" w:space="0" w:color="auto"/>
      </w:divBdr>
    </w:div>
    <w:div w:id="1618439577">
      <w:bodyDiv w:val="1"/>
      <w:marLeft w:val="0"/>
      <w:marRight w:val="0"/>
      <w:marTop w:val="0"/>
      <w:marBottom w:val="0"/>
      <w:divBdr>
        <w:top w:val="none" w:sz="0" w:space="0" w:color="auto"/>
        <w:left w:val="none" w:sz="0" w:space="0" w:color="auto"/>
        <w:bottom w:val="none" w:sz="0" w:space="0" w:color="auto"/>
        <w:right w:val="none" w:sz="0" w:space="0" w:color="auto"/>
      </w:divBdr>
    </w:div>
    <w:div w:id="1624579720">
      <w:bodyDiv w:val="1"/>
      <w:marLeft w:val="0"/>
      <w:marRight w:val="0"/>
      <w:marTop w:val="0"/>
      <w:marBottom w:val="0"/>
      <w:divBdr>
        <w:top w:val="none" w:sz="0" w:space="0" w:color="auto"/>
        <w:left w:val="none" w:sz="0" w:space="0" w:color="auto"/>
        <w:bottom w:val="none" w:sz="0" w:space="0" w:color="auto"/>
        <w:right w:val="none" w:sz="0" w:space="0" w:color="auto"/>
      </w:divBdr>
    </w:div>
    <w:div w:id="1657227895">
      <w:bodyDiv w:val="1"/>
      <w:marLeft w:val="0"/>
      <w:marRight w:val="0"/>
      <w:marTop w:val="0"/>
      <w:marBottom w:val="0"/>
      <w:divBdr>
        <w:top w:val="none" w:sz="0" w:space="0" w:color="auto"/>
        <w:left w:val="none" w:sz="0" w:space="0" w:color="auto"/>
        <w:bottom w:val="none" w:sz="0" w:space="0" w:color="auto"/>
        <w:right w:val="none" w:sz="0" w:space="0" w:color="auto"/>
      </w:divBdr>
    </w:div>
    <w:div w:id="1764302083">
      <w:bodyDiv w:val="1"/>
      <w:marLeft w:val="0"/>
      <w:marRight w:val="0"/>
      <w:marTop w:val="0"/>
      <w:marBottom w:val="0"/>
      <w:divBdr>
        <w:top w:val="none" w:sz="0" w:space="0" w:color="auto"/>
        <w:left w:val="none" w:sz="0" w:space="0" w:color="auto"/>
        <w:bottom w:val="none" w:sz="0" w:space="0" w:color="auto"/>
        <w:right w:val="none" w:sz="0" w:space="0" w:color="auto"/>
      </w:divBdr>
    </w:div>
    <w:div w:id="1980039264">
      <w:bodyDiv w:val="1"/>
      <w:marLeft w:val="0"/>
      <w:marRight w:val="0"/>
      <w:marTop w:val="0"/>
      <w:marBottom w:val="0"/>
      <w:divBdr>
        <w:top w:val="none" w:sz="0" w:space="0" w:color="auto"/>
        <w:left w:val="none" w:sz="0" w:space="0" w:color="auto"/>
        <w:bottom w:val="none" w:sz="0" w:space="0" w:color="auto"/>
        <w:right w:val="none" w:sz="0" w:space="0" w:color="auto"/>
      </w:divBdr>
      <w:divsChild>
        <w:div w:id="1142887592">
          <w:marLeft w:val="0"/>
          <w:marRight w:val="0"/>
          <w:marTop w:val="0"/>
          <w:marBottom w:val="0"/>
          <w:divBdr>
            <w:top w:val="none" w:sz="0" w:space="0" w:color="auto"/>
            <w:left w:val="none" w:sz="0" w:space="0" w:color="auto"/>
            <w:bottom w:val="none" w:sz="0" w:space="0" w:color="auto"/>
            <w:right w:val="none" w:sz="0" w:space="0" w:color="auto"/>
          </w:divBdr>
          <w:divsChild>
            <w:div w:id="670645054">
              <w:marLeft w:val="0"/>
              <w:marRight w:val="0"/>
              <w:marTop w:val="0"/>
              <w:marBottom w:val="0"/>
              <w:divBdr>
                <w:top w:val="none" w:sz="0" w:space="0" w:color="auto"/>
                <w:left w:val="none" w:sz="0" w:space="0" w:color="auto"/>
                <w:bottom w:val="none" w:sz="0" w:space="0" w:color="auto"/>
                <w:right w:val="none" w:sz="0" w:space="0" w:color="auto"/>
              </w:divBdr>
              <w:divsChild>
                <w:div w:id="1979872535">
                  <w:marLeft w:val="0"/>
                  <w:marRight w:val="0"/>
                  <w:marTop w:val="0"/>
                  <w:marBottom w:val="0"/>
                  <w:divBdr>
                    <w:top w:val="none" w:sz="0" w:space="0" w:color="auto"/>
                    <w:left w:val="none" w:sz="0" w:space="0" w:color="auto"/>
                    <w:bottom w:val="none" w:sz="0" w:space="0" w:color="auto"/>
                    <w:right w:val="none" w:sz="0" w:space="0" w:color="auto"/>
                  </w:divBdr>
                  <w:divsChild>
                    <w:div w:id="1334449513">
                      <w:marLeft w:val="0"/>
                      <w:marRight w:val="0"/>
                      <w:marTop w:val="0"/>
                      <w:marBottom w:val="0"/>
                      <w:divBdr>
                        <w:top w:val="none" w:sz="0" w:space="0" w:color="auto"/>
                        <w:left w:val="none" w:sz="0" w:space="0" w:color="auto"/>
                        <w:bottom w:val="none" w:sz="0" w:space="0" w:color="auto"/>
                        <w:right w:val="none" w:sz="0" w:space="0" w:color="auto"/>
                      </w:divBdr>
                      <w:divsChild>
                        <w:div w:id="3836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2000">
      <w:bodyDiv w:val="1"/>
      <w:marLeft w:val="0"/>
      <w:marRight w:val="0"/>
      <w:marTop w:val="0"/>
      <w:marBottom w:val="0"/>
      <w:divBdr>
        <w:top w:val="none" w:sz="0" w:space="0" w:color="auto"/>
        <w:left w:val="none" w:sz="0" w:space="0" w:color="auto"/>
        <w:bottom w:val="none" w:sz="0" w:space="0" w:color="auto"/>
        <w:right w:val="none" w:sz="0" w:space="0" w:color="auto"/>
      </w:divBdr>
    </w:div>
    <w:div w:id="20299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igb.gov.au/" TargetMode="External"/><Relationship Id="rId26" Type="http://schemas.openxmlformats.org/officeDocument/2006/relationships/hyperlink" Target="http://www.igb.gov.au/Pages/current-completed-reviews.aspx" TargetMode="External"/><Relationship Id="rId3" Type="http://schemas.openxmlformats.org/officeDocument/2006/relationships/customXml" Target="../customXml/item3.xml"/><Relationship Id="rId21" Type="http://schemas.openxmlformats.org/officeDocument/2006/relationships/hyperlink" Target="http://www.igb.gov.au/Pages/completed-audits-and-reviews.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spgenbiosecurity@agriculture.gov.au" TargetMode="External"/><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gb.gov.au/Pages/current-completed-reviews.aspx" TargetMode="External"/><Relationship Id="rId20" Type="http://schemas.openxmlformats.org/officeDocument/2006/relationships/footer" Target="footer1.xml"/><Relationship Id="rId29" Type="http://schemas.openxmlformats.org/officeDocument/2006/relationships/hyperlink" Target="http://www.igb.gov.au/Pages/completed-audits-and-review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32" Type="http://schemas.openxmlformats.org/officeDocument/2006/relationships/hyperlink" Target="http://www.igb.gov.au/Pages/completed-audits-and-reviews.aspx"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4.jpeg"/><Relationship Id="rId28" Type="http://schemas.openxmlformats.org/officeDocument/2006/relationships/hyperlink" Target="http://www.igb.gov.au/Pages/completed-audits-and-reviews.aspx"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igb.gov.au/Pages/completed-audits-and-review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griculture.gov.au" TargetMode="External"/><Relationship Id="rId22" Type="http://schemas.openxmlformats.org/officeDocument/2006/relationships/hyperlink" Target="http://www.igb.gov.au/Pages/current-completed-reviews.aspx" TargetMode="External"/><Relationship Id="rId27" Type="http://schemas.openxmlformats.org/officeDocument/2006/relationships/hyperlink" Target="http://www.igb.gov.au/Pages/current-completed-reviews.aspx" TargetMode="External"/><Relationship Id="rId30" Type="http://schemas.openxmlformats.org/officeDocument/2006/relationships/hyperlink" Target="http://www.igb.gov.au/Pages/completed-audits-and-review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8C731-3349-44FF-AB70-43A90DAB266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7EBDE3F-FCD0-40F8-B80F-D8E65B92AD96}">
  <ds:schemaRefs>
    <ds:schemaRef ds:uri="http://schemas.openxmlformats.org/officeDocument/2006/bibliography"/>
  </ds:schemaRefs>
</ds:datastoreItem>
</file>

<file path=customXml/itemProps3.xml><?xml version="1.0" encoding="utf-8"?>
<ds:datastoreItem xmlns:ds="http://schemas.openxmlformats.org/officeDocument/2006/customXml" ds:itemID="{159B6E7C-E78E-440A-A56F-79D97E8DBB78}">
  <ds:schemaRefs>
    <ds:schemaRef ds:uri="http://schemas.microsoft.com/sharepoint/v3/contenttype/forms"/>
  </ds:schemaRefs>
</ds:datastoreItem>
</file>

<file path=customXml/itemProps4.xml><?xml version="1.0" encoding="utf-8"?>
<ds:datastoreItem xmlns:ds="http://schemas.openxmlformats.org/officeDocument/2006/customXml" ds:itemID="{2B4217FF-30E1-43D0-A954-E5B20D478973}"/>
</file>

<file path=docProps/app.xml><?xml version="1.0" encoding="utf-8"?>
<Properties xmlns="http://schemas.openxmlformats.org/officeDocument/2006/extended-properties" xmlns:vt="http://schemas.openxmlformats.org/officeDocument/2006/docPropsVTypes">
  <Template>Normal.dotm</Template>
  <TotalTime>0</TotalTime>
  <Pages>13</Pages>
  <Words>2814</Words>
  <Characters>18425</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Implementation of Interim Inspector-General of Biosecurity recommendations</vt:lpstr>
    </vt:vector>
  </TitlesOfParts>
  <Manager/>
  <Company/>
  <LinksUpToDate>false</LinksUpToDate>
  <CharactersWithSpaces>21197</CharactersWithSpaces>
  <SharedDoc>false</SharedDoc>
  <HLinks>
    <vt:vector size="114" baseType="variant">
      <vt:variant>
        <vt:i4>5046283</vt:i4>
      </vt:variant>
      <vt:variant>
        <vt:i4>105</vt:i4>
      </vt:variant>
      <vt:variant>
        <vt:i4>0</vt:i4>
      </vt:variant>
      <vt:variant>
        <vt:i4>5</vt:i4>
      </vt:variant>
      <vt:variant>
        <vt:lpwstr>http://www.igb.gov.au/Documents/implementation-previous-recommendations.docx</vt:lpwstr>
      </vt:variant>
      <vt:variant>
        <vt:lpwstr/>
      </vt:variant>
      <vt:variant>
        <vt:i4>8126590</vt:i4>
      </vt:variant>
      <vt:variant>
        <vt:i4>90</vt:i4>
      </vt:variant>
      <vt:variant>
        <vt:i4>0</vt:i4>
      </vt:variant>
      <vt:variant>
        <vt:i4>5</vt:i4>
      </vt:variant>
      <vt:variant>
        <vt:lpwstr>http://www.igb.gov.au/Pages/uncooked-prawn-imports-effectiveness-biosecurity-controls.aspx</vt:lpwstr>
      </vt:variant>
      <vt:variant>
        <vt:lpwstr/>
      </vt:variant>
      <vt:variant>
        <vt:i4>8126520</vt:i4>
      </vt:variant>
      <vt:variant>
        <vt:i4>87</vt:i4>
      </vt:variant>
      <vt:variant>
        <vt:i4>0</vt:i4>
      </vt:variant>
      <vt:variant>
        <vt:i4>5</vt:i4>
      </vt:variant>
      <vt:variant>
        <vt:lpwstr>http://www.igb.gov.au/Pages/current-completed-reviews.aspx</vt:lpwstr>
      </vt:variant>
      <vt:variant>
        <vt:lpwstr/>
      </vt:variant>
      <vt:variant>
        <vt:i4>1048636</vt:i4>
      </vt:variant>
      <vt:variant>
        <vt:i4>80</vt:i4>
      </vt:variant>
      <vt:variant>
        <vt:i4>0</vt:i4>
      </vt:variant>
      <vt:variant>
        <vt:i4>5</vt:i4>
      </vt:variant>
      <vt:variant>
        <vt:lpwstr/>
      </vt:variant>
      <vt:variant>
        <vt:lpwstr>_Toc522097223</vt:lpwstr>
      </vt:variant>
      <vt:variant>
        <vt:i4>1048636</vt:i4>
      </vt:variant>
      <vt:variant>
        <vt:i4>74</vt:i4>
      </vt:variant>
      <vt:variant>
        <vt:i4>0</vt:i4>
      </vt:variant>
      <vt:variant>
        <vt:i4>5</vt:i4>
      </vt:variant>
      <vt:variant>
        <vt:lpwstr/>
      </vt:variant>
      <vt:variant>
        <vt:lpwstr>_Toc522097222</vt:lpwstr>
      </vt:variant>
      <vt:variant>
        <vt:i4>1048636</vt:i4>
      </vt:variant>
      <vt:variant>
        <vt:i4>68</vt:i4>
      </vt:variant>
      <vt:variant>
        <vt:i4>0</vt:i4>
      </vt:variant>
      <vt:variant>
        <vt:i4>5</vt:i4>
      </vt:variant>
      <vt:variant>
        <vt:lpwstr/>
      </vt:variant>
      <vt:variant>
        <vt:lpwstr>_Toc522097221</vt:lpwstr>
      </vt:variant>
      <vt:variant>
        <vt:i4>1048636</vt:i4>
      </vt:variant>
      <vt:variant>
        <vt:i4>62</vt:i4>
      </vt:variant>
      <vt:variant>
        <vt:i4>0</vt:i4>
      </vt:variant>
      <vt:variant>
        <vt:i4>5</vt:i4>
      </vt:variant>
      <vt:variant>
        <vt:lpwstr/>
      </vt:variant>
      <vt:variant>
        <vt:lpwstr>_Toc522097220</vt:lpwstr>
      </vt:variant>
      <vt:variant>
        <vt:i4>1245244</vt:i4>
      </vt:variant>
      <vt:variant>
        <vt:i4>56</vt:i4>
      </vt:variant>
      <vt:variant>
        <vt:i4>0</vt:i4>
      </vt:variant>
      <vt:variant>
        <vt:i4>5</vt:i4>
      </vt:variant>
      <vt:variant>
        <vt:lpwstr/>
      </vt:variant>
      <vt:variant>
        <vt:lpwstr>_Toc522097219</vt:lpwstr>
      </vt:variant>
      <vt:variant>
        <vt:i4>1245244</vt:i4>
      </vt:variant>
      <vt:variant>
        <vt:i4>50</vt:i4>
      </vt:variant>
      <vt:variant>
        <vt:i4>0</vt:i4>
      </vt:variant>
      <vt:variant>
        <vt:i4>5</vt:i4>
      </vt:variant>
      <vt:variant>
        <vt:lpwstr/>
      </vt:variant>
      <vt:variant>
        <vt:lpwstr>_Toc522097218</vt:lpwstr>
      </vt:variant>
      <vt:variant>
        <vt:i4>1245244</vt:i4>
      </vt:variant>
      <vt:variant>
        <vt:i4>44</vt:i4>
      </vt:variant>
      <vt:variant>
        <vt:i4>0</vt:i4>
      </vt:variant>
      <vt:variant>
        <vt:i4>5</vt:i4>
      </vt:variant>
      <vt:variant>
        <vt:lpwstr/>
      </vt:variant>
      <vt:variant>
        <vt:lpwstr>_Toc522097217</vt:lpwstr>
      </vt:variant>
      <vt:variant>
        <vt:i4>1245244</vt:i4>
      </vt:variant>
      <vt:variant>
        <vt:i4>38</vt:i4>
      </vt:variant>
      <vt:variant>
        <vt:i4>0</vt:i4>
      </vt:variant>
      <vt:variant>
        <vt:i4>5</vt:i4>
      </vt:variant>
      <vt:variant>
        <vt:lpwstr/>
      </vt:variant>
      <vt:variant>
        <vt:lpwstr>_Toc522097216</vt:lpwstr>
      </vt:variant>
      <vt:variant>
        <vt:i4>1245244</vt:i4>
      </vt:variant>
      <vt:variant>
        <vt:i4>32</vt:i4>
      </vt:variant>
      <vt:variant>
        <vt:i4>0</vt:i4>
      </vt:variant>
      <vt:variant>
        <vt:i4>5</vt:i4>
      </vt:variant>
      <vt:variant>
        <vt:lpwstr/>
      </vt:variant>
      <vt:variant>
        <vt:lpwstr>_Toc522097215</vt:lpwstr>
      </vt:variant>
      <vt:variant>
        <vt:i4>1245244</vt:i4>
      </vt:variant>
      <vt:variant>
        <vt:i4>26</vt:i4>
      </vt:variant>
      <vt:variant>
        <vt:i4>0</vt:i4>
      </vt:variant>
      <vt:variant>
        <vt:i4>5</vt:i4>
      </vt:variant>
      <vt:variant>
        <vt:lpwstr/>
      </vt:variant>
      <vt:variant>
        <vt:lpwstr>_Toc522097214</vt:lpwstr>
      </vt:variant>
      <vt:variant>
        <vt:i4>1245244</vt:i4>
      </vt:variant>
      <vt:variant>
        <vt:i4>20</vt:i4>
      </vt:variant>
      <vt:variant>
        <vt:i4>0</vt:i4>
      </vt:variant>
      <vt:variant>
        <vt:i4>5</vt:i4>
      </vt:variant>
      <vt:variant>
        <vt:lpwstr/>
      </vt:variant>
      <vt:variant>
        <vt:lpwstr>_Toc522097213</vt:lpwstr>
      </vt:variant>
      <vt:variant>
        <vt:i4>8323188</vt:i4>
      </vt:variant>
      <vt:variant>
        <vt:i4>12</vt:i4>
      </vt:variant>
      <vt:variant>
        <vt:i4>0</vt:i4>
      </vt:variant>
      <vt:variant>
        <vt:i4>5</vt:i4>
      </vt:variant>
      <vt:variant>
        <vt:lpwstr>http://igb.gov.au/</vt:lpwstr>
      </vt:variant>
      <vt:variant>
        <vt:lpwstr/>
      </vt:variant>
      <vt:variant>
        <vt:i4>2687040</vt:i4>
      </vt:variant>
      <vt:variant>
        <vt:i4>9</vt:i4>
      </vt:variant>
      <vt:variant>
        <vt:i4>0</vt:i4>
      </vt:variant>
      <vt:variant>
        <vt:i4>5</vt:i4>
      </vt:variant>
      <vt:variant>
        <vt:lpwstr>mailto:inspgenbiosecurity@agriculture.gov.au</vt:lpwstr>
      </vt:variant>
      <vt:variant>
        <vt:lpwstr/>
      </vt:variant>
      <vt:variant>
        <vt:i4>983042</vt:i4>
      </vt:variant>
      <vt:variant>
        <vt:i4>6</vt:i4>
      </vt:variant>
      <vt:variant>
        <vt:i4>0</vt:i4>
      </vt:variant>
      <vt:variant>
        <vt:i4>5</vt:i4>
      </vt:variant>
      <vt:variant>
        <vt:lpwstr>http://www.igb.gov.au/Pages/completed-audits-and-reviews.aspx</vt:lpwstr>
      </vt:variant>
      <vt:variant>
        <vt:lpwstr/>
      </vt:variant>
      <vt:variant>
        <vt:i4>7077903</vt:i4>
      </vt:variant>
      <vt:variant>
        <vt:i4>3</vt:i4>
      </vt:variant>
      <vt:variant>
        <vt:i4>0</vt:i4>
      </vt:variant>
      <vt:variant>
        <vt:i4>5</vt:i4>
      </vt:variant>
      <vt:variant>
        <vt:lpwstr>mailto:copyright@agriculture.gov.au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Interim Inspector-General of Biosecurity recommendations</dc:title>
  <dc:subject>Inspector-General of Biosecurity</dc:subject>
  <dc:creator/>
  <cp:keywords>
  </cp:keywords>
  <dc:description>
  </dc:description>
  <cp:lastModifiedBy/>
  <cp:revision>1</cp:revision>
  <cp:lastPrinted>2018-09-05T11:08:00Z</cp:lastPrinted>
  <dcterms:created xsi:type="dcterms:W3CDTF">2023-09-20T05:58:00Z</dcterms:created>
  <dcterms:modified xsi:type="dcterms:W3CDTF">2023-09-20T06:07:00Z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0x0101003D2C1E0A855421449C0CE0CFE8FBF984</vt:lpwstr>
  </property>
  <property fmtid="{D5CDD505-2E9C-101B-9397-08002B2CF9AE}" pid="3" name="MediaServiceImageTags">
    <vt:lpwstr/>
  </property>
</Properties>
</file>