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425F2A" w14:textId="77777777" w:rsidR="00CC703E" w:rsidRDefault="00E37FDB">
      <w:pPr>
        <w:tabs>
          <w:tab w:val="clear" w:pos="567"/>
        </w:tabs>
        <w:spacing w:before="0" w:after="0"/>
        <w:rPr>
          <w:b/>
          <w:bCs/>
        </w:rPr>
      </w:pPr>
      <w:r>
        <w:rPr>
          <w:noProof/>
          <w:lang w:eastAsia="en-AU"/>
        </w:rPr>
        <w:drawing>
          <wp:inline distT="0" distB="0" distL="0" distR="0" wp14:anchorId="47C3ECEA" wp14:editId="4264A426">
            <wp:extent cx="2035810" cy="1041400"/>
            <wp:effectExtent l="0" t="0" r="2540" b="6350"/>
            <wp:docPr id="22" name="Picture 22" descr="Australian Government Inspector-General of Bio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GB_crest-0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035810" cy="1041400"/>
                    </a:xfrm>
                    <a:prstGeom prst="rect">
                      <a:avLst/>
                    </a:prstGeom>
                    <a:noFill/>
                    <a:ln>
                      <a:noFill/>
                    </a:ln>
                  </pic:spPr>
                </pic:pic>
              </a:graphicData>
            </a:graphic>
          </wp:inline>
        </w:drawing>
      </w:r>
    </w:p>
    <w:p w14:paraId="46F6E655" w14:textId="57DA36D3" w:rsidR="00405CC5" w:rsidRPr="00405CC5" w:rsidRDefault="00405CC5" w:rsidP="0011644D">
      <w:pPr>
        <w:spacing w:before="240" w:after="0"/>
        <w:rPr>
          <w:b/>
        </w:rPr>
      </w:pPr>
      <w:r>
        <w:rPr>
          <w:rStyle w:val="Bold"/>
        </w:rPr>
        <w:t xml:space="preserve">Review report </w:t>
      </w:r>
      <w:r w:rsidRPr="004A72FB">
        <w:rPr>
          <w:rStyle w:val="Bold"/>
        </w:rPr>
        <w:t>No.</w:t>
      </w:r>
      <w:r>
        <w:rPr>
          <w:rFonts w:cs="Calibri"/>
          <w:szCs w:val="24"/>
        </w:rPr>
        <w:t xml:space="preserve"> 2017–18/01</w:t>
      </w:r>
    </w:p>
    <w:p w14:paraId="1149A4A7" w14:textId="3D28FECE" w:rsidR="00CC703E" w:rsidRPr="00A5158F" w:rsidRDefault="00E37FDB" w:rsidP="00A5158F">
      <w:pPr>
        <w:pStyle w:val="Heading1"/>
      </w:pPr>
      <w:r w:rsidRPr="00A5158F">
        <w:t>Uncooked prawn imp</w:t>
      </w:r>
      <w:bookmarkStart w:id="0" w:name="_GoBack"/>
      <w:bookmarkEnd w:id="0"/>
      <w:r w:rsidRPr="00A5158F">
        <w:t>orts: effectiveness of biosecurity controls</w:t>
      </w:r>
    </w:p>
    <w:p w14:paraId="3B315EAE" w14:textId="16CCB98C" w:rsidR="00337EEE" w:rsidRDefault="00F329C0" w:rsidP="00405CC5">
      <w:pPr>
        <w:spacing w:after="48"/>
        <w:rPr>
          <w:rFonts w:cs="Calibri"/>
          <w:szCs w:val="24"/>
        </w:rPr>
      </w:pPr>
      <w:r>
        <w:rPr>
          <w:rFonts w:ascii="Times New Roman" w:hAnsi="Times New Roman"/>
        </w:rPr>
        <w:pict w14:anchorId="29FA2929">
          <v:rect id="_x0000_i1025" style="width:0;height:1.5pt" o:hralign="center" o:hrstd="t" o:hr="t" fillcolor="#aca899" stroked="f"/>
        </w:pict>
      </w:r>
    </w:p>
    <w:p w14:paraId="16D1E723" w14:textId="77777777" w:rsidR="00CC703E" w:rsidRDefault="00CC703E">
      <w:pPr>
        <w:tabs>
          <w:tab w:val="clear" w:pos="567"/>
        </w:tabs>
        <w:spacing w:before="0" w:after="0"/>
        <w:jc w:val="center"/>
        <w:rPr>
          <w:rFonts w:cs="Calibri"/>
          <w:sz w:val="18"/>
          <w:szCs w:val="18"/>
        </w:rPr>
      </w:pPr>
    </w:p>
    <w:p w14:paraId="10899BFF" w14:textId="5645B4A6" w:rsidR="00CC703E" w:rsidRDefault="00CC703E" w:rsidP="00E10E0E">
      <w:pPr>
        <w:tabs>
          <w:tab w:val="clear" w:pos="567"/>
        </w:tabs>
        <w:spacing w:before="0" w:after="0"/>
        <w:jc w:val="center"/>
        <w:rPr>
          <w:b/>
          <w:bCs/>
        </w:rPr>
      </w:pPr>
    </w:p>
    <w:p w14:paraId="0A324973" w14:textId="4B302E8D" w:rsidR="00CC703E" w:rsidRDefault="00882243">
      <w:pPr>
        <w:tabs>
          <w:tab w:val="clear" w:pos="567"/>
        </w:tabs>
        <w:spacing w:before="0" w:after="0"/>
        <w:rPr>
          <w:b/>
          <w:bCs/>
        </w:rPr>
      </w:pPr>
      <w:r>
        <w:rPr>
          <w:b/>
          <w:bCs/>
          <w:noProof/>
          <w:lang w:eastAsia="en-AU"/>
        </w:rPr>
        <w:drawing>
          <wp:inline distT="0" distB="0" distL="0" distR="0" wp14:anchorId="34966D5C" wp14:editId="4BA9F54E">
            <wp:extent cx="5976620" cy="5516245"/>
            <wp:effectExtent l="0" t="0" r="508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3211_1117_IGB word cover (002).jpg"/>
                    <pic:cNvPicPr/>
                  </pic:nvPicPr>
                  <pic:blipFill>
                    <a:blip r:embed="rId9" cstate="email">
                      <a:extLst>
                        <a:ext uri="{28A0092B-C50C-407E-A947-70E740481C1C}">
                          <a14:useLocalDpi xmlns:a14="http://schemas.microsoft.com/office/drawing/2010/main"/>
                        </a:ext>
                      </a:extLst>
                    </a:blip>
                    <a:stretch>
                      <a:fillRect/>
                    </a:stretch>
                  </pic:blipFill>
                  <pic:spPr>
                    <a:xfrm>
                      <a:off x="0" y="0"/>
                      <a:ext cx="5976620" cy="5516245"/>
                    </a:xfrm>
                    <a:prstGeom prst="rect">
                      <a:avLst/>
                    </a:prstGeom>
                  </pic:spPr>
                </pic:pic>
              </a:graphicData>
            </a:graphic>
          </wp:inline>
        </w:drawing>
      </w:r>
    </w:p>
    <w:p w14:paraId="0106F9D0" w14:textId="59DF25CE" w:rsidR="00CC703E" w:rsidRDefault="005C45CC" w:rsidP="009865B8">
      <w:pPr>
        <w:pStyle w:val="Author"/>
        <w:spacing w:before="360" w:after="0"/>
        <w:rPr>
          <w:b w:val="0"/>
          <w:bCs/>
        </w:rPr>
      </w:pPr>
      <w:r>
        <w:t>Dr Helen Scott-Orr, Dr Brian Jones and Dr Naveen Bhatia</w:t>
      </w:r>
      <w:r w:rsidR="00E37FDB">
        <w:rPr>
          <w:bCs/>
        </w:rPr>
        <w:br w:type="page"/>
      </w:r>
    </w:p>
    <w:p w14:paraId="03AA4D60" w14:textId="77777777" w:rsidR="00CC703E" w:rsidRDefault="00E37FDB" w:rsidP="00A5158F">
      <w:r>
        <w:lastRenderedPageBreak/>
        <w:t>© Commonwealth of Australia 2017</w:t>
      </w:r>
    </w:p>
    <w:p w14:paraId="376700D1" w14:textId="77777777" w:rsidR="00CC703E" w:rsidRDefault="00E37FDB" w:rsidP="00A5158F">
      <w:r>
        <w:t>Ownership of intellectual property rights</w:t>
      </w:r>
    </w:p>
    <w:p w14:paraId="059725F5" w14:textId="77777777" w:rsidR="00CC703E" w:rsidRDefault="00E37FDB" w:rsidP="00A5158F">
      <w:r>
        <w:t>Unless otherwise noted, copyright (and any other intellectual property rights, if any) in this publication is owned by the Commonwealth of Australia (referred to as the Commonwealth).</w:t>
      </w:r>
    </w:p>
    <w:p w14:paraId="1297DBEF" w14:textId="77777777" w:rsidR="00CC703E" w:rsidRDefault="00E37FDB" w:rsidP="00A5158F">
      <w:pPr>
        <w:rPr>
          <w:rStyle w:val="Strong"/>
        </w:rPr>
      </w:pPr>
      <w:r>
        <w:rPr>
          <w:rStyle w:val="Strong"/>
        </w:rPr>
        <w:t>Creative Commons licence</w:t>
      </w:r>
    </w:p>
    <w:p w14:paraId="66DD0E94" w14:textId="77777777" w:rsidR="00CC703E" w:rsidRDefault="00E37FDB" w:rsidP="00A5158F">
      <w:r>
        <w:t xml:space="preserve">All material in this publication is licensed under a Creative </w:t>
      </w:r>
      <w:hyperlink r:id="rId10" w:history="1">
        <w:r>
          <w:rPr>
            <w:rStyle w:val="Hyperlink"/>
          </w:rPr>
          <w:t>Commons Attribution 4.0 International Licence</w:t>
        </w:r>
      </w:hyperlink>
      <w:r>
        <w:t xml:space="preserve"> except content supplied by third parties, logos and the Commonwealth Coat of Arms.</w:t>
      </w:r>
    </w:p>
    <w:p w14:paraId="49852ACB" w14:textId="77777777" w:rsidR="00CC703E" w:rsidRDefault="00E37FDB" w:rsidP="00A5158F">
      <w:r>
        <w:t xml:space="preserve">Inquiries about the licence and any use of this document should be emailed to </w:t>
      </w:r>
      <w:hyperlink r:id="rId11" w:history="1">
        <w:r>
          <w:rPr>
            <w:rStyle w:val="Hyperlink"/>
          </w:rPr>
          <w:t>copyright@agriculture.gov.au</w:t>
        </w:r>
      </w:hyperlink>
      <w:r>
        <w:t>.</w:t>
      </w:r>
    </w:p>
    <w:p w14:paraId="14C77E39" w14:textId="77777777" w:rsidR="00CC703E" w:rsidRDefault="00E37FDB" w:rsidP="00A5158F">
      <w:pPr>
        <w:rPr>
          <w:highlight w:val="yellow"/>
        </w:rPr>
      </w:pPr>
      <w:r>
        <w:rPr>
          <w:noProof/>
          <w:highlight w:val="yellow"/>
          <w:lang w:eastAsia="en-AU"/>
        </w:rPr>
        <w:drawing>
          <wp:inline distT="0" distB="0" distL="0" distR="0" wp14:anchorId="7ACBCA60" wp14:editId="771FBAE2">
            <wp:extent cx="723265" cy="254635"/>
            <wp:effectExtent l="0" t="0" r="635" b="0"/>
            <wp:docPr id="23" name="Picture 23"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y"/>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723265" cy="254635"/>
                    </a:xfrm>
                    <a:prstGeom prst="rect">
                      <a:avLst/>
                    </a:prstGeom>
                    <a:noFill/>
                    <a:ln>
                      <a:noFill/>
                    </a:ln>
                  </pic:spPr>
                </pic:pic>
              </a:graphicData>
            </a:graphic>
          </wp:inline>
        </w:drawing>
      </w:r>
    </w:p>
    <w:p w14:paraId="44420754" w14:textId="77777777" w:rsidR="00CC703E" w:rsidRDefault="00E37FDB" w:rsidP="00A5158F">
      <w:pPr>
        <w:rPr>
          <w:rStyle w:val="Strong"/>
        </w:rPr>
      </w:pPr>
      <w:r>
        <w:rPr>
          <w:rStyle w:val="Strong"/>
        </w:rPr>
        <w:t>Cataloguing data</w:t>
      </w:r>
    </w:p>
    <w:p w14:paraId="34200B51" w14:textId="5DF006C2" w:rsidR="00CC703E" w:rsidRDefault="00E37FDB" w:rsidP="00A5158F">
      <w:r>
        <w:t xml:space="preserve">Inspector-General of Biosecurity 2017, </w:t>
      </w:r>
      <w:r>
        <w:rPr>
          <w:rStyle w:val="Emphasis"/>
        </w:rPr>
        <w:t>Uncooked prawn imports: effectiveness of biosecurity controls</w:t>
      </w:r>
      <w:r>
        <w:t>, Department of Agriculture and Water Resources, Canberra.</w:t>
      </w:r>
    </w:p>
    <w:p w14:paraId="4C5EE82F" w14:textId="77777777" w:rsidR="00CC703E" w:rsidRDefault="00E37FDB" w:rsidP="00A5158F">
      <w:r>
        <w:t xml:space="preserve">This publication is available at </w:t>
      </w:r>
      <w:hyperlink r:id="rId13" w:history="1">
        <w:r>
          <w:rPr>
            <w:rStyle w:val="Hyperlink"/>
          </w:rPr>
          <w:t>igb.gov.au/Pages/completed-audits-and-reviews.aspx</w:t>
        </w:r>
      </w:hyperlink>
      <w:r>
        <w:t>.</w:t>
      </w:r>
    </w:p>
    <w:p w14:paraId="6FFE3108" w14:textId="77777777" w:rsidR="00CC703E" w:rsidRDefault="00E37FDB" w:rsidP="00A5158F">
      <w:pPr>
        <w:spacing w:before="0" w:after="0"/>
      </w:pPr>
      <w:r>
        <w:t>Inspector-General of Biosecurity</w:t>
      </w:r>
    </w:p>
    <w:p w14:paraId="05ABF792" w14:textId="77777777" w:rsidR="00CC703E" w:rsidRDefault="00E37FDB" w:rsidP="00A5158F">
      <w:pPr>
        <w:spacing w:before="0" w:after="0"/>
      </w:pPr>
      <w:r>
        <w:t>c/o Department of Agriculture and Water Resources</w:t>
      </w:r>
    </w:p>
    <w:p w14:paraId="314552AA" w14:textId="5C401A64" w:rsidR="00CC703E" w:rsidRDefault="00E37FDB" w:rsidP="00A5158F">
      <w:pPr>
        <w:spacing w:before="0" w:after="0"/>
      </w:pPr>
      <w:r>
        <w:t>PO Box 657</w:t>
      </w:r>
    </w:p>
    <w:p w14:paraId="4B810731" w14:textId="77777777" w:rsidR="00CC703E" w:rsidRDefault="00E37FDB" w:rsidP="00A5158F">
      <w:pPr>
        <w:spacing w:before="0" w:after="0"/>
      </w:pPr>
      <w:r>
        <w:t>Mascot NSW 1460</w:t>
      </w:r>
    </w:p>
    <w:p w14:paraId="2FFDCEEC" w14:textId="77777777" w:rsidR="00CC703E" w:rsidRDefault="00E37FDB" w:rsidP="00A5158F">
      <w:pPr>
        <w:spacing w:before="0" w:after="0"/>
      </w:pPr>
      <w:r>
        <w:t>Switchboard +61 2 6272 3933</w:t>
      </w:r>
    </w:p>
    <w:p w14:paraId="36F811B2" w14:textId="77777777" w:rsidR="00CC703E" w:rsidRDefault="00E37FDB" w:rsidP="00A5158F">
      <w:pPr>
        <w:spacing w:before="0" w:after="0"/>
      </w:pPr>
      <w:r>
        <w:t xml:space="preserve">Email </w:t>
      </w:r>
      <w:hyperlink r:id="rId14" w:history="1">
        <w:r>
          <w:rPr>
            <w:rStyle w:val="Hyperlink"/>
          </w:rPr>
          <w:t>inspgenbiosecurity@agriculture.gov.au</w:t>
        </w:r>
      </w:hyperlink>
    </w:p>
    <w:p w14:paraId="65CBAAF6" w14:textId="77777777" w:rsidR="00CC703E" w:rsidRDefault="00E37FDB" w:rsidP="00A5158F">
      <w:pPr>
        <w:spacing w:before="0" w:after="0"/>
      </w:pPr>
      <w:r>
        <w:t xml:space="preserve">Web </w:t>
      </w:r>
      <w:hyperlink r:id="rId15" w:history="1">
        <w:r>
          <w:rPr>
            <w:rStyle w:val="Hyperlink"/>
          </w:rPr>
          <w:t>igb.gov.au/Pages/default.aspx</w:t>
        </w:r>
      </w:hyperlink>
    </w:p>
    <w:p w14:paraId="516A7C47" w14:textId="77777777" w:rsidR="00CC703E" w:rsidRDefault="00E37FDB" w:rsidP="00A5158F">
      <w:r>
        <w:t>The Australian Government, represented by the Inspector-General of Biosecurity, has exercised due care and skill in preparing and compiling the information and data in this publication. Notwithstanding, the Inspector-General of Biosecurity, the Australian Government’s employees and advisers disclaim all liability, including for negligence and for any loss, damage, injury, expense or cost incurred by any person as a result of accessing, using or relying on information or data in this publication to the maximum extent permitted by law.</w:t>
      </w:r>
    </w:p>
    <w:p w14:paraId="7D2E929F" w14:textId="77777777" w:rsidR="00CC703E" w:rsidRDefault="00E37FDB" w:rsidP="00A5158F">
      <w:pPr>
        <w:rPr>
          <w:rStyle w:val="Strong"/>
        </w:rPr>
      </w:pPr>
      <w:r>
        <w:rPr>
          <w:rStyle w:val="Strong"/>
        </w:rPr>
        <w:t>Credits</w:t>
      </w:r>
    </w:p>
    <w:p w14:paraId="7EBBCE00" w14:textId="7EA75B18" w:rsidR="00CC703E" w:rsidRDefault="00E37FDB" w:rsidP="00A5158F">
      <w:r>
        <w:t>Photographs courtesy of the Department of Agriculture and Water Resources</w:t>
      </w:r>
      <w:r w:rsidR="001B5D47">
        <w:t xml:space="preserve"> and Dr</w:t>
      </w:r>
      <w:r w:rsidR="00C44DFC" w:rsidRPr="00C44DFC">
        <w:t> </w:t>
      </w:r>
      <w:r w:rsidR="001B5D47">
        <w:t>Helen</w:t>
      </w:r>
      <w:r w:rsidR="00C44DFC" w:rsidRPr="00C44DFC">
        <w:t> </w:t>
      </w:r>
      <w:r w:rsidR="001B5D47">
        <w:t>Scott-Orr</w:t>
      </w:r>
      <w:r>
        <w:t>.</w:t>
      </w:r>
      <w:r>
        <w:rPr>
          <w:b/>
          <w:bCs/>
        </w:rPr>
        <w:br w:type="page"/>
      </w:r>
    </w:p>
    <w:sdt>
      <w:sdtPr>
        <w:rPr>
          <w:rFonts w:ascii="Calibri" w:hAnsi="Calibri"/>
          <w:b w:val="0"/>
          <w:bCs/>
          <w:color w:val="auto"/>
          <w:sz w:val="24"/>
          <w:szCs w:val="22"/>
          <w:lang w:val="en-AU"/>
        </w:rPr>
        <w:id w:val="1274512769"/>
        <w:docPartObj>
          <w:docPartGallery w:val="Table of Contents"/>
          <w:docPartUnique/>
        </w:docPartObj>
      </w:sdtPr>
      <w:sdtEndPr>
        <w:rPr>
          <w:rFonts w:asciiTheme="minorHAnsi" w:hAnsiTheme="minorHAnsi"/>
          <w:bCs w:val="0"/>
          <w:noProof/>
        </w:rPr>
      </w:sdtEndPr>
      <w:sdtContent>
        <w:p w14:paraId="05DADA1A" w14:textId="77777777" w:rsidR="00CC703E" w:rsidRDefault="00E37FDB" w:rsidP="00A5158F">
          <w:pPr>
            <w:pStyle w:val="TOCHeading"/>
          </w:pPr>
          <w:r>
            <w:t>Contents</w:t>
          </w:r>
        </w:p>
        <w:p w14:paraId="77B99634" w14:textId="77777777" w:rsidR="00466AC7" w:rsidRDefault="00D978CB">
          <w:pPr>
            <w:pStyle w:val="TOC1"/>
            <w:rPr>
              <w:rFonts w:eastAsiaTheme="minorEastAsia" w:cstheme="minorBidi"/>
              <w:b w:val="0"/>
              <w:noProof/>
              <w:sz w:val="22"/>
              <w:szCs w:val="22"/>
              <w:lang w:eastAsia="en-AU"/>
            </w:rPr>
          </w:pPr>
          <w:r>
            <w:rPr>
              <w:bCs/>
            </w:rPr>
            <w:fldChar w:fldCharType="begin"/>
          </w:r>
          <w:r>
            <w:rPr>
              <w:bCs/>
            </w:rPr>
            <w:instrText xml:space="preserve"> TOC \h \z \t "Heading 2,1,Heading 3,2" </w:instrText>
          </w:r>
          <w:r>
            <w:rPr>
              <w:bCs/>
            </w:rPr>
            <w:fldChar w:fldCharType="separate"/>
          </w:r>
          <w:hyperlink w:anchor="_Toc500508375" w:history="1">
            <w:r w:rsidR="00466AC7" w:rsidRPr="005E5AE6">
              <w:rPr>
                <w:rStyle w:val="Hyperlink"/>
                <w:rFonts w:ascii="Calibri" w:hAnsi="Calibri"/>
                <w:noProof/>
              </w:rPr>
              <w:t>1</w:t>
            </w:r>
            <w:r w:rsidR="00466AC7">
              <w:rPr>
                <w:rFonts w:eastAsiaTheme="minorEastAsia" w:cstheme="minorBidi"/>
                <w:b w:val="0"/>
                <w:noProof/>
                <w:sz w:val="22"/>
                <w:szCs w:val="22"/>
                <w:lang w:eastAsia="en-AU"/>
              </w:rPr>
              <w:tab/>
            </w:r>
            <w:r w:rsidR="00466AC7" w:rsidRPr="005E5AE6">
              <w:rPr>
                <w:rStyle w:val="Hyperlink"/>
                <w:noProof/>
              </w:rPr>
              <w:t>Background</w:t>
            </w:r>
            <w:r w:rsidR="00466AC7">
              <w:rPr>
                <w:noProof/>
                <w:webHidden/>
              </w:rPr>
              <w:tab/>
            </w:r>
            <w:r w:rsidR="00466AC7">
              <w:rPr>
                <w:noProof/>
                <w:webHidden/>
              </w:rPr>
              <w:fldChar w:fldCharType="begin"/>
            </w:r>
            <w:r w:rsidR="00466AC7">
              <w:rPr>
                <w:noProof/>
                <w:webHidden/>
              </w:rPr>
              <w:instrText xml:space="preserve"> PAGEREF _Toc500508375 \h </w:instrText>
            </w:r>
            <w:r w:rsidR="00466AC7">
              <w:rPr>
                <w:noProof/>
                <w:webHidden/>
              </w:rPr>
            </w:r>
            <w:r w:rsidR="00466AC7">
              <w:rPr>
                <w:noProof/>
                <w:webHidden/>
              </w:rPr>
              <w:fldChar w:fldCharType="separate"/>
            </w:r>
            <w:r w:rsidR="00121BC1">
              <w:rPr>
                <w:noProof/>
                <w:webHidden/>
              </w:rPr>
              <w:t>1</w:t>
            </w:r>
            <w:r w:rsidR="00466AC7">
              <w:rPr>
                <w:noProof/>
                <w:webHidden/>
              </w:rPr>
              <w:fldChar w:fldCharType="end"/>
            </w:r>
          </w:hyperlink>
        </w:p>
        <w:p w14:paraId="25C42F05" w14:textId="77777777" w:rsidR="00466AC7" w:rsidRDefault="00F329C0">
          <w:pPr>
            <w:pStyle w:val="TOC2"/>
            <w:rPr>
              <w:rFonts w:eastAsiaTheme="minorEastAsia" w:cstheme="minorBidi"/>
              <w:iCs w:val="0"/>
              <w:sz w:val="22"/>
              <w:szCs w:val="22"/>
              <w:lang w:eastAsia="en-AU"/>
            </w:rPr>
          </w:pPr>
          <w:hyperlink w:anchor="_Toc500508376" w:history="1">
            <w:r w:rsidR="00466AC7" w:rsidRPr="005E5AE6">
              <w:rPr>
                <w:rStyle w:val="Hyperlink"/>
                <w:rFonts w:ascii="Calibri" w:hAnsi="Calibri"/>
              </w:rPr>
              <w:t>1.1</w:t>
            </w:r>
            <w:r w:rsidR="00466AC7">
              <w:rPr>
                <w:rFonts w:eastAsiaTheme="minorEastAsia" w:cstheme="minorBidi"/>
                <w:iCs w:val="0"/>
                <w:sz w:val="22"/>
                <w:szCs w:val="22"/>
                <w:lang w:eastAsia="en-AU"/>
              </w:rPr>
              <w:tab/>
            </w:r>
            <w:r w:rsidR="00466AC7" w:rsidRPr="005E5AE6">
              <w:rPr>
                <w:rStyle w:val="Hyperlink"/>
              </w:rPr>
              <w:t>Origins and scope of review</w:t>
            </w:r>
            <w:r w:rsidR="00466AC7">
              <w:rPr>
                <w:webHidden/>
              </w:rPr>
              <w:tab/>
            </w:r>
            <w:r w:rsidR="00466AC7">
              <w:rPr>
                <w:webHidden/>
              </w:rPr>
              <w:fldChar w:fldCharType="begin"/>
            </w:r>
            <w:r w:rsidR="00466AC7">
              <w:rPr>
                <w:webHidden/>
              </w:rPr>
              <w:instrText xml:space="preserve"> PAGEREF _Toc500508376 \h </w:instrText>
            </w:r>
            <w:r w:rsidR="00466AC7">
              <w:rPr>
                <w:webHidden/>
              </w:rPr>
            </w:r>
            <w:r w:rsidR="00466AC7">
              <w:rPr>
                <w:webHidden/>
              </w:rPr>
              <w:fldChar w:fldCharType="separate"/>
            </w:r>
            <w:r w:rsidR="00121BC1">
              <w:rPr>
                <w:webHidden/>
              </w:rPr>
              <w:t>1</w:t>
            </w:r>
            <w:r w:rsidR="00466AC7">
              <w:rPr>
                <w:webHidden/>
              </w:rPr>
              <w:fldChar w:fldCharType="end"/>
            </w:r>
          </w:hyperlink>
        </w:p>
        <w:p w14:paraId="724C9C78" w14:textId="77777777" w:rsidR="00466AC7" w:rsidRDefault="00F329C0">
          <w:pPr>
            <w:pStyle w:val="TOC2"/>
            <w:rPr>
              <w:rFonts w:eastAsiaTheme="minorEastAsia" w:cstheme="minorBidi"/>
              <w:iCs w:val="0"/>
              <w:sz w:val="22"/>
              <w:szCs w:val="22"/>
              <w:lang w:eastAsia="en-AU"/>
            </w:rPr>
          </w:pPr>
          <w:hyperlink w:anchor="_Toc500508377" w:history="1">
            <w:r w:rsidR="00466AC7" w:rsidRPr="005E5AE6">
              <w:rPr>
                <w:rStyle w:val="Hyperlink"/>
                <w:rFonts w:ascii="Calibri" w:hAnsi="Calibri"/>
              </w:rPr>
              <w:t>1.2</w:t>
            </w:r>
            <w:r w:rsidR="00466AC7">
              <w:rPr>
                <w:rFonts w:eastAsiaTheme="minorEastAsia" w:cstheme="minorBidi"/>
                <w:iCs w:val="0"/>
                <w:sz w:val="22"/>
                <w:szCs w:val="22"/>
                <w:lang w:eastAsia="en-AU"/>
              </w:rPr>
              <w:tab/>
            </w:r>
            <w:r w:rsidR="00466AC7" w:rsidRPr="005E5AE6">
              <w:rPr>
                <w:rStyle w:val="Hyperlink"/>
              </w:rPr>
              <w:t>Senate inquiry</w:t>
            </w:r>
            <w:r w:rsidR="00466AC7">
              <w:rPr>
                <w:webHidden/>
              </w:rPr>
              <w:tab/>
            </w:r>
            <w:r w:rsidR="00466AC7">
              <w:rPr>
                <w:webHidden/>
              </w:rPr>
              <w:fldChar w:fldCharType="begin"/>
            </w:r>
            <w:r w:rsidR="00466AC7">
              <w:rPr>
                <w:webHidden/>
              </w:rPr>
              <w:instrText xml:space="preserve"> PAGEREF _Toc500508377 \h </w:instrText>
            </w:r>
            <w:r w:rsidR="00466AC7">
              <w:rPr>
                <w:webHidden/>
              </w:rPr>
            </w:r>
            <w:r w:rsidR="00466AC7">
              <w:rPr>
                <w:webHidden/>
              </w:rPr>
              <w:fldChar w:fldCharType="separate"/>
            </w:r>
            <w:r w:rsidR="00121BC1">
              <w:rPr>
                <w:webHidden/>
              </w:rPr>
              <w:t>1</w:t>
            </w:r>
            <w:r w:rsidR="00466AC7">
              <w:rPr>
                <w:webHidden/>
              </w:rPr>
              <w:fldChar w:fldCharType="end"/>
            </w:r>
          </w:hyperlink>
        </w:p>
        <w:p w14:paraId="001B96A4" w14:textId="77777777" w:rsidR="00466AC7" w:rsidRDefault="00F329C0">
          <w:pPr>
            <w:pStyle w:val="TOC2"/>
            <w:rPr>
              <w:rFonts w:eastAsiaTheme="minorEastAsia" w:cstheme="minorBidi"/>
              <w:iCs w:val="0"/>
              <w:sz w:val="22"/>
              <w:szCs w:val="22"/>
              <w:lang w:eastAsia="en-AU"/>
            </w:rPr>
          </w:pPr>
          <w:hyperlink w:anchor="_Toc500508378" w:history="1">
            <w:r w:rsidR="00466AC7" w:rsidRPr="005E5AE6">
              <w:rPr>
                <w:rStyle w:val="Hyperlink"/>
                <w:rFonts w:ascii="Calibri" w:hAnsi="Calibri"/>
              </w:rPr>
              <w:t>1.3</w:t>
            </w:r>
            <w:r w:rsidR="00466AC7">
              <w:rPr>
                <w:rFonts w:eastAsiaTheme="minorEastAsia" w:cstheme="minorBidi"/>
                <w:iCs w:val="0"/>
                <w:sz w:val="22"/>
                <w:szCs w:val="22"/>
                <w:lang w:eastAsia="en-AU"/>
              </w:rPr>
              <w:tab/>
            </w:r>
            <w:r w:rsidR="00466AC7" w:rsidRPr="005E5AE6">
              <w:rPr>
                <w:rStyle w:val="Hyperlink"/>
              </w:rPr>
              <w:t>Conduct of review</w:t>
            </w:r>
            <w:r w:rsidR="00466AC7">
              <w:rPr>
                <w:webHidden/>
              </w:rPr>
              <w:tab/>
            </w:r>
            <w:r w:rsidR="00466AC7">
              <w:rPr>
                <w:webHidden/>
              </w:rPr>
              <w:fldChar w:fldCharType="begin"/>
            </w:r>
            <w:r w:rsidR="00466AC7">
              <w:rPr>
                <w:webHidden/>
              </w:rPr>
              <w:instrText xml:space="preserve"> PAGEREF _Toc500508378 \h </w:instrText>
            </w:r>
            <w:r w:rsidR="00466AC7">
              <w:rPr>
                <w:webHidden/>
              </w:rPr>
            </w:r>
            <w:r w:rsidR="00466AC7">
              <w:rPr>
                <w:webHidden/>
              </w:rPr>
              <w:fldChar w:fldCharType="separate"/>
            </w:r>
            <w:r w:rsidR="00121BC1">
              <w:rPr>
                <w:webHidden/>
              </w:rPr>
              <w:t>2</w:t>
            </w:r>
            <w:r w:rsidR="00466AC7">
              <w:rPr>
                <w:webHidden/>
              </w:rPr>
              <w:fldChar w:fldCharType="end"/>
            </w:r>
          </w:hyperlink>
        </w:p>
        <w:p w14:paraId="3D6ECC8C" w14:textId="77777777" w:rsidR="00466AC7" w:rsidRDefault="00F329C0">
          <w:pPr>
            <w:pStyle w:val="TOC1"/>
            <w:rPr>
              <w:rFonts w:eastAsiaTheme="minorEastAsia" w:cstheme="minorBidi"/>
              <w:b w:val="0"/>
              <w:noProof/>
              <w:sz w:val="22"/>
              <w:szCs w:val="22"/>
              <w:lang w:eastAsia="en-AU"/>
            </w:rPr>
          </w:pPr>
          <w:hyperlink w:anchor="_Toc500508379" w:history="1">
            <w:r w:rsidR="00466AC7" w:rsidRPr="005E5AE6">
              <w:rPr>
                <w:rStyle w:val="Hyperlink"/>
                <w:rFonts w:ascii="Calibri" w:hAnsi="Calibri"/>
                <w:noProof/>
              </w:rPr>
              <w:t>2</w:t>
            </w:r>
            <w:r w:rsidR="00466AC7">
              <w:rPr>
                <w:rFonts w:eastAsiaTheme="minorEastAsia" w:cstheme="minorBidi"/>
                <w:b w:val="0"/>
                <w:noProof/>
                <w:sz w:val="22"/>
                <w:szCs w:val="22"/>
                <w:lang w:eastAsia="en-AU"/>
              </w:rPr>
              <w:tab/>
            </w:r>
            <w:r w:rsidR="00466AC7" w:rsidRPr="005E5AE6">
              <w:rPr>
                <w:rStyle w:val="Hyperlink"/>
                <w:noProof/>
              </w:rPr>
              <w:t>White spot disease outbreak in south-east Queensland, 2016</w:t>
            </w:r>
            <w:r w:rsidR="00466AC7" w:rsidRPr="005E5AE6">
              <w:rPr>
                <w:rStyle w:val="Hyperlink"/>
                <w:rFonts w:ascii="Calibri" w:hAnsi="Calibri"/>
                <w:noProof/>
              </w:rPr>
              <w:t>–</w:t>
            </w:r>
            <w:r w:rsidR="00466AC7" w:rsidRPr="005E5AE6">
              <w:rPr>
                <w:rStyle w:val="Hyperlink"/>
                <w:noProof/>
              </w:rPr>
              <w:t>17</w:t>
            </w:r>
            <w:r w:rsidR="00466AC7">
              <w:rPr>
                <w:noProof/>
                <w:webHidden/>
              </w:rPr>
              <w:tab/>
            </w:r>
            <w:r w:rsidR="00466AC7">
              <w:rPr>
                <w:noProof/>
                <w:webHidden/>
              </w:rPr>
              <w:fldChar w:fldCharType="begin"/>
            </w:r>
            <w:r w:rsidR="00466AC7">
              <w:rPr>
                <w:noProof/>
                <w:webHidden/>
              </w:rPr>
              <w:instrText xml:space="preserve"> PAGEREF _Toc500508379 \h </w:instrText>
            </w:r>
            <w:r w:rsidR="00466AC7">
              <w:rPr>
                <w:noProof/>
                <w:webHidden/>
              </w:rPr>
            </w:r>
            <w:r w:rsidR="00466AC7">
              <w:rPr>
                <w:noProof/>
                <w:webHidden/>
              </w:rPr>
              <w:fldChar w:fldCharType="separate"/>
            </w:r>
            <w:r w:rsidR="00121BC1">
              <w:rPr>
                <w:noProof/>
                <w:webHidden/>
              </w:rPr>
              <w:t>3</w:t>
            </w:r>
            <w:r w:rsidR="00466AC7">
              <w:rPr>
                <w:noProof/>
                <w:webHidden/>
              </w:rPr>
              <w:fldChar w:fldCharType="end"/>
            </w:r>
          </w:hyperlink>
        </w:p>
        <w:p w14:paraId="5EA9EED3" w14:textId="77777777" w:rsidR="00466AC7" w:rsidRDefault="00F329C0">
          <w:pPr>
            <w:pStyle w:val="TOC2"/>
            <w:rPr>
              <w:rFonts w:eastAsiaTheme="minorEastAsia" w:cstheme="minorBidi"/>
              <w:iCs w:val="0"/>
              <w:sz w:val="22"/>
              <w:szCs w:val="22"/>
              <w:lang w:eastAsia="en-AU"/>
            </w:rPr>
          </w:pPr>
          <w:hyperlink w:anchor="_Toc500508380" w:history="1">
            <w:r w:rsidR="00466AC7" w:rsidRPr="005E5AE6">
              <w:rPr>
                <w:rStyle w:val="Hyperlink"/>
                <w:rFonts w:ascii="Calibri" w:hAnsi="Calibri"/>
              </w:rPr>
              <w:t>2.1</w:t>
            </w:r>
            <w:r w:rsidR="00466AC7">
              <w:rPr>
                <w:rFonts w:eastAsiaTheme="minorEastAsia" w:cstheme="minorBidi"/>
                <w:iCs w:val="0"/>
                <w:sz w:val="22"/>
                <w:szCs w:val="22"/>
                <w:lang w:eastAsia="en-AU"/>
              </w:rPr>
              <w:tab/>
            </w:r>
            <w:r w:rsidR="00466AC7" w:rsidRPr="005E5AE6">
              <w:rPr>
                <w:rStyle w:val="Hyperlink"/>
              </w:rPr>
              <w:t>Outbreak and disease control in prawn farms near the Logan River</w:t>
            </w:r>
            <w:r w:rsidR="00466AC7">
              <w:rPr>
                <w:webHidden/>
              </w:rPr>
              <w:tab/>
            </w:r>
            <w:r w:rsidR="00466AC7">
              <w:rPr>
                <w:webHidden/>
              </w:rPr>
              <w:fldChar w:fldCharType="begin"/>
            </w:r>
            <w:r w:rsidR="00466AC7">
              <w:rPr>
                <w:webHidden/>
              </w:rPr>
              <w:instrText xml:space="preserve"> PAGEREF _Toc500508380 \h </w:instrText>
            </w:r>
            <w:r w:rsidR="00466AC7">
              <w:rPr>
                <w:webHidden/>
              </w:rPr>
            </w:r>
            <w:r w:rsidR="00466AC7">
              <w:rPr>
                <w:webHidden/>
              </w:rPr>
              <w:fldChar w:fldCharType="separate"/>
            </w:r>
            <w:r w:rsidR="00121BC1">
              <w:rPr>
                <w:webHidden/>
              </w:rPr>
              <w:t>3</w:t>
            </w:r>
            <w:r w:rsidR="00466AC7">
              <w:rPr>
                <w:webHidden/>
              </w:rPr>
              <w:fldChar w:fldCharType="end"/>
            </w:r>
          </w:hyperlink>
        </w:p>
        <w:p w14:paraId="383C0652" w14:textId="77777777" w:rsidR="00466AC7" w:rsidRDefault="00F329C0">
          <w:pPr>
            <w:pStyle w:val="TOC2"/>
            <w:rPr>
              <w:rFonts w:eastAsiaTheme="minorEastAsia" w:cstheme="minorBidi"/>
              <w:iCs w:val="0"/>
              <w:sz w:val="22"/>
              <w:szCs w:val="22"/>
              <w:lang w:eastAsia="en-AU"/>
            </w:rPr>
          </w:pPr>
          <w:hyperlink w:anchor="_Toc500508381" w:history="1">
            <w:r w:rsidR="00466AC7" w:rsidRPr="005E5AE6">
              <w:rPr>
                <w:rStyle w:val="Hyperlink"/>
                <w:rFonts w:ascii="Calibri" w:hAnsi="Calibri"/>
              </w:rPr>
              <w:t>2.2</w:t>
            </w:r>
            <w:r w:rsidR="00466AC7">
              <w:rPr>
                <w:rFonts w:eastAsiaTheme="minorEastAsia" w:cstheme="minorBidi"/>
                <w:iCs w:val="0"/>
                <w:sz w:val="22"/>
                <w:szCs w:val="22"/>
                <w:lang w:eastAsia="en-AU"/>
              </w:rPr>
              <w:tab/>
            </w:r>
            <w:r w:rsidR="00466AC7" w:rsidRPr="005E5AE6">
              <w:rPr>
                <w:rStyle w:val="Hyperlink"/>
              </w:rPr>
              <w:t>Spread to wild crustaceans and further control measures</w:t>
            </w:r>
            <w:r w:rsidR="00466AC7">
              <w:rPr>
                <w:webHidden/>
              </w:rPr>
              <w:tab/>
            </w:r>
            <w:r w:rsidR="00466AC7">
              <w:rPr>
                <w:webHidden/>
              </w:rPr>
              <w:fldChar w:fldCharType="begin"/>
            </w:r>
            <w:r w:rsidR="00466AC7">
              <w:rPr>
                <w:webHidden/>
              </w:rPr>
              <w:instrText xml:space="preserve"> PAGEREF _Toc500508381 \h </w:instrText>
            </w:r>
            <w:r w:rsidR="00466AC7">
              <w:rPr>
                <w:webHidden/>
              </w:rPr>
            </w:r>
            <w:r w:rsidR="00466AC7">
              <w:rPr>
                <w:webHidden/>
              </w:rPr>
              <w:fldChar w:fldCharType="separate"/>
            </w:r>
            <w:r w:rsidR="00121BC1">
              <w:rPr>
                <w:webHidden/>
              </w:rPr>
              <w:t>4</w:t>
            </w:r>
            <w:r w:rsidR="00466AC7">
              <w:rPr>
                <w:webHidden/>
              </w:rPr>
              <w:fldChar w:fldCharType="end"/>
            </w:r>
          </w:hyperlink>
        </w:p>
        <w:p w14:paraId="71CB4051" w14:textId="77777777" w:rsidR="00466AC7" w:rsidRDefault="00F329C0">
          <w:pPr>
            <w:pStyle w:val="TOC2"/>
            <w:rPr>
              <w:rFonts w:eastAsiaTheme="minorEastAsia" w:cstheme="minorBidi"/>
              <w:iCs w:val="0"/>
              <w:sz w:val="22"/>
              <w:szCs w:val="22"/>
              <w:lang w:eastAsia="en-AU"/>
            </w:rPr>
          </w:pPr>
          <w:hyperlink w:anchor="_Toc500508382" w:history="1">
            <w:r w:rsidR="00466AC7" w:rsidRPr="005E5AE6">
              <w:rPr>
                <w:rStyle w:val="Hyperlink"/>
                <w:rFonts w:ascii="Calibri" w:hAnsi="Calibri"/>
              </w:rPr>
              <w:t>2.3</w:t>
            </w:r>
            <w:r w:rsidR="00466AC7">
              <w:rPr>
                <w:rFonts w:eastAsiaTheme="minorEastAsia" w:cstheme="minorBidi"/>
                <w:iCs w:val="0"/>
                <w:sz w:val="22"/>
                <w:szCs w:val="22"/>
                <w:lang w:eastAsia="en-AU"/>
              </w:rPr>
              <w:tab/>
            </w:r>
            <w:r w:rsidR="00466AC7" w:rsidRPr="005E5AE6">
              <w:rPr>
                <w:rStyle w:val="Hyperlink"/>
              </w:rPr>
              <w:t>WSD outbreak costs</w:t>
            </w:r>
            <w:r w:rsidR="00466AC7">
              <w:rPr>
                <w:webHidden/>
              </w:rPr>
              <w:tab/>
            </w:r>
            <w:r w:rsidR="00466AC7">
              <w:rPr>
                <w:webHidden/>
              </w:rPr>
              <w:fldChar w:fldCharType="begin"/>
            </w:r>
            <w:r w:rsidR="00466AC7">
              <w:rPr>
                <w:webHidden/>
              </w:rPr>
              <w:instrText xml:space="preserve"> PAGEREF _Toc500508382 \h </w:instrText>
            </w:r>
            <w:r w:rsidR="00466AC7">
              <w:rPr>
                <w:webHidden/>
              </w:rPr>
            </w:r>
            <w:r w:rsidR="00466AC7">
              <w:rPr>
                <w:webHidden/>
              </w:rPr>
              <w:fldChar w:fldCharType="separate"/>
            </w:r>
            <w:r w:rsidR="00121BC1">
              <w:rPr>
                <w:webHidden/>
              </w:rPr>
              <w:t>9</w:t>
            </w:r>
            <w:r w:rsidR="00466AC7">
              <w:rPr>
                <w:webHidden/>
              </w:rPr>
              <w:fldChar w:fldCharType="end"/>
            </w:r>
          </w:hyperlink>
        </w:p>
        <w:p w14:paraId="5450F49D" w14:textId="01A8D440" w:rsidR="00466AC7" w:rsidRDefault="00F329C0" w:rsidP="00466AC7">
          <w:pPr>
            <w:pStyle w:val="TOC2"/>
            <w:rPr>
              <w:rFonts w:eastAsiaTheme="minorEastAsia" w:cstheme="minorBidi"/>
              <w:iCs w:val="0"/>
              <w:sz w:val="22"/>
              <w:szCs w:val="22"/>
              <w:lang w:eastAsia="en-AU"/>
            </w:rPr>
          </w:pPr>
          <w:hyperlink w:anchor="_Toc500508383" w:history="1">
            <w:r w:rsidR="00466AC7" w:rsidRPr="005E5AE6">
              <w:rPr>
                <w:rStyle w:val="Hyperlink"/>
                <w:rFonts w:ascii="Calibri" w:hAnsi="Calibri"/>
              </w:rPr>
              <w:t>2.4</w:t>
            </w:r>
            <w:r w:rsidR="00466AC7">
              <w:rPr>
                <w:rFonts w:eastAsiaTheme="minorEastAsia" w:cstheme="minorBidi"/>
                <w:iCs w:val="0"/>
                <w:sz w:val="22"/>
                <w:szCs w:val="22"/>
                <w:lang w:eastAsia="en-AU"/>
              </w:rPr>
              <w:tab/>
            </w:r>
            <w:r w:rsidR="00466AC7" w:rsidRPr="005E5AE6">
              <w:rPr>
                <w:rStyle w:val="Hyperlink"/>
              </w:rPr>
              <w:t>Source of infection of 1IP, Logan River</w:t>
            </w:r>
            <w:r w:rsidR="00466AC7">
              <w:rPr>
                <w:webHidden/>
              </w:rPr>
              <w:tab/>
            </w:r>
            <w:r w:rsidR="00466AC7">
              <w:rPr>
                <w:webHidden/>
              </w:rPr>
              <w:fldChar w:fldCharType="begin"/>
            </w:r>
            <w:r w:rsidR="00466AC7">
              <w:rPr>
                <w:webHidden/>
              </w:rPr>
              <w:instrText xml:space="preserve"> PAGEREF _Toc500508383 \h </w:instrText>
            </w:r>
            <w:r w:rsidR="00466AC7">
              <w:rPr>
                <w:webHidden/>
              </w:rPr>
            </w:r>
            <w:r w:rsidR="00466AC7">
              <w:rPr>
                <w:webHidden/>
              </w:rPr>
              <w:fldChar w:fldCharType="separate"/>
            </w:r>
            <w:r w:rsidR="00121BC1">
              <w:rPr>
                <w:webHidden/>
              </w:rPr>
              <w:t>10</w:t>
            </w:r>
            <w:r w:rsidR="00466AC7">
              <w:rPr>
                <w:webHidden/>
              </w:rPr>
              <w:fldChar w:fldCharType="end"/>
            </w:r>
          </w:hyperlink>
        </w:p>
        <w:p w14:paraId="40C51CC7" w14:textId="77777777" w:rsidR="00466AC7" w:rsidRDefault="00F329C0">
          <w:pPr>
            <w:pStyle w:val="TOC2"/>
            <w:rPr>
              <w:rFonts w:eastAsiaTheme="minorEastAsia" w:cstheme="minorBidi"/>
              <w:iCs w:val="0"/>
              <w:sz w:val="22"/>
              <w:szCs w:val="22"/>
              <w:lang w:eastAsia="en-AU"/>
            </w:rPr>
          </w:pPr>
          <w:hyperlink w:anchor="_Toc500508385" w:history="1">
            <w:r w:rsidR="00466AC7" w:rsidRPr="005E5AE6">
              <w:rPr>
                <w:rStyle w:val="Hyperlink"/>
                <w:rFonts w:ascii="Calibri" w:hAnsi="Calibri"/>
              </w:rPr>
              <w:t>2.5</w:t>
            </w:r>
            <w:r w:rsidR="00466AC7">
              <w:rPr>
                <w:rFonts w:eastAsiaTheme="minorEastAsia" w:cstheme="minorBidi"/>
                <w:iCs w:val="0"/>
                <w:sz w:val="22"/>
                <w:szCs w:val="22"/>
                <w:lang w:eastAsia="en-AU"/>
              </w:rPr>
              <w:tab/>
            </w:r>
            <w:r w:rsidR="00466AC7" w:rsidRPr="005E5AE6">
              <w:rPr>
                <w:rStyle w:val="Hyperlink"/>
              </w:rPr>
              <w:t>Risks of uncooked prawn imports into Australia led to import suspension, January 2017</w:t>
            </w:r>
            <w:r w:rsidR="00466AC7">
              <w:rPr>
                <w:webHidden/>
              </w:rPr>
              <w:tab/>
            </w:r>
            <w:r w:rsidR="00466AC7">
              <w:rPr>
                <w:webHidden/>
              </w:rPr>
              <w:fldChar w:fldCharType="begin"/>
            </w:r>
            <w:r w:rsidR="00466AC7">
              <w:rPr>
                <w:webHidden/>
              </w:rPr>
              <w:instrText xml:space="preserve"> PAGEREF _Toc500508385 \h </w:instrText>
            </w:r>
            <w:r w:rsidR="00466AC7">
              <w:rPr>
                <w:webHidden/>
              </w:rPr>
            </w:r>
            <w:r w:rsidR="00466AC7">
              <w:rPr>
                <w:webHidden/>
              </w:rPr>
              <w:fldChar w:fldCharType="separate"/>
            </w:r>
            <w:r w:rsidR="00121BC1">
              <w:rPr>
                <w:webHidden/>
              </w:rPr>
              <w:t>14</w:t>
            </w:r>
            <w:r w:rsidR="00466AC7">
              <w:rPr>
                <w:webHidden/>
              </w:rPr>
              <w:fldChar w:fldCharType="end"/>
            </w:r>
          </w:hyperlink>
        </w:p>
        <w:p w14:paraId="64EDCDCA" w14:textId="77777777" w:rsidR="00466AC7" w:rsidRDefault="00F329C0">
          <w:pPr>
            <w:pStyle w:val="TOC1"/>
            <w:rPr>
              <w:rFonts w:eastAsiaTheme="minorEastAsia" w:cstheme="minorBidi"/>
              <w:b w:val="0"/>
              <w:noProof/>
              <w:sz w:val="22"/>
              <w:szCs w:val="22"/>
              <w:lang w:eastAsia="en-AU"/>
            </w:rPr>
          </w:pPr>
          <w:hyperlink w:anchor="_Toc500508386" w:history="1">
            <w:r w:rsidR="00466AC7" w:rsidRPr="005E5AE6">
              <w:rPr>
                <w:rStyle w:val="Hyperlink"/>
                <w:rFonts w:ascii="Calibri" w:hAnsi="Calibri"/>
                <w:noProof/>
              </w:rPr>
              <w:t>3</w:t>
            </w:r>
            <w:r w:rsidR="00466AC7">
              <w:rPr>
                <w:rFonts w:eastAsiaTheme="minorEastAsia" w:cstheme="minorBidi"/>
                <w:b w:val="0"/>
                <w:noProof/>
                <w:sz w:val="22"/>
                <w:szCs w:val="22"/>
                <w:lang w:eastAsia="en-AU"/>
              </w:rPr>
              <w:tab/>
            </w:r>
            <w:r w:rsidR="00466AC7" w:rsidRPr="005E5AE6">
              <w:rPr>
                <w:rStyle w:val="Hyperlink"/>
                <w:noProof/>
              </w:rPr>
              <w:t>Prawn production, trade and diseases</w:t>
            </w:r>
            <w:r w:rsidR="00466AC7">
              <w:rPr>
                <w:noProof/>
                <w:webHidden/>
              </w:rPr>
              <w:tab/>
            </w:r>
            <w:r w:rsidR="00466AC7">
              <w:rPr>
                <w:noProof/>
                <w:webHidden/>
              </w:rPr>
              <w:fldChar w:fldCharType="begin"/>
            </w:r>
            <w:r w:rsidR="00466AC7">
              <w:rPr>
                <w:noProof/>
                <w:webHidden/>
              </w:rPr>
              <w:instrText xml:space="preserve"> PAGEREF _Toc500508386 \h </w:instrText>
            </w:r>
            <w:r w:rsidR="00466AC7">
              <w:rPr>
                <w:noProof/>
                <w:webHidden/>
              </w:rPr>
            </w:r>
            <w:r w:rsidR="00466AC7">
              <w:rPr>
                <w:noProof/>
                <w:webHidden/>
              </w:rPr>
              <w:fldChar w:fldCharType="separate"/>
            </w:r>
            <w:r w:rsidR="00121BC1">
              <w:rPr>
                <w:noProof/>
                <w:webHidden/>
              </w:rPr>
              <w:t>15</w:t>
            </w:r>
            <w:r w:rsidR="00466AC7">
              <w:rPr>
                <w:noProof/>
                <w:webHidden/>
              </w:rPr>
              <w:fldChar w:fldCharType="end"/>
            </w:r>
          </w:hyperlink>
        </w:p>
        <w:p w14:paraId="11FCB3E0" w14:textId="77777777" w:rsidR="00466AC7" w:rsidRDefault="00F329C0">
          <w:pPr>
            <w:pStyle w:val="TOC2"/>
            <w:rPr>
              <w:rFonts w:eastAsiaTheme="minorEastAsia" w:cstheme="minorBidi"/>
              <w:iCs w:val="0"/>
              <w:sz w:val="22"/>
              <w:szCs w:val="22"/>
              <w:lang w:eastAsia="en-AU"/>
            </w:rPr>
          </w:pPr>
          <w:hyperlink w:anchor="_Toc500508387" w:history="1">
            <w:r w:rsidR="00466AC7" w:rsidRPr="005E5AE6">
              <w:rPr>
                <w:rStyle w:val="Hyperlink"/>
                <w:rFonts w:ascii="Calibri" w:hAnsi="Calibri"/>
              </w:rPr>
              <w:t>3.1</w:t>
            </w:r>
            <w:r w:rsidR="00466AC7">
              <w:rPr>
                <w:rFonts w:eastAsiaTheme="minorEastAsia" w:cstheme="minorBidi"/>
                <w:iCs w:val="0"/>
                <w:sz w:val="22"/>
                <w:szCs w:val="22"/>
                <w:lang w:eastAsia="en-AU"/>
              </w:rPr>
              <w:tab/>
            </w:r>
            <w:r w:rsidR="00466AC7" w:rsidRPr="005E5AE6">
              <w:rPr>
                <w:rStyle w:val="Hyperlink"/>
              </w:rPr>
              <w:t>World and Australian prawn industries (wild-caught and farmed)</w:t>
            </w:r>
            <w:r w:rsidR="00466AC7">
              <w:rPr>
                <w:webHidden/>
              </w:rPr>
              <w:tab/>
            </w:r>
            <w:r w:rsidR="00466AC7">
              <w:rPr>
                <w:webHidden/>
              </w:rPr>
              <w:fldChar w:fldCharType="begin"/>
            </w:r>
            <w:r w:rsidR="00466AC7">
              <w:rPr>
                <w:webHidden/>
              </w:rPr>
              <w:instrText xml:space="preserve"> PAGEREF _Toc500508387 \h </w:instrText>
            </w:r>
            <w:r w:rsidR="00466AC7">
              <w:rPr>
                <w:webHidden/>
              </w:rPr>
            </w:r>
            <w:r w:rsidR="00466AC7">
              <w:rPr>
                <w:webHidden/>
              </w:rPr>
              <w:fldChar w:fldCharType="separate"/>
            </w:r>
            <w:r w:rsidR="00121BC1">
              <w:rPr>
                <w:webHidden/>
              </w:rPr>
              <w:t>15</w:t>
            </w:r>
            <w:r w:rsidR="00466AC7">
              <w:rPr>
                <w:webHidden/>
              </w:rPr>
              <w:fldChar w:fldCharType="end"/>
            </w:r>
          </w:hyperlink>
        </w:p>
        <w:p w14:paraId="268D44A9" w14:textId="77777777" w:rsidR="00466AC7" w:rsidRDefault="00F329C0">
          <w:pPr>
            <w:pStyle w:val="TOC2"/>
            <w:rPr>
              <w:rFonts w:eastAsiaTheme="minorEastAsia" w:cstheme="minorBidi"/>
              <w:iCs w:val="0"/>
              <w:sz w:val="22"/>
              <w:szCs w:val="22"/>
              <w:lang w:eastAsia="en-AU"/>
            </w:rPr>
          </w:pPr>
          <w:hyperlink w:anchor="_Toc500508388" w:history="1">
            <w:r w:rsidR="00466AC7" w:rsidRPr="005E5AE6">
              <w:rPr>
                <w:rStyle w:val="Hyperlink"/>
                <w:rFonts w:ascii="Calibri" w:hAnsi="Calibri"/>
              </w:rPr>
              <w:t>3.2</w:t>
            </w:r>
            <w:r w:rsidR="00466AC7">
              <w:rPr>
                <w:rFonts w:eastAsiaTheme="minorEastAsia" w:cstheme="minorBidi"/>
                <w:iCs w:val="0"/>
                <w:sz w:val="22"/>
                <w:szCs w:val="22"/>
                <w:lang w:eastAsia="en-AU"/>
              </w:rPr>
              <w:tab/>
            </w:r>
            <w:r w:rsidR="00466AC7" w:rsidRPr="005E5AE6">
              <w:rPr>
                <w:rStyle w:val="Hyperlink"/>
              </w:rPr>
              <w:t>Prawn disease emergence and impact</w:t>
            </w:r>
            <w:r w:rsidR="00466AC7">
              <w:rPr>
                <w:webHidden/>
              </w:rPr>
              <w:tab/>
            </w:r>
            <w:r w:rsidR="00466AC7">
              <w:rPr>
                <w:webHidden/>
              </w:rPr>
              <w:fldChar w:fldCharType="begin"/>
            </w:r>
            <w:r w:rsidR="00466AC7">
              <w:rPr>
                <w:webHidden/>
              </w:rPr>
              <w:instrText xml:space="preserve"> PAGEREF _Toc500508388 \h </w:instrText>
            </w:r>
            <w:r w:rsidR="00466AC7">
              <w:rPr>
                <w:webHidden/>
              </w:rPr>
            </w:r>
            <w:r w:rsidR="00466AC7">
              <w:rPr>
                <w:webHidden/>
              </w:rPr>
              <w:fldChar w:fldCharType="separate"/>
            </w:r>
            <w:r w:rsidR="00121BC1">
              <w:rPr>
                <w:webHidden/>
              </w:rPr>
              <w:t>19</w:t>
            </w:r>
            <w:r w:rsidR="00466AC7">
              <w:rPr>
                <w:webHidden/>
              </w:rPr>
              <w:fldChar w:fldCharType="end"/>
            </w:r>
          </w:hyperlink>
        </w:p>
        <w:p w14:paraId="148FC849" w14:textId="77777777" w:rsidR="00466AC7" w:rsidRDefault="00F329C0">
          <w:pPr>
            <w:pStyle w:val="TOC2"/>
            <w:rPr>
              <w:rFonts w:eastAsiaTheme="minorEastAsia" w:cstheme="minorBidi"/>
              <w:iCs w:val="0"/>
              <w:sz w:val="22"/>
              <w:szCs w:val="22"/>
              <w:lang w:eastAsia="en-AU"/>
            </w:rPr>
          </w:pPr>
          <w:hyperlink w:anchor="_Toc500508389" w:history="1">
            <w:r w:rsidR="00466AC7" w:rsidRPr="005E5AE6">
              <w:rPr>
                <w:rStyle w:val="Hyperlink"/>
                <w:rFonts w:ascii="Calibri" w:hAnsi="Calibri"/>
              </w:rPr>
              <w:t>3.3</w:t>
            </w:r>
            <w:r w:rsidR="00466AC7">
              <w:rPr>
                <w:rFonts w:eastAsiaTheme="minorEastAsia" w:cstheme="minorBidi"/>
                <w:iCs w:val="0"/>
                <w:sz w:val="22"/>
                <w:szCs w:val="22"/>
                <w:lang w:eastAsia="en-AU"/>
              </w:rPr>
              <w:tab/>
            </w:r>
            <w:r w:rsidR="00466AC7" w:rsidRPr="005E5AE6">
              <w:rPr>
                <w:rStyle w:val="Hyperlink"/>
              </w:rPr>
              <w:t>Australian prawn diseases</w:t>
            </w:r>
            <w:r w:rsidR="00466AC7">
              <w:rPr>
                <w:webHidden/>
              </w:rPr>
              <w:tab/>
            </w:r>
            <w:r w:rsidR="00466AC7">
              <w:rPr>
                <w:webHidden/>
              </w:rPr>
              <w:fldChar w:fldCharType="begin"/>
            </w:r>
            <w:r w:rsidR="00466AC7">
              <w:rPr>
                <w:webHidden/>
              </w:rPr>
              <w:instrText xml:space="preserve"> PAGEREF _Toc500508389 \h </w:instrText>
            </w:r>
            <w:r w:rsidR="00466AC7">
              <w:rPr>
                <w:webHidden/>
              </w:rPr>
            </w:r>
            <w:r w:rsidR="00466AC7">
              <w:rPr>
                <w:webHidden/>
              </w:rPr>
              <w:fldChar w:fldCharType="separate"/>
            </w:r>
            <w:r w:rsidR="00121BC1">
              <w:rPr>
                <w:webHidden/>
              </w:rPr>
              <w:t>21</w:t>
            </w:r>
            <w:r w:rsidR="00466AC7">
              <w:rPr>
                <w:webHidden/>
              </w:rPr>
              <w:fldChar w:fldCharType="end"/>
            </w:r>
          </w:hyperlink>
        </w:p>
        <w:p w14:paraId="6B035788" w14:textId="77777777" w:rsidR="00466AC7" w:rsidRDefault="00F329C0">
          <w:pPr>
            <w:pStyle w:val="TOC2"/>
            <w:rPr>
              <w:rFonts w:eastAsiaTheme="minorEastAsia" w:cstheme="minorBidi"/>
              <w:iCs w:val="0"/>
              <w:sz w:val="22"/>
              <w:szCs w:val="22"/>
              <w:lang w:eastAsia="en-AU"/>
            </w:rPr>
          </w:pPr>
          <w:hyperlink w:anchor="_Toc500508390" w:history="1">
            <w:r w:rsidR="00466AC7" w:rsidRPr="005E5AE6">
              <w:rPr>
                <w:rStyle w:val="Hyperlink"/>
                <w:rFonts w:ascii="Calibri" w:hAnsi="Calibri"/>
              </w:rPr>
              <w:t>3.4</w:t>
            </w:r>
            <w:r w:rsidR="00466AC7">
              <w:rPr>
                <w:rFonts w:eastAsiaTheme="minorEastAsia" w:cstheme="minorBidi"/>
                <w:iCs w:val="0"/>
                <w:sz w:val="22"/>
                <w:szCs w:val="22"/>
                <w:lang w:eastAsia="en-AU"/>
              </w:rPr>
              <w:tab/>
            </w:r>
            <w:r w:rsidR="00466AC7" w:rsidRPr="005E5AE6">
              <w:rPr>
                <w:rStyle w:val="Hyperlink"/>
              </w:rPr>
              <w:t>‘The Darwin incident’—incursion of WSSV in 2000</w:t>
            </w:r>
            <w:r w:rsidR="00466AC7">
              <w:rPr>
                <w:webHidden/>
              </w:rPr>
              <w:tab/>
            </w:r>
            <w:r w:rsidR="00466AC7">
              <w:rPr>
                <w:webHidden/>
              </w:rPr>
              <w:fldChar w:fldCharType="begin"/>
            </w:r>
            <w:r w:rsidR="00466AC7">
              <w:rPr>
                <w:webHidden/>
              </w:rPr>
              <w:instrText xml:space="preserve"> PAGEREF _Toc500508390 \h </w:instrText>
            </w:r>
            <w:r w:rsidR="00466AC7">
              <w:rPr>
                <w:webHidden/>
              </w:rPr>
            </w:r>
            <w:r w:rsidR="00466AC7">
              <w:rPr>
                <w:webHidden/>
              </w:rPr>
              <w:fldChar w:fldCharType="separate"/>
            </w:r>
            <w:r w:rsidR="00121BC1">
              <w:rPr>
                <w:webHidden/>
              </w:rPr>
              <w:t>22</w:t>
            </w:r>
            <w:r w:rsidR="00466AC7">
              <w:rPr>
                <w:webHidden/>
              </w:rPr>
              <w:fldChar w:fldCharType="end"/>
            </w:r>
          </w:hyperlink>
        </w:p>
        <w:p w14:paraId="7A41F364" w14:textId="77777777" w:rsidR="00466AC7" w:rsidRDefault="00F329C0">
          <w:pPr>
            <w:pStyle w:val="TOC1"/>
            <w:rPr>
              <w:rFonts w:eastAsiaTheme="minorEastAsia" w:cstheme="minorBidi"/>
              <w:b w:val="0"/>
              <w:noProof/>
              <w:sz w:val="22"/>
              <w:szCs w:val="22"/>
              <w:lang w:eastAsia="en-AU"/>
            </w:rPr>
          </w:pPr>
          <w:hyperlink w:anchor="_Toc500508391" w:history="1">
            <w:r w:rsidR="00466AC7" w:rsidRPr="005E5AE6">
              <w:rPr>
                <w:rStyle w:val="Hyperlink"/>
                <w:rFonts w:ascii="Calibri" w:hAnsi="Calibri"/>
                <w:noProof/>
              </w:rPr>
              <w:t>4</w:t>
            </w:r>
            <w:r w:rsidR="00466AC7">
              <w:rPr>
                <w:rFonts w:eastAsiaTheme="minorEastAsia" w:cstheme="minorBidi"/>
                <w:b w:val="0"/>
                <w:noProof/>
                <w:sz w:val="22"/>
                <w:szCs w:val="22"/>
                <w:lang w:eastAsia="en-AU"/>
              </w:rPr>
              <w:tab/>
            </w:r>
            <w:r w:rsidR="00466AC7" w:rsidRPr="005E5AE6">
              <w:rPr>
                <w:rStyle w:val="Hyperlink"/>
                <w:noProof/>
              </w:rPr>
              <w:t>Regulatory control of biosecurity risks in Australia</w:t>
            </w:r>
            <w:r w:rsidR="00466AC7">
              <w:rPr>
                <w:noProof/>
                <w:webHidden/>
              </w:rPr>
              <w:tab/>
            </w:r>
            <w:r w:rsidR="00466AC7">
              <w:rPr>
                <w:noProof/>
                <w:webHidden/>
              </w:rPr>
              <w:fldChar w:fldCharType="begin"/>
            </w:r>
            <w:r w:rsidR="00466AC7">
              <w:rPr>
                <w:noProof/>
                <w:webHidden/>
              </w:rPr>
              <w:instrText xml:space="preserve"> PAGEREF _Toc500508391 \h </w:instrText>
            </w:r>
            <w:r w:rsidR="00466AC7">
              <w:rPr>
                <w:noProof/>
                <w:webHidden/>
              </w:rPr>
            </w:r>
            <w:r w:rsidR="00466AC7">
              <w:rPr>
                <w:noProof/>
                <w:webHidden/>
              </w:rPr>
              <w:fldChar w:fldCharType="separate"/>
            </w:r>
            <w:r w:rsidR="00121BC1">
              <w:rPr>
                <w:noProof/>
                <w:webHidden/>
              </w:rPr>
              <w:t>24</w:t>
            </w:r>
            <w:r w:rsidR="00466AC7">
              <w:rPr>
                <w:noProof/>
                <w:webHidden/>
              </w:rPr>
              <w:fldChar w:fldCharType="end"/>
            </w:r>
          </w:hyperlink>
        </w:p>
        <w:p w14:paraId="4F232E40" w14:textId="77777777" w:rsidR="00466AC7" w:rsidRDefault="00F329C0">
          <w:pPr>
            <w:pStyle w:val="TOC2"/>
            <w:rPr>
              <w:rFonts w:eastAsiaTheme="minorEastAsia" w:cstheme="minorBidi"/>
              <w:iCs w:val="0"/>
              <w:sz w:val="22"/>
              <w:szCs w:val="22"/>
              <w:lang w:eastAsia="en-AU"/>
            </w:rPr>
          </w:pPr>
          <w:hyperlink w:anchor="_Toc500508392" w:history="1">
            <w:r w:rsidR="00466AC7" w:rsidRPr="005E5AE6">
              <w:rPr>
                <w:rStyle w:val="Hyperlink"/>
                <w:rFonts w:ascii="Calibri" w:hAnsi="Calibri"/>
              </w:rPr>
              <w:t>4.1</w:t>
            </w:r>
            <w:r w:rsidR="00466AC7">
              <w:rPr>
                <w:rFonts w:eastAsiaTheme="minorEastAsia" w:cstheme="minorBidi"/>
                <w:iCs w:val="0"/>
                <w:sz w:val="22"/>
                <w:szCs w:val="22"/>
                <w:lang w:eastAsia="en-AU"/>
              </w:rPr>
              <w:tab/>
            </w:r>
            <w:r w:rsidR="00466AC7" w:rsidRPr="005E5AE6">
              <w:rPr>
                <w:rStyle w:val="Hyperlink"/>
              </w:rPr>
              <w:t>International obligations</w:t>
            </w:r>
            <w:r w:rsidR="00466AC7">
              <w:rPr>
                <w:webHidden/>
              </w:rPr>
              <w:tab/>
            </w:r>
            <w:r w:rsidR="00466AC7">
              <w:rPr>
                <w:webHidden/>
              </w:rPr>
              <w:fldChar w:fldCharType="begin"/>
            </w:r>
            <w:r w:rsidR="00466AC7">
              <w:rPr>
                <w:webHidden/>
              </w:rPr>
              <w:instrText xml:space="preserve"> PAGEREF _Toc500508392 \h </w:instrText>
            </w:r>
            <w:r w:rsidR="00466AC7">
              <w:rPr>
                <w:webHidden/>
              </w:rPr>
            </w:r>
            <w:r w:rsidR="00466AC7">
              <w:rPr>
                <w:webHidden/>
              </w:rPr>
              <w:fldChar w:fldCharType="separate"/>
            </w:r>
            <w:r w:rsidR="00121BC1">
              <w:rPr>
                <w:webHidden/>
              </w:rPr>
              <w:t>24</w:t>
            </w:r>
            <w:r w:rsidR="00466AC7">
              <w:rPr>
                <w:webHidden/>
              </w:rPr>
              <w:fldChar w:fldCharType="end"/>
            </w:r>
          </w:hyperlink>
        </w:p>
        <w:p w14:paraId="13B22EE2" w14:textId="77777777" w:rsidR="00466AC7" w:rsidRDefault="00F329C0">
          <w:pPr>
            <w:pStyle w:val="TOC2"/>
            <w:rPr>
              <w:rFonts w:eastAsiaTheme="minorEastAsia" w:cstheme="minorBidi"/>
              <w:iCs w:val="0"/>
              <w:sz w:val="22"/>
              <w:szCs w:val="22"/>
              <w:lang w:eastAsia="en-AU"/>
            </w:rPr>
          </w:pPr>
          <w:hyperlink w:anchor="_Toc500508393" w:history="1">
            <w:r w:rsidR="00466AC7" w:rsidRPr="005E5AE6">
              <w:rPr>
                <w:rStyle w:val="Hyperlink"/>
                <w:rFonts w:ascii="Calibri" w:hAnsi="Calibri"/>
              </w:rPr>
              <w:t>4.2</w:t>
            </w:r>
            <w:r w:rsidR="00466AC7">
              <w:rPr>
                <w:rFonts w:eastAsiaTheme="minorEastAsia" w:cstheme="minorBidi"/>
                <w:iCs w:val="0"/>
                <w:sz w:val="22"/>
                <w:szCs w:val="22"/>
                <w:lang w:eastAsia="en-AU"/>
              </w:rPr>
              <w:tab/>
            </w:r>
            <w:r w:rsidR="00466AC7" w:rsidRPr="005E5AE6">
              <w:rPr>
                <w:rStyle w:val="Hyperlink"/>
              </w:rPr>
              <w:t>National regulatory framework</w:t>
            </w:r>
            <w:r w:rsidR="00466AC7">
              <w:rPr>
                <w:webHidden/>
              </w:rPr>
              <w:tab/>
            </w:r>
            <w:r w:rsidR="00466AC7">
              <w:rPr>
                <w:webHidden/>
              </w:rPr>
              <w:fldChar w:fldCharType="begin"/>
            </w:r>
            <w:r w:rsidR="00466AC7">
              <w:rPr>
                <w:webHidden/>
              </w:rPr>
              <w:instrText xml:space="preserve"> PAGEREF _Toc500508393 \h </w:instrText>
            </w:r>
            <w:r w:rsidR="00466AC7">
              <w:rPr>
                <w:webHidden/>
              </w:rPr>
            </w:r>
            <w:r w:rsidR="00466AC7">
              <w:rPr>
                <w:webHidden/>
              </w:rPr>
              <w:fldChar w:fldCharType="separate"/>
            </w:r>
            <w:r w:rsidR="00121BC1">
              <w:rPr>
                <w:webHidden/>
              </w:rPr>
              <w:t>25</w:t>
            </w:r>
            <w:r w:rsidR="00466AC7">
              <w:rPr>
                <w:webHidden/>
              </w:rPr>
              <w:fldChar w:fldCharType="end"/>
            </w:r>
          </w:hyperlink>
        </w:p>
        <w:p w14:paraId="35BD6194" w14:textId="77777777" w:rsidR="00466AC7" w:rsidRDefault="00F329C0">
          <w:pPr>
            <w:pStyle w:val="TOC2"/>
            <w:rPr>
              <w:rFonts w:eastAsiaTheme="minorEastAsia" w:cstheme="minorBidi"/>
              <w:iCs w:val="0"/>
              <w:sz w:val="22"/>
              <w:szCs w:val="22"/>
              <w:lang w:eastAsia="en-AU"/>
            </w:rPr>
          </w:pPr>
          <w:hyperlink w:anchor="_Toc500508394" w:history="1">
            <w:r w:rsidR="00466AC7" w:rsidRPr="005E5AE6">
              <w:rPr>
                <w:rStyle w:val="Hyperlink"/>
                <w:rFonts w:ascii="Calibri" w:hAnsi="Calibri"/>
              </w:rPr>
              <w:t>4.3</w:t>
            </w:r>
            <w:r w:rsidR="00466AC7">
              <w:rPr>
                <w:rFonts w:eastAsiaTheme="minorEastAsia" w:cstheme="minorBidi"/>
                <w:iCs w:val="0"/>
                <w:sz w:val="22"/>
                <w:szCs w:val="22"/>
                <w:lang w:eastAsia="en-AU"/>
              </w:rPr>
              <w:tab/>
            </w:r>
            <w:r w:rsidR="00466AC7" w:rsidRPr="005E5AE6">
              <w:rPr>
                <w:rStyle w:val="Hyperlink"/>
              </w:rPr>
              <w:t>Sharing responsibility between governments and industry</w:t>
            </w:r>
            <w:r w:rsidR="00466AC7">
              <w:rPr>
                <w:webHidden/>
              </w:rPr>
              <w:tab/>
            </w:r>
            <w:r w:rsidR="00466AC7">
              <w:rPr>
                <w:webHidden/>
              </w:rPr>
              <w:fldChar w:fldCharType="begin"/>
            </w:r>
            <w:r w:rsidR="00466AC7">
              <w:rPr>
                <w:webHidden/>
              </w:rPr>
              <w:instrText xml:space="preserve"> PAGEREF _Toc500508394 \h </w:instrText>
            </w:r>
            <w:r w:rsidR="00466AC7">
              <w:rPr>
                <w:webHidden/>
              </w:rPr>
            </w:r>
            <w:r w:rsidR="00466AC7">
              <w:rPr>
                <w:webHidden/>
              </w:rPr>
              <w:fldChar w:fldCharType="separate"/>
            </w:r>
            <w:r w:rsidR="00121BC1">
              <w:rPr>
                <w:webHidden/>
              </w:rPr>
              <w:t>27</w:t>
            </w:r>
            <w:r w:rsidR="00466AC7">
              <w:rPr>
                <w:webHidden/>
              </w:rPr>
              <w:fldChar w:fldCharType="end"/>
            </w:r>
          </w:hyperlink>
        </w:p>
        <w:p w14:paraId="3D553D90" w14:textId="77777777" w:rsidR="00466AC7" w:rsidRDefault="00F329C0">
          <w:pPr>
            <w:pStyle w:val="TOC2"/>
            <w:rPr>
              <w:rFonts w:eastAsiaTheme="minorEastAsia" w:cstheme="minorBidi"/>
              <w:iCs w:val="0"/>
              <w:sz w:val="22"/>
              <w:szCs w:val="22"/>
              <w:lang w:eastAsia="en-AU"/>
            </w:rPr>
          </w:pPr>
          <w:hyperlink w:anchor="_Toc500508395" w:history="1">
            <w:r w:rsidR="00466AC7" w:rsidRPr="005E5AE6">
              <w:rPr>
                <w:rStyle w:val="Hyperlink"/>
                <w:rFonts w:ascii="Calibri" w:hAnsi="Calibri"/>
              </w:rPr>
              <w:t>4.4</w:t>
            </w:r>
            <w:r w:rsidR="00466AC7">
              <w:rPr>
                <w:rFonts w:eastAsiaTheme="minorEastAsia" w:cstheme="minorBidi"/>
                <w:iCs w:val="0"/>
                <w:sz w:val="22"/>
                <w:szCs w:val="22"/>
                <w:lang w:eastAsia="en-AU"/>
              </w:rPr>
              <w:tab/>
            </w:r>
            <w:r w:rsidR="00466AC7" w:rsidRPr="005E5AE6">
              <w:rPr>
                <w:rStyle w:val="Hyperlink"/>
              </w:rPr>
              <w:t>Governance of laboratory testing for international trade quality assurance</w:t>
            </w:r>
            <w:r w:rsidR="00466AC7">
              <w:rPr>
                <w:webHidden/>
              </w:rPr>
              <w:tab/>
            </w:r>
            <w:r w:rsidR="00466AC7">
              <w:rPr>
                <w:webHidden/>
              </w:rPr>
              <w:fldChar w:fldCharType="begin"/>
            </w:r>
            <w:r w:rsidR="00466AC7">
              <w:rPr>
                <w:webHidden/>
              </w:rPr>
              <w:instrText xml:space="preserve"> PAGEREF _Toc500508395 \h </w:instrText>
            </w:r>
            <w:r w:rsidR="00466AC7">
              <w:rPr>
                <w:webHidden/>
              </w:rPr>
            </w:r>
            <w:r w:rsidR="00466AC7">
              <w:rPr>
                <w:webHidden/>
              </w:rPr>
              <w:fldChar w:fldCharType="separate"/>
            </w:r>
            <w:r w:rsidR="00121BC1">
              <w:rPr>
                <w:webHidden/>
              </w:rPr>
              <w:t>28</w:t>
            </w:r>
            <w:r w:rsidR="00466AC7">
              <w:rPr>
                <w:webHidden/>
              </w:rPr>
              <w:fldChar w:fldCharType="end"/>
            </w:r>
          </w:hyperlink>
        </w:p>
        <w:p w14:paraId="0A278C24" w14:textId="77777777" w:rsidR="00466AC7" w:rsidRDefault="00F329C0">
          <w:pPr>
            <w:pStyle w:val="TOC1"/>
            <w:rPr>
              <w:rFonts w:eastAsiaTheme="minorEastAsia" w:cstheme="minorBidi"/>
              <w:b w:val="0"/>
              <w:noProof/>
              <w:sz w:val="22"/>
              <w:szCs w:val="22"/>
              <w:lang w:eastAsia="en-AU"/>
            </w:rPr>
          </w:pPr>
          <w:hyperlink w:anchor="_Toc500508396" w:history="1">
            <w:r w:rsidR="00466AC7" w:rsidRPr="005E5AE6">
              <w:rPr>
                <w:rStyle w:val="Hyperlink"/>
                <w:rFonts w:ascii="Calibri" w:hAnsi="Calibri"/>
                <w:noProof/>
              </w:rPr>
              <w:t>5</w:t>
            </w:r>
            <w:r w:rsidR="00466AC7">
              <w:rPr>
                <w:rFonts w:eastAsiaTheme="minorEastAsia" w:cstheme="minorBidi"/>
                <w:b w:val="0"/>
                <w:noProof/>
                <w:sz w:val="22"/>
                <w:szCs w:val="22"/>
                <w:lang w:eastAsia="en-AU"/>
              </w:rPr>
              <w:tab/>
            </w:r>
            <w:r w:rsidR="00466AC7" w:rsidRPr="005E5AE6">
              <w:rPr>
                <w:rStyle w:val="Hyperlink"/>
                <w:noProof/>
              </w:rPr>
              <w:t>Generic import risk analysis (IRA) for prawns, 2009</w:t>
            </w:r>
            <w:r w:rsidR="00466AC7">
              <w:rPr>
                <w:noProof/>
                <w:webHidden/>
              </w:rPr>
              <w:tab/>
            </w:r>
            <w:r w:rsidR="00466AC7">
              <w:rPr>
                <w:noProof/>
                <w:webHidden/>
              </w:rPr>
              <w:fldChar w:fldCharType="begin"/>
            </w:r>
            <w:r w:rsidR="00466AC7">
              <w:rPr>
                <w:noProof/>
                <w:webHidden/>
              </w:rPr>
              <w:instrText xml:space="preserve"> PAGEREF _Toc500508396 \h </w:instrText>
            </w:r>
            <w:r w:rsidR="00466AC7">
              <w:rPr>
                <w:noProof/>
                <w:webHidden/>
              </w:rPr>
            </w:r>
            <w:r w:rsidR="00466AC7">
              <w:rPr>
                <w:noProof/>
                <w:webHidden/>
              </w:rPr>
              <w:fldChar w:fldCharType="separate"/>
            </w:r>
            <w:r w:rsidR="00121BC1">
              <w:rPr>
                <w:noProof/>
                <w:webHidden/>
              </w:rPr>
              <w:t>32</w:t>
            </w:r>
            <w:r w:rsidR="00466AC7">
              <w:rPr>
                <w:noProof/>
                <w:webHidden/>
              </w:rPr>
              <w:fldChar w:fldCharType="end"/>
            </w:r>
          </w:hyperlink>
        </w:p>
        <w:p w14:paraId="2A37F7DA" w14:textId="77777777" w:rsidR="00466AC7" w:rsidRDefault="00F329C0">
          <w:pPr>
            <w:pStyle w:val="TOC2"/>
            <w:rPr>
              <w:rFonts w:eastAsiaTheme="minorEastAsia" w:cstheme="minorBidi"/>
              <w:iCs w:val="0"/>
              <w:sz w:val="22"/>
              <w:szCs w:val="22"/>
              <w:lang w:eastAsia="en-AU"/>
            </w:rPr>
          </w:pPr>
          <w:hyperlink w:anchor="_Toc500508397" w:history="1">
            <w:r w:rsidR="00466AC7" w:rsidRPr="005E5AE6">
              <w:rPr>
                <w:rStyle w:val="Hyperlink"/>
                <w:rFonts w:ascii="Calibri" w:hAnsi="Calibri"/>
              </w:rPr>
              <w:t>5.1</w:t>
            </w:r>
            <w:r w:rsidR="00466AC7">
              <w:rPr>
                <w:rFonts w:eastAsiaTheme="minorEastAsia" w:cstheme="minorBidi"/>
                <w:iCs w:val="0"/>
                <w:sz w:val="22"/>
                <w:szCs w:val="22"/>
                <w:lang w:eastAsia="en-AU"/>
              </w:rPr>
              <w:tab/>
            </w:r>
            <w:r w:rsidR="00466AC7" w:rsidRPr="005E5AE6">
              <w:rPr>
                <w:rStyle w:val="Hyperlink"/>
              </w:rPr>
              <w:t>Development of import conditions before and during the IRA process</w:t>
            </w:r>
            <w:r w:rsidR="00466AC7">
              <w:rPr>
                <w:webHidden/>
              </w:rPr>
              <w:tab/>
            </w:r>
            <w:r w:rsidR="00466AC7">
              <w:rPr>
                <w:webHidden/>
              </w:rPr>
              <w:fldChar w:fldCharType="begin"/>
            </w:r>
            <w:r w:rsidR="00466AC7">
              <w:rPr>
                <w:webHidden/>
              </w:rPr>
              <w:instrText xml:space="preserve"> PAGEREF _Toc500508397 \h </w:instrText>
            </w:r>
            <w:r w:rsidR="00466AC7">
              <w:rPr>
                <w:webHidden/>
              </w:rPr>
            </w:r>
            <w:r w:rsidR="00466AC7">
              <w:rPr>
                <w:webHidden/>
              </w:rPr>
              <w:fldChar w:fldCharType="separate"/>
            </w:r>
            <w:r w:rsidR="00121BC1">
              <w:rPr>
                <w:webHidden/>
              </w:rPr>
              <w:t>32</w:t>
            </w:r>
            <w:r w:rsidR="00466AC7">
              <w:rPr>
                <w:webHidden/>
              </w:rPr>
              <w:fldChar w:fldCharType="end"/>
            </w:r>
          </w:hyperlink>
        </w:p>
        <w:p w14:paraId="402C3791" w14:textId="77777777" w:rsidR="00466AC7" w:rsidRDefault="00F329C0">
          <w:pPr>
            <w:pStyle w:val="TOC2"/>
            <w:rPr>
              <w:rFonts w:eastAsiaTheme="minorEastAsia" w:cstheme="minorBidi"/>
              <w:iCs w:val="0"/>
              <w:sz w:val="22"/>
              <w:szCs w:val="22"/>
              <w:lang w:eastAsia="en-AU"/>
            </w:rPr>
          </w:pPr>
          <w:hyperlink w:anchor="_Toc500508398" w:history="1">
            <w:r w:rsidR="00466AC7" w:rsidRPr="005E5AE6">
              <w:rPr>
                <w:rStyle w:val="Hyperlink"/>
                <w:rFonts w:ascii="Calibri" w:hAnsi="Calibri"/>
              </w:rPr>
              <w:t>5.2</w:t>
            </w:r>
            <w:r w:rsidR="00466AC7">
              <w:rPr>
                <w:rFonts w:eastAsiaTheme="minorEastAsia" w:cstheme="minorBidi"/>
                <w:iCs w:val="0"/>
                <w:sz w:val="22"/>
                <w:szCs w:val="22"/>
                <w:lang w:eastAsia="en-AU"/>
              </w:rPr>
              <w:tab/>
            </w:r>
            <w:r w:rsidR="00466AC7" w:rsidRPr="005E5AE6">
              <w:rPr>
                <w:rStyle w:val="Hyperlink"/>
              </w:rPr>
              <w:t>Achieving an appropriate level of protection</w:t>
            </w:r>
            <w:r w:rsidR="00466AC7">
              <w:rPr>
                <w:webHidden/>
              </w:rPr>
              <w:tab/>
            </w:r>
            <w:r w:rsidR="00466AC7">
              <w:rPr>
                <w:webHidden/>
              </w:rPr>
              <w:fldChar w:fldCharType="begin"/>
            </w:r>
            <w:r w:rsidR="00466AC7">
              <w:rPr>
                <w:webHidden/>
              </w:rPr>
              <w:instrText xml:space="preserve"> PAGEREF _Toc500508398 \h </w:instrText>
            </w:r>
            <w:r w:rsidR="00466AC7">
              <w:rPr>
                <w:webHidden/>
              </w:rPr>
            </w:r>
            <w:r w:rsidR="00466AC7">
              <w:rPr>
                <w:webHidden/>
              </w:rPr>
              <w:fldChar w:fldCharType="separate"/>
            </w:r>
            <w:r w:rsidR="00121BC1">
              <w:rPr>
                <w:webHidden/>
              </w:rPr>
              <w:t>40</w:t>
            </w:r>
            <w:r w:rsidR="00466AC7">
              <w:rPr>
                <w:webHidden/>
              </w:rPr>
              <w:fldChar w:fldCharType="end"/>
            </w:r>
          </w:hyperlink>
        </w:p>
        <w:p w14:paraId="7B5C998D" w14:textId="77777777" w:rsidR="00466AC7" w:rsidRDefault="00F329C0">
          <w:pPr>
            <w:pStyle w:val="TOC2"/>
            <w:rPr>
              <w:rFonts w:eastAsiaTheme="minorEastAsia" w:cstheme="minorBidi"/>
              <w:iCs w:val="0"/>
              <w:sz w:val="22"/>
              <w:szCs w:val="22"/>
              <w:lang w:eastAsia="en-AU"/>
            </w:rPr>
          </w:pPr>
          <w:hyperlink w:anchor="_Toc500508399" w:history="1">
            <w:r w:rsidR="00466AC7" w:rsidRPr="005E5AE6">
              <w:rPr>
                <w:rStyle w:val="Hyperlink"/>
                <w:rFonts w:ascii="Calibri" w:hAnsi="Calibri"/>
              </w:rPr>
              <w:t>5.3</w:t>
            </w:r>
            <w:r w:rsidR="00466AC7">
              <w:rPr>
                <w:rFonts w:eastAsiaTheme="minorEastAsia" w:cstheme="minorBidi"/>
                <w:iCs w:val="0"/>
                <w:sz w:val="22"/>
                <w:szCs w:val="22"/>
                <w:lang w:eastAsia="en-AU"/>
              </w:rPr>
              <w:tab/>
            </w:r>
            <w:r w:rsidR="00466AC7" w:rsidRPr="005E5AE6">
              <w:rPr>
                <w:rStyle w:val="Hyperlink"/>
              </w:rPr>
              <w:t>Sampling and testing a batch of imported prawns for WSSV and YHV</w:t>
            </w:r>
            <w:r w:rsidR="00466AC7">
              <w:rPr>
                <w:webHidden/>
              </w:rPr>
              <w:tab/>
            </w:r>
            <w:r w:rsidR="00466AC7">
              <w:rPr>
                <w:webHidden/>
              </w:rPr>
              <w:fldChar w:fldCharType="begin"/>
            </w:r>
            <w:r w:rsidR="00466AC7">
              <w:rPr>
                <w:webHidden/>
              </w:rPr>
              <w:instrText xml:space="preserve"> PAGEREF _Toc500508399 \h </w:instrText>
            </w:r>
            <w:r w:rsidR="00466AC7">
              <w:rPr>
                <w:webHidden/>
              </w:rPr>
            </w:r>
            <w:r w:rsidR="00466AC7">
              <w:rPr>
                <w:webHidden/>
              </w:rPr>
              <w:fldChar w:fldCharType="separate"/>
            </w:r>
            <w:r w:rsidR="00121BC1">
              <w:rPr>
                <w:webHidden/>
              </w:rPr>
              <w:t>42</w:t>
            </w:r>
            <w:r w:rsidR="00466AC7">
              <w:rPr>
                <w:webHidden/>
              </w:rPr>
              <w:fldChar w:fldCharType="end"/>
            </w:r>
          </w:hyperlink>
        </w:p>
        <w:p w14:paraId="42D92459" w14:textId="77777777" w:rsidR="00466AC7" w:rsidRDefault="00F329C0">
          <w:pPr>
            <w:pStyle w:val="TOC1"/>
            <w:rPr>
              <w:rFonts w:eastAsiaTheme="minorEastAsia" w:cstheme="minorBidi"/>
              <w:b w:val="0"/>
              <w:noProof/>
              <w:sz w:val="22"/>
              <w:szCs w:val="22"/>
              <w:lang w:eastAsia="en-AU"/>
            </w:rPr>
          </w:pPr>
          <w:hyperlink w:anchor="_Toc500508402" w:history="1">
            <w:r w:rsidR="00466AC7" w:rsidRPr="005E5AE6">
              <w:rPr>
                <w:rStyle w:val="Hyperlink"/>
                <w:rFonts w:ascii="Calibri" w:hAnsi="Calibri"/>
                <w:noProof/>
              </w:rPr>
              <w:t>6</w:t>
            </w:r>
            <w:r w:rsidR="00466AC7">
              <w:rPr>
                <w:rFonts w:eastAsiaTheme="minorEastAsia" w:cstheme="minorBidi"/>
                <w:b w:val="0"/>
                <w:noProof/>
                <w:sz w:val="22"/>
                <w:szCs w:val="22"/>
                <w:lang w:eastAsia="en-AU"/>
              </w:rPr>
              <w:tab/>
            </w:r>
            <w:r w:rsidR="00466AC7" w:rsidRPr="005E5AE6">
              <w:rPr>
                <w:rStyle w:val="Hyperlink"/>
                <w:noProof/>
              </w:rPr>
              <w:t>Implementing IRA prawn import conditions, 2010 to 2016</w:t>
            </w:r>
            <w:r w:rsidR="00466AC7">
              <w:rPr>
                <w:noProof/>
                <w:webHidden/>
              </w:rPr>
              <w:tab/>
            </w:r>
            <w:r w:rsidR="00466AC7">
              <w:rPr>
                <w:noProof/>
                <w:webHidden/>
              </w:rPr>
              <w:fldChar w:fldCharType="begin"/>
            </w:r>
            <w:r w:rsidR="00466AC7">
              <w:rPr>
                <w:noProof/>
                <w:webHidden/>
              </w:rPr>
              <w:instrText xml:space="preserve"> PAGEREF _Toc500508402 \h </w:instrText>
            </w:r>
            <w:r w:rsidR="00466AC7">
              <w:rPr>
                <w:noProof/>
                <w:webHidden/>
              </w:rPr>
            </w:r>
            <w:r w:rsidR="00466AC7">
              <w:rPr>
                <w:noProof/>
                <w:webHidden/>
              </w:rPr>
              <w:fldChar w:fldCharType="separate"/>
            </w:r>
            <w:r w:rsidR="00121BC1">
              <w:rPr>
                <w:noProof/>
                <w:webHidden/>
              </w:rPr>
              <w:t>49</w:t>
            </w:r>
            <w:r w:rsidR="00466AC7">
              <w:rPr>
                <w:noProof/>
                <w:webHidden/>
              </w:rPr>
              <w:fldChar w:fldCharType="end"/>
            </w:r>
          </w:hyperlink>
        </w:p>
        <w:p w14:paraId="1F5450E9" w14:textId="77777777" w:rsidR="00466AC7" w:rsidRDefault="00F329C0">
          <w:pPr>
            <w:pStyle w:val="TOC2"/>
            <w:rPr>
              <w:rFonts w:eastAsiaTheme="minorEastAsia" w:cstheme="minorBidi"/>
              <w:iCs w:val="0"/>
              <w:sz w:val="22"/>
              <w:szCs w:val="22"/>
              <w:lang w:eastAsia="en-AU"/>
            </w:rPr>
          </w:pPr>
          <w:hyperlink w:anchor="_Toc500508403" w:history="1">
            <w:r w:rsidR="00466AC7" w:rsidRPr="005E5AE6">
              <w:rPr>
                <w:rStyle w:val="Hyperlink"/>
                <w:rFonts w:ascii="Calibri" w:hAnsi="Calibri"/>
              </w:rPr>
              <w:t>6.1</w:t>
            </w:r>
            <w:r w:rsidR="00466AC7">
              <w:rPr>
                <w:rFonts w:eastAsiaTheme="minorEastAsia" w:cstheme="minorBidi"/>
                <w:iCs w:val="0"/>
                <w:sz w:val="22"/>
                <w:szCs w:val="22"/>
                <w:lang w:eastAsia="en-AU"/>
              </w:rPr>
              <w:tab/>
            </w:r>
            <w:r w:rsidR="00466AC7" w:rsidRPr="005E5AE6">
              <w:rPr>
                <w:rStyle w:val="Hyperlink"/>
              </w:rPr>
              <w:t>Volume, value and source of imported prawns</w:t>
            </w:r>
            <w:r w:rsidR="00466AC7">
              <w:rPr>
                <w:webHidden/>
              </w:rPr>
              <w:tab/>
            </w:r>
            <w:r w:rsidR="00466AC7">
              <w:rPr>
                <w:webHidden/>
              </w:rPr>
              <w:fldChar w:fldCharType="begin"/>
            </w:r>
            <w:r w:rsidR="00466AC7">
              <w:rPr>
                <w:webHidden/>
              </w:rPr>
              <w:instrText xml:space="preserve"> PAGEREF _Toc500508403 \h </w:instrText>
            </w:r>
            <w:r w:rsidR="00466AC7">
              <w:rPr>
                <w:webHidden/>
              </w:rPr>
            </w:r>
            <w:r w:rsidR="00466AC7">
              <w:rPr>
                <w:webHidden/>
              </w:rPr>
              <w:fldChar w:fldCharType="separate"/>
            </w:r>
            <w:r w:rsidR="00121BC1">
              <w:rPr>
                <w:webHidden/>
              </w:rPr>
              <w:t>49</w:t>
            </w:r>
            <w:r w:rsidR="00466AC7">
              <w:rPr>
                <w:webHidden/>
              </w:rPr>
              <w:fldChar w:fldCharType="end"/>
            </w:r>
          </w:hyperlink>
        </w:p>
        <w:p w14:paraId="00B0C7AD" w14:textId="77777777" w:rsidR="00466AC7" w:rsidRDefault="00F329C0">
          <w:pPr>
            <w:pStyle w:val="TOC2"/>
            <w:rPr>
              <w:rFonts w:eastAsiaTheme="minorEastAsia" w:cstheme="minorBidi"/>
              <w:iCs w:val="0"/>
              <w:sz w:val="22"/>
              <w:szCs w:val="22"/>
              <w:lang w:eastAsia="en-AU"/>
            </w:rPr>
          </w:pPr>
          <w:hyperlink w:anchor="_Toc500508404" w:history="1">
            <w:r w:rsidR="00466AC7" w:rsidRPr="005E5AE6">
              <w:rPr>
                <w:rStyle w:val="Hyperlink"/>
                <w:rFonts w:ascii="Calibri" w:hAnsi="Calibri"/>
              </w:rPr>
              <w:t>6.2</w:t>
            </w:r>
            <w:r w:rsidR="00466AC7">
              <w:rPr>
                <w:rFonts w:eastAsiaTheme="minorEastAsia" w:cstheme="minorBidi"/>
                <w:iCs w:val="0"/>
                <w:sz w:val="22"/>
                <w:szCs w:val="22"/>
                <w:lang w:eastAsia="en-AU"/>
              </w:rPr>
              <w:tab/>
            </w:r>
            <w:r w:rsidR="00466AC7" w:rsidRPr="005E5AE6">
              <w:rPr>
                <w:rStyle w:val="Hyperlink"/>
              </w:rPr>
              <w:t>Pre-border biosecurity risk management, 2010 to 2016</w:t>
            </w:r>
            <w:r w:rsidR="00466AC7">
              <w:rPr>
                <w:webHidden/>
              </w:rPr>
              <w:tab/>
            </w:r>
            <w:r w:rsidR="00466AC7">
              <w:rPr>
                <w:webHidden/>
              </w:rPr>
              <w:fldChar w:fldCharType="begin"/>
            </w:r>
            <w:r w:rsidR="00466AC7">
              <w:rPr>
                <w:webHidden/>
              </w:rPr>
              <w:instrText xml:space="preserve"> PAGEREF _Toc500508404 \h </w:instrText>
            </w:r>
            <w:r w:rsidR="00466AC7">
              <w:rPr>
                <w:webHidden/>
              </w:rPr>
            </w:r>
            <w:r w:rsidR="00466AC7">
              <w:rPr>
                <w:webHidden/>
              </w:rPr>
              <w:fldChar w:fldCharType="separate"/>
            </w:r>
            <w:r w:rsidR="00121BC1">
              <w:rPr>
                <w:webHidden/>
              </w:rPr>
              <w:t>50</w:t>
            </w:r>
            <w:r w:rsidR="00466AC7">
              <w:rPr>
                <w:webHidden/>
              </w:rPr>
              <w:fldChar w:fldCharType="end"/>
            </w:r>
          </w:hyperlink>
        </w:p>
        <w:p w14:paraId="18E8E0D6" w14:textId="77777777" w:rsidR="00466AC7" w:rsidRDefault="00F329C0">
          <w:pPr>
            <w:pStyle w:val="TOC2"/>
            <w:rPr>
              <w:rFonts w:eastAsiaTheme="minorEastAsia" w:cstheme="minorBidi"/>
              <w:iCs w:val="0"/>
              <w:sz w:val="22"/>
              <w:szCs w:val="22"/>
              <w:lang w:eastAsia="en-AU"/>
            </w:rPr>
          </w:pPr>
          <w:hyperlink w:anchor="_Toc500508405" w:history="1">
            <w:r w:rsidR="00466AC7" w:rsidRPr="005E5AE6">
              <w:rPr>
                <w:rStyle w:val="Hyperlink"/>
                <w:rFonts w:ascii="Calibri" w:hAnsi="Calibri"/>
              </w:rPr>
              <w:t>6.3</w:t>
            </w:r>
            <w:r w:rsidR="00466AC7">
              <w:rPr>
                <w:rFonts w:eastAsiaTheme="minorEastAsia" w:cstheme="minorBidi"/>
                <w:iCs w:val="0"/>
                <w:sz w:val="22"/>
                <w:szCs w:val="22"/>
                <w:lang w:eastAsia="en-AU"/>
              </w:rPr>
              <w:tab/>
            </w:r>
            <w:r w:rsidR="00466AC7" w:rsidRPr="005E5AE6">
              <w:rPr>
                <w:rStyle w:val="Hyperlink"/>
              </w:rPr>
              <w:t>Border biosecurity management activities, 2010 to 2016</w:t>
            </w:r>
            <w:r w:rsidR="00466AC7">
              <w:rPr>
                <w:webHidden/>
              </w:rPr>
              <w:tab/>
            </w:r>
            <w:r w:rsidR="00466AC7">
              <w:rPr>
                <w:webHidden/>
              </w:rPr>
              <w:fldChar w:fldCharType="begin"/>
            </w:r>
            <w:r w:rsidR="00466AC7">
              <w:rPr>
                <w:webHidden/>
              </w:rPr>
              <w:instrText xml:space="preserve"> PAGEREF _Toc500508405 \h </w:instrText>
            </w:r>
            <w:r w:rsidR="00466AC7">
              <w:rPr>
                <w:webHidden/>
              </w:rPr>
            </w:r>
            <w:r w:rsidR="00466AC7">
              <w:rPr>
                <w:webHidden/>
              </w:rPr>
              <w:fldChar w:fldCharType="separate"/>
            </w:r>
            <w:r w:rsidR="00121BC1">
              <w:rPr>
                <w:webHidden/>
              </w:rPr>
              <w:t>53</w:t>
            </w:r>
            <w:r w:rsidR="00466AC7">
              <w:rPr>
                <w:webHidden/>
              </w:rPr>
              <w:fldChar w:fldCharType="end"/>
            </w:r>
          </w:hyperlink>
        </w:p>
        <w:p w14:paraId="390632EF" w14:textId="77777777" w:rsidR="00466AC7" w:rsidRDefault="00F329C0">
          <w:pPr>
            <w:pStyle w:val="TOC2"/>
            <w:rPr>
              <w:rFonts w:eastAsiaTheme="minorEastAsia" w:cstheme="minorBidi"/>
              <w:iCs w:val="0"/>
              <w:sz w:val="22"/>
              <w:szCs w:val="22"/>
              <w:lang w:eastAsia="en-AU"/>
            </w:rPr>
          </w:pPr>
          <w:hyperlink w:anchor="_Toc500508406" w:history="1">
            <w:r w:rsidR="00466AC7" w:rsidRPr="005E5AE6">
              <w:rPr>
                <w:rStyle w:val="Hyperlink"/>
                <w:rFonts w:ascii="Calibri" w:hAnsi="Calibri"/>
              </w:rPr>
              <w:t>6.4</w:t>
            </w:r>
            <w:r w:rsidR="00466AC7">
              <w:rPr>
                <w:rFonts w:eastAsiaTheme="minorEastAsia" w:cstheme="minorBidi"/>
                <w:iCs w:val="0"/>
                <w:sz w:val="22"/>
                <w:szCs w:val="22"/>
                <w:lang w:eastAsia="en-AU"/>
              </w:rPr>
              <w:tab/>
            </w:r>
            <w:r w:rsidR="00466AC7" w:rsidRPr="005E5AE6">
              <w:rPr>
                <w:rStyle w:val="Hyperlink"/>
              </w:rPr>
              <w:t>Post-border controls</w:t>
            </w:r>
            <w:r w:rsidR="00466AC7">
              <w:rPr>
                <w:webHidden/>
              </w:rPr>
              <w:tab/>
            </w:r>
            <w:r w:rsidR="00466AC7">
              <w:rPr>
                <w:webHidden/>
              </w:rPr>
              <w:fldChar w:fldCharType="begin"/>
            </w:r>
            <w:r w:rsidR="00466AC7">
              <w:rPr>
                <w:webHidden/>
              </w:rPr>
              <w:instrText xml:space="preserve"> PAGEREF _Toc500508406 \h </w:instrText>
            </w:r>
            <w:r w:rsidR="00466AC7">
              <w:rPr>
                <w:webHidden/>
              </w:rPr>
            </w:r>
            <w:r w:rsidR="00466AC7">
              <w:rPr>
                <w:webHidden/>
              </w:rPr>
              <w:fldChar w:fldCharType="separate"/>
            </w:r>
            <w:r w:rsidR="00121BC1">
              <w:rPr>
                <w:webHidden/>
              </w:rPr>
              <w:t>59</w:t>
            </w:r>
            <w:r w:rsidR="00466AC7">
              <w:rPr>
                <w:webHidden/>
              </w:rPr>
              <w:fldChar w:fldCharType="end"/>
            </w:r>
          </w:hyperlink>
        </w:p>
        <w:p w14:paraId="3DDCBADA" w14:textId="77777777" w:rsidR="00466AC7" w:rsidRDefault="00F329C0">
          <w:pPr>
            <w:pStyle w:val="TOC1"/>
            <w:rPr>
              <w:rFonts w:eastAsiaTheme="minorEastAsia" w:cstheme="minorBidi"/>
              <w:b w:val="0"/>
              <w:noProof/>
              <w:sz w:val="22"/>
              <w:szCs w:val="22"/>
              <w:lang w:eastAsia="en-AU"/>
            </w:rPr>
          </w:pPr>
          <w:hyperlink w:anchor="_Toc500508407" w:history="1">
            <w:r w:rsidR="00466AC7" w:rsidRPr="005E5AE6">
              <w:rPr>
                <w:rStyle w:val="Hyperlink"/>
                <w:rFonts w:ascii="Calibri" w:hAnsi="Calibri"/>
                <w:noProof/>
              </w:rPr>
              <w:t>7</w:t>
            </w:r>
            <w:r w:rsidR="00466AC7">
              <w:rPr>
                <w:rFonts w:eastAsiaTheme="minorEastAsia" w:cstheme="minorBidi"/>
                <w:b w:val="0"/>
                <w:noProof/>
                <w:sz w:val="22"/>
                <w:szCs w:val="22"/>
                <w:lang w:eastAsia="en-AU"/>
              </w:rPr>
              <w:tab/>
            </w:r>
            <w:r w:rsidR="00466AC7" w:rsidRPr="005E5AE6">
              <w:rPr>
                <w:rStyle w:val="Hyperlink"/>
                <w:noProof/>
              </w:rPr>
              <w:t>Non-compliance with prawn import conditions, 2010 to 2016</w:t>
            </w:r>
            <w:r w:rsidR="00466AC7">
              <w:rPr>
                <w:noProof/>
                <w:webHidden/>
              </w:rPr>
              <w:tab/>
            </w:r>
            <w:r w:rsidR="00466AC7">
              <w:rPr>
                <w:noProof/>
                <w:webHidden/>
              </w:rPr>
              <w:fldChar w:fldCharType="begin"/>
            </w:r>
            <w:r w:rsidR="00466AC7">
              <w:rPr>
                <w:noProof/>
                <w:webHidden/>
              </w:rPr>
              <w:instrText xml:space="preserve"> PAGEREF _Toc500508407 \h </w:instrText>
            </w:r>
            <w:r w:rsidR="00466AC7">
              <w:rPr>
                <w:noProof/>
                <w:webHidden/>
              </w:rPr>
            </w:r>
            <w:r w:rsidR="00466AC7">
              <w:rPr>
                <w:noProof/>
                <w:webHidden/>
              </w:rPr>
              <w:fldChar w:fldCharType="separate"/>
            </w:r>
            <w:r w:rsidR="00121BC1">
              <w:rPr>
                <w:noProof/>
                <w:webHidden/>
              </w:rPr>
              <w:t>60</w:t>
            </w:r>
            <w:r w:rsidR="00466AC7">
              <w:rPr>
                <w:noProof/>
                <w:webHidden/>
              </w:rPr>
              <w:fldChar w:fldCharType="end"/>
            </w:r>
          </w:hyperlink>
        </w:p>
        <w:p w14:paraId="57F90C05" w14:textId="77777777" w:rsidR="00466AC7" w:rsidRDefault="00F329C0">
          <w:pPr>
            <w:pStyle w:val="TOC2"/>
            <w:rPr>
              <w:rFonts w:eastAsiaTheme="minorEastAsia" w:cstheme="minorBidi"/>
              <w:iCs w:val="0"/>
              <w:sz w:val="22"/>
              <w:szCs w:val="22"/>
              <w:lang w:eastAsia="en-AU"/>
            </w:rPr>
          </w:pPr>
          <w:hyperlink w:anchor="_Toc500508408" w:history="1">
            <w:r w:rsidR="00466AC7" w:rsidRPr="005E5AE6">
              <w:rPr>
                <w:rStyle w:val="Hyperlink"/>
                <w:rFonts w:ascii="Calibri" w:hAnsi="Calibri"/>
              </w:rPr>
              <w:t>7.1</w:t>
            </w:r>
            <w:r w:rsidR="00466AC7">
              <w:rPr>
                <w:rFonts w:eastAsiaTheme="minorEastAsia" w:cstheme="minorBidi"/>
                <w:iCs w:val="0"/>
                <w:sz w:val="22"/>
                <w:szCs w:val="22"/>
                <w:lang w:eastAsia="en-AU"/>
              </w:rPr>
              <w:tab/>
            </w:r>
            <w:r w:rsidR="00466AC7" w:rsidRPr="005E5AE6">
              <w:rPr>
                <w:rStyle w:val="Hyperlink"/>
              </w:rPr>
              <w:t>Mistaken release of WSSV-positive batches, 2010</w:t>
            </w:r>
            <w:r w:rsidR="00466AC7">
              <w:rPr>
                <w:webHidden/>
              </w:rPr>
              <w:tab/>
            </w:r>
            <w:r w:rsidR="00466AC7">
              <w:rPr>
                <w:webHidden/>
              </w:rPr>
              <w:fldChar w:fldCharType="begin"/>
            </w:r>
            <w:r w:rsidR="00466AC7">
              <w:rPr>
                <w:webHidden/>
              </w:rPr>
              <w:instrText xml:space="preserve"> PAGEREF _Toc500508408 \h </w:instrText>
            </w:r>
            <w:r w:rsidR="00466AC7">
              <w:rPr>
                <w:webHidden/>
              </w:rPr>
            </w:r>
            <w:r w:rsidR="00466AC7">
              <w:rPr>
                <w:webHidden/>
              </w:rPr>
              <w:fldChar w:fldCharType="separate"/>
            </w:r>
            <w:r w:rsidR="00121BC1">
              <w:rPr>
                <w:webHidden/>
              </w:rPr>
              <w:t>60</w:t>
            </w:r>
            <w:r w:rsidR="00466AC7">
              <w:rPr>
                <w:webHidden/>
              </w:rPr>
              <w:fldChar w:fldCharType="end"/>
            </w:r>
          </w:hyperlink>
        </w:p>
        <w:p w14:paraId="084EF8F5" w14:textId="77777777" w:rsidR="00466AC7" w:rsidRDefault="00F329C0">
          <w:pPr>
            <w:pStyle w:val="TOC2"/>
            <w:rPr>
              <w:rFonts w:eastAsiaTheme="minorEastAsia" w:cstheme="minorBidi"/>
              <w:iCs w:val="0"/>
              <w:sz w:val="22"/>
              <w:szCs w:val="22"/>
              <w:lang w:eastAsia="en-AU"/>
            </w:rPr>
          </w:pPr>
          <w:hyperlink w:anchor="_Toc500508409" w:history="1">
            <w:r w:rsidR="00466AC7" w:rsidRPr="005E5AE6">
              <w:rPr>
                <w:rStyle w:val="Hyperlink"/>
                <w:rFonts w:ascii="Calibri" w:hAnsi="Calibri"/>
              </w:rPr>
              <w:t>7.2</w:t>
            </w:r>
            <w:r w:rsidR="00466AC7">
              <w:rPr>
                <w:rFonts w:eastAsiaTheme="minorEastAsia" w:cstheme="minorBidi"/>
                <w:iCs w:val="0"/>
                <w:sz w:val="22"/>
                <w:szCs w:val="22"/>
                <w:lang w:eastAsia="en-AU"/>
              </w:rPr>
              <w:tab/>
            </w:r>
            <w:r w:rsidR="00466AC7" w:rsidRPr="005E5AE6">
              <w:rPr>
                <w:rStyle w:val="Hyperlink"/>
              </w:rPr>
              <w:t>AAHL detection of WSSV in retail prawns, 2013</w:t>
            </w:r>
            <w:r w:rsidR="00466AC7">
              <w:rPr>
                <w:webHidden/>
              </w:rPr>
              <w:tab/>
            </w:r>
            <w:r w:rsidR="00466AC7">
              <w:rPr>
                <w:webHidden/>
              </w:rPr>
              <w:fldChar w:fldCharType="begin"/>
            </w:r>
            <w:r w:rsidR="00466AC7">
              <w:rPr>
                <w:webHidden/>
              </w:rPr>
              <w:instrText xml:space="preserve"> PAGEREF _Toc500508409 \h </w:instrText>
            </w:r>
            <w:r w:rsidR="00466AC7">
              <w:rPr>
                <w:webHidden/>
              </w:rPr>
            </w:r>
            <w:r w:rsidR="00466AC7">
              <w:rPr>
                <w:webHidden/>
              </w:rPr>
              <w:fldChar w:fldCharType="separate"/>
            </w:r>
            <w:r w:rsidR="00121BC1">
              <w:rPr>
                <w:webHidden/>
              </w:rPr>
              <w:t>61</w:t>
            </w:r>
            <w:r w:rsidR="00466AC7">
              <w:rPr>
                <w:webHidden/>
              </w:rPr>
              <w:fldChar w:fldCharType="end"/>
            </w:r>
          </w:hyperlink>
        </w:p>
        <w:p w14:paraId="58B17A03" w14:textId="77777777" w:rsidR="00466AC7" w:rsidRDefault="00F329C0">
          <w:pPr>
            <w:pStyle w:val="TOC2"/>
            <w:rPr>
              <w:rFonts w:eastAsiaTheme="minorEastAsia" w:cstheme="minorBidi"/>
              <w:iCs w:val="0"/>
              <w:sz w:val="22"/>
              <w:szCs w:val="22"/>
              <w:lang w:eastAsia="en-AU"/>
            </w:rPr>
          </w:pPr>
          <w:hyperlink w:anchor="_Toc500508410" w:history="1">
            <w:r w:rsidR="00466AC7" w:rsidRPr="005E5AE6">
              <w:rPr>
                <w:rStyle w:val="Hyperlink"/>
                <w:rFonts w:ascii="Calibri" w:hAnsi="Calibri"/>
              </w:rPr>
              <w:t>7.3</w:t>
            </w:r>
            <w:r w:rsidR="00466AC7">
              <w:rPr>
                <w:rFonts w:eastAsiaTheme="minorEastAsia" w:cstheme="minorBidi"/>
                <w:iCs w:val="0"/>
                <w:sz w:val="22"/>
                <w:szCs w:val="22"/>
                <w:lang w:eastAsia="en-AU"/>
              </w:rPr>
              <w:tab/>
            </w:r>
            <w:r w:rsidR="00466AC7" w:rsidRPr="005E5AE6">
              <w:rPr>
                <w:rStyle w:val="Hyperlink"/>
              </w:rPr>
              <w:t>Operation East Leichhardt investigation into marinated prawn imports, 2014</w:t>
            </w:r>
            <w:r w:rsidR="00466AC7">
              <w:rPr>
                <w:webHidden/>
              </w:rPr>
              <w:tab/>
            </w:r>
            <w:r w:rsidR="00466AC7">
              <w:rPr>
                <w:webHidden/>
              </w:rPr>
              <w:fldChar w:fldCharType="begin"/>
            </w:r>
            <w:r w:rsidR="00466AC7">
              <w:rPr>
                <w:webHidden/>
              </w:rPr>
              <w:instrText xml:space="preserve"> PAGEREF _Toc500508410 \h </w:instrText>
            </w:r>
            <w:r w:rsidR="00466AC7">
              <w:rPr>
                <w:webHidden/>
              </w:rPr>
            </w:r>
            <w:r w:rsidR="00466AC7">
              <w:rPr>
                <w:webHidden/>
              </w:rPr>
              <w:fldChar w:fldCharType="separate"/>
            </w:r>
            <w:r w:rsidR="00121BC1">
              <w:rPr>
                <w:webHidden/>
              </w:rPr>
              <w:t>61</w:t>
            </w:r>
            <w:r w:rsidR="00466AC7">
              <w:rPr>
                <w:webHidden/>
              </w:rPr>
              <w:fldChar w:fldCharType="end"/>
            </w:r>
          </w:hyperlink>
        </w:p>
        <w:p w14:paraId="2BA2A8F9" w14:textId="77777777" w:rsidR="00466AC7" w:rsidRDefault="00F329C0">
          <w:pPr>
            <w:pStyle w:val="TOC2"/>
            <w:rPr>
              <w:rFonts w:eastAsiaTheme="minorEastAsia" w:cstheme="minorBidi"/>
              <w:iCs w:val="0"/>
              <w:sz w:val="22"/>
              <w:szCs w:val="22"/>
              <w:lang w:eastAsia="en-AU"/>
            </w:rPr>
          </w:pPr>
          <w:hyperlink w:anchor="_Toc500508411" w:history="1">
            <w:r w:rsidR="00466AC7" w:rsidRPr="005E5AE6">
              <w:rPr>
                <w:rStyle w:val="Hyperlink"/>
                <w:rFonts w:ascii="Calibri" w:hAnsi="Calibri"/>
              </w:rPr>
              <w:t>7.4</w:t>
            </w:r>
            <w:r w:rsidR="00466AC7">
              <w:rPr>
                <w:rFonts w:eastAsiaTheme="minorEastAsia" w:cstheme="minorBidi"/>
                <w:iCs w:val="0"/>
                <w:sz w:val="22"/>
                <w:szCs w:val="22"/>
                <w:lang w:eastAsia="en-AU"/>
              </w:rPr>
              <w:tab/>
            </w:r>
            <w:r w:rsidR="00466AC7" w:rsidRPr="005E5AE6">
              <w:rPr>
                <w:rStyle w:val="Hyperlink"/>
              </w:rPr>
              <w:t>Non-compliance detected at border assessment and inspection 2013–14 to 2015–16</w:t>
            </w:r>
            <w:r w:rsidR="00466AC7">
              <w:rPr>
                <w:webHidden/>
              </w:rPr>
              <w:tab/>
            </w:r>
            <w:r w:rsidR="00466AC7">
              <w:rPr>
                <w:webHidden/>
              </w:rPr>
              <w:fldChar w:fldCharType="begin"/>
            </w:r>
            <w:r w:rsidR="00466AC7">
              <w:rPr>
                <w:webHidden/>
              </w:rPr>
              <w:instrText xml:space="preserve"> PAGEREF _Toc500508411 \h </w:instrText>
            </w:r>
            <w:r w:rsidR="00466AC7">
              <w:rPr>
                <w:webHidden/>
              </w:rPr>
            </w:r>
            <w:r w:rsidR="00466AC7">
              <w:rPr>
                <w:webHidden/>
              </w:rPr>
              <w:fldChar w:fldCharType="separate"/>
            </w:r>
            <w:r w:rsidR="00121BC1">
              <w:rPr>
                <w:webHidden/>
              </w:rPr>
              <w:t>62</w:t>
            </w:r>
            <w:r w:rsidR="00466AC7">
              <w:rPr>
                <w:webHidden/>
              </w:rPr>
              <w:fldChar w:fldCharType="end"/>
            </w:r>
          </w:hyperlink>
        </w:p>
        <w:p w14:paraId="1A3910CE" w14:textId="77777777" w:rsidR="00466AC7" w:rsidRDefault="00F329C0">
          <w:pPr>
            <w:pStyle w:val="TOC2"/>
            <w:rPr>
              <w:rFonts w:eastAsiaTheme="minorEastAsia" w:cstheme="minorBidi"/>
              <w:iCs w:val="0"/>
              <w:sz w:val="22"/>
              <w:szCs w:val="22"/>
              <w:lang w:eastAsia="en-AU"/>
            </w:rPr>
          </w:pPr>
          <w:hyperlink w:anchor="_Toc500508412" w:history="1">
            <w:r w:rsidR="00466AC7" w:rsidRPr="005E5AE6">
              <w:rPr>
                <w:rStyle w:val="Hyperlink"/>
                <w:rFonts w:ascii="Calibri" w:hAnsi="Calibri"/>
              </w:rPr>
              <w:t>7.5</w:t>
            </w:r>
            <w:r w:rsidR="00466AC7">
              <w:rPr>
                <w:rFonts w:eastAsiaTheme="minorEastAsia" w:cstheme="minorBidi"/>
                <w:iCs w:val="0"/>
                <w:sz w:val="22"/>
                <w:szCs w:val="22"/>
                <w:lang w:eastAsia="en-AU"/>
              </w:rPr>
              <w:tab/>
            </w:r>
            <w:r w:rsidR="00466AC7" w:rsidRPr="005E5AE6">
              <w:rPr>
                <w:rStyle w:val="Hyperlink"/>
              </w:rPr>
              <w:t>Operation Cattai investigation into systematic importer non-compliance, 2016</w:t>
            </w:r>
            <w:r w:rsidR="00466AC7">
              <w:rPr>
                <w:webHidden/>
              </w:rPr>
              <w:tab/>
            </w:r>
            <w:r w:rsidR="00466AC7">
              <w:rPr>
                <w:webHidden/>
              </w:rPr>
              <w:fldChar w:fldCharType="begin"/>
            </w:r>
            <w:r w:rsidR="00466AC7">
              <w:rPr>
                <w:webHidden/>
              </w:rPr>
              <w:instrText xml:space="preserve"> PAGEREF _Toc500508412 \h </w:instrText>
            </w:r>
            <w:r w:rsidR="00466AC7">
              <w:rPr>
                <w:webHidden/>
              </w:rPr>
            </w:r>
            <w:r w:rsidR="00466AC7">
              <w:rPr>
                <w:webHidden/>
              </w:rPr>
              <w:fldChar w:fldCharType="separate"/>
            </w:r>
            <w:r w:rsidR="00121BC1">
              <w:rPr>
                <w:webHidden/>
              </w:rPr>
              <w:t>63</w:t>
            </w:r>
            <w:r w:rsidR="00466AC7">
              <w:rPr>
                <w:webHidden/>
              </w:rPr>
              <w:fldChar w:fldCharType="end"/>
            </w:r>
          </w:hyperlink>
        </w:p>
        <w:p w14:paraId="1A467918" w14:textId="77777777" w:rsidR="00466AC7" w:rsidRDefault="00F329C0">
          <w:pPr>
            <w:pStyle w:val="TOC1"/>
            <w:rPr>
              <w:rFonts w:eastAsiaTheme="minorEastAsia" w:cstheme="minorBidi"/>
              <w:b w:val="0"/>
              <w:noProof/>
              <w:sz w:val="22"/>
              <w:szCs w:val="22"/>
              <w:lang w:eastAsia="en-AU"/>
            </w:rPr>
          </w:pPr>
          <w:hyperlink w:anchor="_Toc500508413" w:history="1">
            <w:r w:rsidR="00466AC7" w:rsidRPr="005E5AE6">
              <w:rPr>
                <w:rStyle w:val="Hyperlink"/>
                <w:rFonts w:ascii="Calibri" w:hAnsi="Calibri"/>
                <w:noProof/>
              </w:rPr>
              <w:t>8</w:t>
            </w:r>
            <w:r w:rsidR="00466AC7">
              <w:rPr>
                <w:rFonts w:eastAsiaTheme="minorEastAsia" w:cstheme="minorBidi"/>
                <w:b w:val="0"/>
                <w:noProof/>
                <w:sz w:val="22"/>
                <w:szCs w:val="22"/>
                <w:lang w:eastAsia="en-AU"/>
              </w:rPr>
              <w:tab/>
            </w:r>
            <w:r w:rsidR="00466AC7" w:rsidRPr="005E5AE6">
              <w:rPr>
                <w:rStyle w:val="Hyperlink"/>
                <w:noProof/>
              </w:rPr>
              <w:t>Lessons from Operation Cattai</w:t>
            </w:r>
            <w:r w:rsidR="00466AC7">
              <w:rPr>
                <w:noProof/>
                <w:webHidden/>
              </w:rPr>
              <w:tab/>
            </w:r>
            <w:r w:rsidR="00466AC7">
              <w:rPr>
                <w:noProof/>
                <w:webHidden/>
              </w:rPr>
              <w:fldChar w:fldCharType="begin"/>
            </w:r>
            <w:r w:rsidR="00466AC7">
              <w:rPr>
                <w:noProof/>
                <w:webHidden/>
              </w:rPr>
              <w:instrText xml:space="preserve"> PAGEREF _Toc500508413 \h </w:instrText>
            </w:r>
            <w:r w:rsidR="00466AC7">
              <w:rPr>
                <w:noProof/>
                <w:webHidden/>
              </w:rPr>
            </w:r>
            <w:r w:rsidR="00466AC7">
              <w:rPr>
                <w:noProof/>
                <w:webHidden/>
              </w:rPr>
              <w:fldChar w:fldCharType="separate"/>
            </w:r>
            <w:r w:rsidR="00121BC1">
              <w:rPr>
                <w:noProof/>
                <w:webHidden/>
              </w:rPr>
              <w:t>67</w:t>
            </w:r>
            <w:r w:rsidR="00466AC7">
              <w:rPr>
                <w:noProof/>
                <w:webHidden/>
              </w:rPr>
              <w:fldChar w:fldCharType="end"/>
            </w:r>
          </w:hyperlink>
        </w:p>
        <w:p w14:paraId="1CA0416C" w14:textId="77777777" w:rsidR="00466AC7" w:rsidRDefault="00F329C0">
          <w:pPr>
            <w:pStyle w:val="TOC2"/>
            <w:rPr>
              <w:rFonts w:eastAsiaTheme="minorEastAsia" w:cstheme="minorBidi"/>
              <w:iCs w:val="0"/>
              <w:sz w:val="22"/>
              <w:szCs w:val="22"/>
              <w:lang w:eastAsia="en-AU"/>
            </w:rPr>
          </w:pPr>
          <w:hyperlink w:anchor="_Toc500508414" w:history="1">
            <w:r w:rsidR="00466AC7" w:rsidRPr="005E5AE6">
              <w:rPr>
                <w:rStyle w:val="Hyperlink"/>
                <w:rFonts w:ascii="Calibri" w:hAnsi="Calibri"/>
              </w:rPr>
              <w:t>8.1</w:t>
            </w:r>
            <w:r w:rsidR="00466AC7">
              <w:rPr>
                <w:rFonts w:eastAsiaTheme="minorEastAsia" w:cstheme="minorBidi"/>
                <w:iCs w:val="0"/>
                <w:sz w:val="22"/>
                <w:szCs w:val="22"/>
                <w:lang w:eastAsia="en-AU"/>
              </w:rPr>
              <w:tab/>
            </w:r>
            <w:r w:rsidR="00466AC7" w:rsidRPr="005E5AE6">
              <w:rPr>
                <w:rStyle w:val="Hyperlink"/>
              </w:rPr>
              <w:t>Too much trust in importers to do the right thing</w:t>
            </w:r>
            <w:r w:rsidR="00466AC7">
              <w:rPr>
                <w:webHidden/>
              </w:rPr>
              <w:tab/>
            </w:r>
            <w:r w:rsidR="00466AC7">
              <w:rPr>
                <w:webHidden/>
              </w:rPr>
              <w:fldChar w:fldCharType="begin"/>
            </w:r>
            <w:r w:rsidR="00466AC7">
              <w:rPr>
                <w:webHidden/>
              </w:rPr>
              <w:instrText xml:space="preserve"> PAGEREF _Toc500508414 \h </w:instrText>
            </w:r>
            <w:r w:rsidR="00466AC7">
              <w:rPr>
                <w:webHidden/>
              </w:rPr>
            </w:r>
            <w:r w:rsidR="00466AC7">
              <w:rPr>
                <w:webHidden/>
              </w:rPr>
              <w:fldChar w:fldCharType="separate"/>
            </w:r>
            <w:r w:rsidR="00121BC1">
              <w:rPr>
                <w:webHidden/>
              </w:rPr>
              <w:t>67</w:t>
            </w:r>
            <w:r w:rsidR="00466AC7">
              <w:rPr>
                <w:webHidden/>
              </w:rPr>
              <w:fldChar w:fldCharType="end"/>
            </w:r>
          </w:hyperlink>
        </w:p>
        <w:p w14:paraId="4AFA8C73" w14:textId="77777777" w:rsidR="00466AC7" w:rsidRDefault="00F329C0">
          <w:pPr>
            <w:pStyle w:val="TOC2"/>
            <w:rPr>
              <w:rFonts w:eastAsiaTheme="minorEastAsia" w:cstheme="minorBidi"/>
              <w:iCs w:val="0"/>
              <w:sz w:val="22"/>
              <w:szCs w:val="22"/>
              <w:lang w:eastAsia="en-AU"/>
            </w:rPr>
          </w:pPr>
          <w:hyperlink w:anchor="_Toc500508415" w:history="1">
            <w:r w:rsidR="00466AC7" w:rsidRPr="005E5AE6">
              <w:rPr>
                <w:rStyle w:val="Hyperlink"/>
                <w:rFonts w:ascii="Calibri" w:hAnsi="Calibri"/>
              </w:rPr>
              <w:t>8.2</w:t>
            </w:r>
            <w:r w:rsidR="00466AC7">
              <w:rPr>
                <w:rFonts w:eastAsiaTheme="minorEastAsia" w:cstheme="minorBidi"/>
                <w:iCs w:val="0"/>
                <w:sz w:val="22"/>
                <w:szCs w:val="22"/>
                <w:lang w:eastAsia="en-AU"/>
              </w:rPr>
              <w:tab/>
            </w:r>
            <w:r w:rsidR="00466AC7" w:rsidRPr="005E5AE6">
              <w:rPr>
                <w:rStyle w:val="Hyperlink"/>
              </w:rPr>
              <w:t>Weak assessment and inspection procedures</w:t>
            </w:r>
            <w:r w:rsidR="00466AC7">
              <w:rPr>
                <w:webHidden/>
              </w:rPr>
              <w:tab/>
            </w:r>
            <w:r w:rsidR="00466AC7">
              <w:rPr>
                <w:webHidden/>
              </w:rPr>
              <w:fldChar w:fldCharType="begin"/>
            </w:r>
            <w:r w:rsidR="00466AC7">
              <w:rPr>
                <w:webHidden/>
              </w:rPr>
              <w:instrText xml:space="preserve"> PAGEREF _Toc500508415 \h </w:instrText>
            </w:r>
            <w:r w:rsidR="00466AC7">
              <w:rPr>
                <w:webHidden/>
              </w:rPr>
            </w:r>
            <w:r w:rsidR="00466AC7">
              <w:rPr>
                <w:webHidden/>
              </w:rPr>
              <w:fldChar w:fldCharType="separate"/>
            </w:r>
            <w:r w:rsidR="00121BC1">
              <w:rPr>
                <w:webHidden/>
              </w:rPr>
              <w:t>68</w:t>
            </w:r>
            <w:r w:rsidR="00466AC7">
              <w:rPr>
                <w:webHidden/>
              </w:rPr>
              <w:fldChar w:fldCharType="end"/>
            </w:r>
          </w:hyperlink>
        </w:p>
        <w:p w14:paraId="08EAE4CF" w14:textId="77777777" w:rsidR="00466AC7" w:rsidRDefault="00F329C0">
          <w:pPr>
            <w:pStyle w:val="TOC2"/>
            <w:rPr>
              <w:rFonts w:eastAsiaTheme="minorEastAsia" w:cstheme="minorBidi"/>
              <w:iCs w:val="0"/>
              <w:sz w:val="22"/>
              <w:szCs w:val="22"/>
              <w:lang w:eastAsia="en-AU"/>
            </w:rPr>
          </w:pPr>
          <w:hyperlink w:anchor="_Toc500508416" w:history="1">
            <w:r w:rsidR="00466AC7" w:rsidRPr="005E5AE6">
              <w:rPr>
                <w:rStyle w:val="Hyperlink"/>
                <w:rFonts w:ascii="Calibri" w:hAnsi="Calibri"/>
              </w:rPr>
              <w:t>8.3</w:t>
            </w:r>
            <w:r w:rsidR="00466AC7">
              <w:rPr>
                <w:rFonts w:eastAsiaTheme="minorEastAsia" w:cstheme="minorBidi"/>
                <w:iCs w:val="0"/>
                <w:sz w:val="22"/>
                <w:szCs w:val="22"/>
                <w:lang w:eastAsia="en-AU"/>
              </w:rPr>
              <w:tab/>
            </w:r>
            <w:r w:rsidR="00466AC7" w:rsidRPr="005E5AE6">
              <w:rPr>
                <w:rStyle w:val="Hyperlink"/>
              </w:rPr>
              <w:t>Variation in laboratory testing procedures and interpretation</w:t>
            </w:r>
            <w:r w:rsidR="00466AC7">
              <w:rPr>
                <w:webHidden/>
              </w:rPr>
              <w:tab/>
            </w:r>
            <w:r w:rsidR="00466AC7">
              <w:rPr>
                <w:webHidden/>
              </w:rPr>
              <w:fldChar w:fldCharType="begin"/>
            </w:r>
            <w:r w:rsidR="00466AC7">
              <w:rPr>
                <w:webHidden/>
              </w:rPr>
              <w:instrText xml:space="preserve"> PAGEREF _Toc500508416 \h </w:instrText>
            </w:r>
            <w:r w:rsidR="00466AC7">
              <w:rPr>
                <w:webHidden/>
              </w:rPr>
            </w:r>
            <w:r w:rsidR="00466AC7">
              <w:rPr>
                <w:webHidden/>
              </w:rPr>
              <w:fldChar w:fldCharType="separate"/>
            </w:r>
            <w:r w:rsidR="00121BC1">
              <w:rPr>
                <w:webHidden/>
              </w:rPr>
              <w:t>70</w:t>
            </w:r>
            <w:r w:rsidR="00466AC7">
              <w:rPr>
                <w:webHidden/>
              </w:rPr>
              <w:fldChar w:fldCharType="end"/>
            </w:r>
          </w:hyperlink>
        </w:p>
        <w:p w14:paraId="36588230" w14:textId="77777777" w:rsidR="00466AC7" w:rsidRDefault="00F329C0">
          <w:pPr>
            <w:pStyle w:val="TOC1"/>
            <w:rPr>
              <w:rFonts w:eastAsiaTheme="minorEastAsia" w:cstheme="minorBidi"/>
              <w:b w:val="0"/>
              <w:noProof/>
              <w:sz w:val="22"/>
              <w:szCs w:val="22"/>
              <w:lang w:eastAsia="en-AU"/>
            </w:rPr>
          </w:pPr>
          <w:hyperlink w:anchor="_Toc500508417" w:history="1">
            <w:r w:rsidR="00466AC7" w:rsidRPr="005E5AE6">
              <w:rPr>
                <w:rStyle w:val="Hyperlink"/>
                <w:rFonts w:ascii="Calibri" w:hAnsi="Calibri"/>
                <w:noProof/>
              </w:rPr>
              <w:t>9</w:t>
            </w:r>
            <w:r w:rsidR="00466AC7">
              <w:rPr>
                <w:rFonts w:eastAsiaTheme="minorEastAsia" w:cstheme="minorBidi"/>
                <w:b w:val="0"/>
                <w:noProof/>
                <w:sz w:val="22"/>
                <w:szCs w:val="22"/>
                <w:lang w:eastAsia="en-AU"/>
              </w:rPr>
              <w:tab/>
            </w:r>
            <w:r w:rsidR="00466AC7" w:rsidRPr="005E5AE6">
              <w:rPr>
                <w:rStyle w:val="Hyperlink"/>
                <w:noProof/>
              </w:rPr>
              <w:t>Handling prawns during import suspension, 6 January to 9 July 2017</w:t>
            </w:r>
            <w:r w:rsidR="00466AC7">
              <w:rPr>
                <w:noProof/>
                <w:webHidden/>
              </w:rPr>
              <w:tab/>
            </w:r>
            <w:r w:rsidR="00466AC7">
              <w:rPr>
                <w:noProof/>
                <w:webHidden/>
              </w:rPr>
              <w:fldChar w:fldCharType="begin"/>
            </w:r>
            <w:r w:rsidR="00466AC7">
              <w:rPr>
                <w:noProof/>
                <w:webHidden/>
              </w:rPr>
              <w:instrText xml:space="preserve"> PAGEREF _Toc500508417 \h </w:instrText>
            </w:r>
            <w:r w:rsidR="00466AC7">
              <w:rPr>
                <w:noProof/>
                <w:webHidden/>
              </w:rPr>
            </w:r>
            <w:r w:rsidR="00466AC7">
              <w:rPr>
                <w:noProof/>
                <w:webHidden/>
              </w:rPr>
              <w:fldChar w:fldCharType="separate"/>
            </w:r>
            <w:r w:rsidR="00121BC1">
              <w:rPr>
                <w:noProof/>
                <w:webHidden/>
              </w:rPr>
              <w:t>73</w:t>
            </w:r>
            <w:r w:rsidR="00466AC7">
              <w:rPr>
                <w:noProof/>
                <w:webHidden/>
              </w:rPr>
              <w:fldChar w:fldCharType="end"/>
            </w:r>
          </w:hyperlink>
        </w:p>
        <w:p w14:paraId="7C872C9F" w14:textId="77777777" w:rsidR="00466AC7" w:rsidRDefault="00F329C0">
          <w:pPr>
            <w:pStyle w:val="TOC2"/>
            <w:rPr>
              <w:rFonts w:eastAsiaTheme="minorEastAsia" w:cstheme="minorBidi"/>
              <w:iCs w:val="0"/>
              <w:sz w:val="22"/>
              <w:szCs w:val="22"/>
              <w:lang w:eastAsia="en-AU"/>
            </w:rPr>
          </w:pPr>
          <w:hyperlink w:anchor="_Toc500508418" w:history="1">
            <w:r w:rsidR="00466AC7" w:rsidRPr="005E5AE6">
              <w:rPr>
                <w:rStyle w:val="Hyperlink"/>
                <w:rFonts w:ascii="Calibri" w:hAnsi="Calibri"/>
              </w:rPr>
              <w:t>9.1</w:t>
            </w:r>
            <w:r w:rsidR="00466AC7">
              <w:rPr>
                <w:rFonts w:eastAsiaTheme="minorEastAsia" w:cstheme="minorBidi"/>
                <w:iCs w:val="0"/>
                <w:sz w:val="22"/>
                <w:szCs w:val="22"/>
                <w:lang w:eastAsia="en-AU"/>
              </w:rPr>
              <w:tab/>
            </w:r>
            <w:r w:rsidR="00466AC7" w:rsidRPr="005E5AE6">
              <w:rPr>
                <w:rStyle w:val="Hyperlink"/>
              </w:rPr>
              <w:t>Implementing the suspension of uncooked prawn imports</w:t>
            </w:r>
            <w:r w:rsidR="00466AC7">
              <w:rPr>
                <w:webHidden/>
              </w:rPr>
              <w:tab/>
            </w:r>
            <w:r w:rsidR="00466AC7">
              <w:rPr>
                <w:webHidden/>
              </w:rPr>
              <w:fldChar w:fldCharType="begin"/>
            </w:r>
            <w:r w:rsidR="00466AC7">
              <w:rPr>
                <w:webHidden/>
              </w:rPr>
              <w:instrText xml:space="preserve"> PAGEREF _Toc500508418 \h </w:instrText>
            </w:r>
            <w:r w:rsidR="00466AC7">
              <w:rPr>
                <w:webHidden/>
              </w:rPr>
            </w:r>
            <w:r w:rsidR="00466AC7">
              <w:rPr>
                <w:webHidden/>
              </w:rPr>
              <w:fldChar w:fldCharType="separate"/>
            </w:r>
            <w:r w:rsidR="00121BC1">
              <w:rPr>
                <w:webHidden/>
              </w:rPr>
              <w:t>73</w:t>
            </w:r>
            <w:r w:rsidR="00466AC7">
              <w:rPr>
                <w:webHidden/>
              </w:rPr>
              <w:fldChar w:fldCharType="end"/>
            </w:r>
          </w:hyperlink>
        </w:p>
        <w:p w14:paraId="68C7D103" w14:textId="77777777" w:rsidR="00466AC7" w:rsidRDefault="00F329C0">
          <w:pPr>
            <w:pStyle w:val="TOC2"/>
            <w:rPr>
              <w:rFonts w:eastAsiaTheme="minorEastAsia" w:cstheme="minorBidi"/>
              <w:iCs w:val="0"/>
              <w:sz w:val="22"/>
              <w:szCs w:val="22"/>
              <w:lang w:eastAsia="en-AU"/>
            </w:rPr>
          </w:pPr>
          <w:hyperlink w:anchor="_Toc500508419" w:history="1">
            <w:r w:rsidR="00466AC7" w:rsidRPr="005E5AE6">
              <w:rPr>
                <w:rStyle w:val="Hyperlink"/>
                <w:rFonts w:ascii="Calibri" w:hAnsi="Calibri"/>
              </w:rPr>
              <w:t>9.2</w:t>
            </w:r>
            <w:r w:rsidR="00466AC7">
              <w:rPr>
                <w:rFonts w:eastAsiaTheme="minorEastAsia" w:cstheme="minorBidi"/>
                <w:iCs w:val="0"/>
                <w:sz w:val="22"/>
                <w:szCs w:val="22"/>
                <w:lang w:eastAsia="en-AU"/>
              </w:rPr>
              <w:tab/>
            </w:r>
            <w:r w:rsidR="00466AC7" w:rsidRPr="005E5AE6">
              <w:rPr>
                <w:rStyle w:val="Hyperlink"/>
              </w:rPr>
              <w:t>Post-border withdrawal of uncooked and marinated prawns</w:t>
            </w:r>
            <w:r w:rsidR="00466AC7">
              <w:rPr>
                <w:webHidden/>
              </w:rPr>
              <w:tab/>
            </w:r>
            <w:r w:rsidR="00466AC7">
              <w:rPr>
                <w:webHidden/>
              </w:rPr>
              <w:fldChar w:fldCharType="begin"/>
            </w:r>
            <w:r w:rsidR="00466AC7">
              <w:rPr>
                <w:webHidden/>
              </w:rPr>
              <w:instrText xml:space="preserve"> PAGEREF _Toc500508419 \h </w:instrText>
            </w:r>
            <w:r w:rsidR="00466AC7">
              <w:rPr>
                <w:webHidden/>
              </w:rPr>
            </w:r>
            <w:r w:rsidR="00466AC7">
              <w:rPr>
                <w:webHidden/>
              </w:rPr>
              <w:fldChar w:fldCharType="separate"/>
            </w:r>
            <w:r w:rsidR="00121BC1">
              <w:rPr>
                <w:webHidden/>
              </w:rPr>
              <w:t>73</w:t>
            </w:r>
            <w:r w:rsidR="00466AC7">
              <w:rPr>
                <w:webHidden/>
              </w:rPr>
              <w:fldChar w:fldCharType="end"/>
            </w:r>
          </w:hyperlink>
        </w:p>
        <w:p w14:paraId="54AA46AA" w14:textId="77777777" w:rsidR="00466AC7" w:rsidRDefault="00F329C0">
          <w:pPr>
            <w:pStyle w:val="TOC2"/>
            <w:rPr>
              <w:rFonts w:eastAsiaTheme="minorEastAsia" w:cstheme="minorBidi"/>
              <w:iCs w:val="0"/>
              <w:sz w:val="22"/>
              <w:szCs w:val="22"/>
              <w:lang w:eastAsia="en-AU"/>
            </w:rPr>
          </w:pPr>
          <w:hyperlink w:anchor="_Toc500508420" w:history="1">
            <w:r w:rsidR="00466AC7" w:rsidRPr="005E5AE6">
              <w:rPr>
                <w:rStyle w:val="Hyperlink"/>
                <w:rFonts w:ascii="Calibri" w:hAnsi="Calibri"/>
              </w:rPr>
              <w:t>9.3</w:t>
            </w:r>
            <w:r w:rsidR="00466AC7">
              <w:rPr>
                <w:rFonts w:eastAsiaTheme="minorEastAsia" w:cstheme="minorBidi"/>
                <w:iCs w:val="0"/>
                <w:sz w:val="22"/>
                <w:szCs w:val="22"/>
                <w:lang w:eastAsia="en-AU"/>
              </w:rPr>
              <w:tab/>
            </w:r>
            <w:r w:rsidR="00466AC7" w:rsidRPr="005E5AE6">
              <w:rPr>
                <w:rStyle w:val="Hyperlink"/>
              </w:rPr>
              <w:t>Variations to uncooked prawn import suspension order, January to June 2017</w:t>
            </w:r>
            <w:r w:rsidR="00466AC7">
              <w:rPr>
                <w:webHidden/>
              </w:rPr>
              <w:tab/>
            </w:r>
            <w:r w:rsidR="00466AC7">
              <w:rPr>
                <w:webHidden/>
              </w:rPr>
              <w:fldChar w:fldCharType="begin"/>
            </w:r>
            <w:r w:rsidR="00466AC7">
              <w:rPr>
                <w:webHidden/>
              </w:rPr>
              <w:instrText xml:space="preserve"> PAGEREF _Toc500508420 \h </w:instrText>
            </w:r>
            <w:r w:rsidR="00466AC7">
              <w:rPr>
                <w:webHidden/>
              </w:rPr>
            </w:r>
            <w:r w:rsidR="00466AC7">
              <w:rPr>
                <w:webHidden/>
              </w:rPr>
              <w:fldChar w:fldCharType="separate"/>
            </w:r>
            <w:r w:rsidR="00121BC1">
              <w:rPr>
                <w:webHidden/>
              </w:rPr>
              <w:t>80</w:t>
            </w:r>
            <w:r w:rsidR="00466AC7">
              <w:rPr>
                <w:webHidden/>
              </w:rPr>
              <w:fldChar w:fldCharType="end"/>
            </w:r>
          </w:hyperlink>
        </w:p>
        <w:p w14:paraId="2365DB26" w14:textId="77777777" w:rsidR="00466AC7" w:rsidRDefault="00F329C0">
          <w:pPr>
            <w:pStyle w:val="TOC1"/>
            <w:rPr>
              <w:rFonts w:eastAsiaTheme="minorEastAsia" w:cstheme="minorBidi"/>
              <w:b w:val="0"/>
              <w:noProof/>
              <w:sz w:val="22"/>
              <w:szCs w:val="22"/>
              <w:lang w:eastAsia="en-AU"/>
            </w:rPr>
          </w:pPr>
          <w:hyperlink w:anchor="_Toc500508421" w:history="1">
            <w:r w:rsidR="00466AC7" w:rsidRPr="005E5AE6">
              <w:rPr>
                <w:rStyle w:val="Hyperlink"/>
                <w:rFonts w:ascii="Calibri" w:hAnsi="Calibri"/>
                <w:noProof/>
              </w:rPr>
              <w:t>10</w:t>
            </w:r>
            <w:r w:rsidR="00466AC7">
              <w:rPr>
                <w:rFonts w:eastAsiaTheme="minorEastAsia" w:cstheme="minorBidi"/>
                <w:b w:val="0"/>
                <w:noProof/>
                <w:sz w:val="22"/>
                <w:szCs w:val="22"/>
                <w:lang w:eastAsia="en-AU"/>
              </w:rPr>
              <w:tab/>
            </w:r>
            <w:r w:rsidR="00466AC7" w:rsidRPr="005E5AE6">
              <w:rPr>
                <w:rStyle w:val="Hyperlink"/>
                <w:noProof/>
              </w:rPr>
              <w:t>Future pre-border and border measures for trade in prawns</w:t>
            </w:r>
            <w:r w:rsidR="00466AC7">
              <w:rPr>
                <w:noProof/>
                <w:webHidden/>
              </w:rPr>
              <w:tab/>
            </w:r>
            <w:r w:rsidR="00466AC7">
              <w:rPr>
                <w:noProof/>
                <w:webHidden/>
              </w:rPr>
              <w:fldChar w:fldCharType="begin"/>
            </w:r>
            <w:r w:rsidR="00466AC7">
              <w:rPr>
                <w:noProof/>
                <w:webHidden/>
              </w:rPr>
              <w:instrText xml:space="preserve"> PAGEREF _Toc500508421 \h </w:instrText>
            </w:r>
            <w:r w:rsidR="00466AC7">
              <w:rPr>
                <w:noProof/>
                <w:webHidden/>
              </w:rPr>
            </w:r>
            <w:r w:rsidR="00466AC7">
              <w:rPr>
                <w:noProof/>
                <w:webHidden/>
              </w:rPr>
              <w:fldChar w:fldCharType="separate"/>
            </w:r>
            <w:r w:rsidR="00121BC1">
              <w:rPr>
                <w:noProof/>
                <w:webHidden/>
              </w:rPr>
              <w:t>83</w:t>
            </w:r>
            <w:r w:rsidR="00466AC7">
              <w:rPr>
                <w:noProof/>
                <w:webHidden/>
              </w:rPr>
              <w:fldChar w:fldCharType="end"/>
            </w:r>
          </w:hyperlink>
        </w:p>
        <w:p w14:paraId="15951028" w14:textId="77777777" w:rsidR="00466AC7" w:rsidRDefault="00F329C0">
          <w:pPr>
            <w:pStyle w:val="TOC2"/>
            <w:rPr>
              <w:rFonts w:eastAsiaTheme="minorEastAsia" w:cstheme="minorBidi"/>
              <w:iCs w:val="0"/>
              <w:sz w:val="22"/>
              <w:szCs w:val="22"/>
              <w:lang w:eastAsia="en-AU"/>
            </w:rPr>
          </w:pPr>
          <w:hyperlink w:anchor="_Toc500508422" w:history="1">
            <w:r w:rsidR="00466AC7" w:rsidRPr="005E5AE6">
              <w:rPr>
                <w:rStyle w:val="Hyperlink"/>
                <w:rFonts w:ascii="Calibri" w:hAnsi="Calibri"/>
              </w:rPr>
              <w:t>10.1</w:t>
            </w:r>
            <w:r w:rsidR="00466AC7">
              <w:rPr>
                <w:rFonts w:eastAsiaTheme="minorEastAsia" w:cstheme="minorBidi"/>
                <w:iCs w:val="0"/>
                <w:sz w:val="22"/>
                <w:szCs w:val="22"/>
                <w:lang w:eastAsia="en-AU"/>
              </w:rPr>
              <w:tab/>
            </w:r>
            <w:r w:rsidR="00466AC7" w:rsidRPr="005E5AE6">
              <w:rPr>
                <w:rStyle w:val="Hyperlink"/>
              </w:rPr>
              <w:t>Revising prawn import conditions</w:t>
            </w:r>
            <w:r w:rsidR="00466AC7">
              <w:rPr>
                <w:webHidden/>
              </w:rPr>
              <w:tab/>
            </w:r>
            <w:r w:rsidR="00466AC7">
              <w:rPr>
                <w:webHidden/>
              </w:rPr>
              <w:fldChar w:fldCharType="begin"/>
            </w:r>
            <w:r w:rsidR="00466AC7">
              <w:rPr>
                <w:webHidden/>
              </w:rPr>
              <w:instrText xml:space="preserve"> PAGEREF _Toc500508422 \h </w:instrText>
            </w:r>
            <w:r w:rsidR="00466AC7">
              <w:rPr>
                <w:webHidden/>
              </w:rPr>
            </w:r>
            <w:r w:rsidR="00466AC7">
              <w:rPr>
                <w:webHidden/>
              </w:rPr>
              <w:fldChar w:fldCharType="separate"/>
            </w:r>
            <w:r w:rsidR="00121BC1">
              <w:rPr>
                <w:webHidden/>
              </w:rPr>
              <w:t>83</w:t>
            </w:r>
            <w:r w:rsidR="00466AC7">
              <w:rPr>
                <w:webHidden/>
              </w:rPr>
              <w:fldChar w:fldCharType="end"/>
            </w:r>
          </w:hyperlink>
        </w:p>
        <w:p w14:paraId="12998FB9" w14:textId="77777777" w:rsidR="00466AC7" w:rsidRDefault="00F329C0">
          <w:pPr>
            <w:pStyle w:val="TOC2"/>
            <w:rPr>
              <w:rFonts w:eastAsiaTheme="minorEastAsia" w:cstheme="minorBidi"/>
              <w:iCs w:val="0"/>
              <w:sz w:val="22"/>
              <w:szCs w:val="22"/>
              <w:lang w:eastAsia="en-AU"/>
            </w:rPr>
          </w:pPr>
          <w:hyperlink w:anchor="_Toc500508423" w:history="1">
            <w:r w:rsidR="00466AC7" w:rsidRPr="005E5AE6">
              <w:rPr>
                <w:rStyle w:val="Hyperlink"/>
                <w:rFonts w:ascii="Calibri" w:hAnsi="Calibri"/>
              </w:rPr>
              <w:t>10.2</w:t>
            </w:r>
            <w:r w:rsidR="00466AC7">
              <w:rPr>
                <w:rFonts w:eastAsiaTheme="minorEastAsia" w:cstheme="minorBidi"/>
                <w:iCs w:val="0"/>
                <w:sz w:val="22"/>
                <w:szCs w:val="22"/>
                <w:lang w:eastAsia="en-AU"/>
              </w:rPr>
              <w:tab/>
            </w:r>
            <w:r w:rsidR="00466AC7" w:rsidRPr="005E5AE6">
              <w:rPr>
                <w:rStyle w:val="Hyperlink"/>
              </w:rPr>
              <w:t>Future pre-border biosecurity risk management for trade in prawns</w:t>
            </w:r>
            <w:r w:rsidR="00466AC7">
              <w:rPr>
                <w:webHidden/>
              </w:rPr>
              <w:tab/>
            </w:r>
            <w:r w:rsidR="00466AC7">
              <w:rPr>
                <w:webHidden/>
              </w:rPr>
              <w:fldChar w:fldCharType="begin"/>
            </w:r>
            <w:r w:rsidR="00466AC7">
              <w:rPr>
                <w:webHidden/>
              </w:rPr>
              <w:instrText xml:space="preserve"> PAGEREF _Toc500508423 \h </w:instrText>
            </w:r>
            <w:r w:rsidR="00466AC7">
              <w:rPr>
                <w:webHidden/>
              </w:rPr>
            </w:r>
            <w:r w:rsidR="00466AC7">
              <w:rPr>
                <w:webHidden/>
              </w:rPr>
              <w:fldChar w:fldCharType="separate"/>
            </w:r>
            <w:r w:rsidR="00121BC1">
              <w:rPr>
                <w:webHidden/>
              </w:rPr>
              <w:t>84</w:t>
            </w:r>
            <w:r w:rsidR="00466AC7">
              <w:rPr>
                <w:webHidden/>
              </w:rPr>
              <w:fldChar w:fldCharType="end"/>
            </w:r>
          </w:hyperlink>
        </w:p>
        <w:p w14:paraId="3BF1AABF" w14:textId="77777777" w:rsidR="00466AC7" w:rsidRDefault="00F329C0">
          <w:pPr>
            <w:pStyle w:val="TOC2"/>
            <w:rPr>
              <w:rFonts w:eastAsiaTheme="minorEastAsia" w:cstheme="minorBidi"/>
              <w:iCs w:val="0"/>
              <w:sz w:val="22"/>
              <w:szCs w:val="22"/>
              <w:lang w:eastAsia="en-AU"/>
            </w:rPr>
          </w:pPr>
          <w:hyperlink w:anchor="_Toc500508426" w:history="1">
            <w:r w:rsidR="00466AC7" w:rsidRPr="005E5AE6">
              <w:rPr>
                <w:rStyle w:val="Hyperlink"/>
                <w:rFonts w:ascii="Calibri" w:hAnsi="Calibri"/>
              </w:rPr>
              <w:t>10.3</w:t>
            </w:r>
            <w:r w:rsidR="00466AC7">
              <w:rPr>
                <w:rFonts w:eastAsiaTheme="minorEastAsia" w:cstheme="minorBidi"/>
                <w:iCs w:val="0"/>
                <w:sz w:val="22"/>
                <w:szCs w:val="22"/>
                <w:lang w:eastAsia="en-AU"/>
              </w:rPr>
              <w:tab/>
            </w:r>
            <w:r w:rsidR="00466AC7" w:rsidRPr="005E5AE6">
              <w:rPr>
                <w:rStyle w:val="Hyperlink"/>
              </w:rPr>
              <w:t>Future border biosecurity compliance management</w:t>
            </w:r>
            <w:r w:rsidR="00466AC7">
              <w:rPr>
                <w:webHidden/>
              </w:rPr>
              <w:tab/>
            </w:r>
            <w:r w:rsidR="00466AC7">
              <w:rPr>
                <w:webHidden/>
              </w:rPr>
              <w:fldChar w:fldCharType="begin"/>
            </w:r>
            <w:r w:rsidR="00466AC7">
              <w:rPr>
                <w:webHidden/>
              </w:rPr>
              <w:instrText xml:space="preserve"> PAGEREF _Toc500508426 \h </w:instrText>
            </w:r>
            <w:r w:rsidR="00466AC7">
              <w:rPr>
                <w:webHidden/>
              </w:rPr>
            </w:r>
            <w:r w:rsidR="00466AC7">
              <w:rPr>
                <w:webHidden/>
              </w:rPr>
              <w:fldChar w:fldCharType="separate"/>
            </w:r>
            <w:r w:rsidR="00121BC1">
              <w:rPr>
                <w:webHidden/>
              </w:rPr>
              <w:t>86</w:t>
            </w:r>
            <w:r w:rsidR="00466AC7">
              <w:rPr>
                <w:webHidden/>
              </w:rPr>
              <w:fldChar w:fldCharType="end"/>
            </w:r>
          </w:hyperlink>
        </w:p>
        <w:p w14:paraId="58E623C8" w14:textId="0E9680DF" w:rsidR="00466AC7" w:rsidRDefault="00F329C0" w:rsidP="00466AC7">
          <w:pPr>
            <w:pStyle w:val="TOC2"/>
            <w:rPr>
              <w:rFonts w:eastAsiaTheme="minorEastAsia" w:cstheme="minorBidi"/>
              <w:iCs w:val="0"/>
              <w:sz w:val="22"/>
              <w:szCs w:val="22"/>
              <w:lang w:eastAsia="en-AU"/>
            </w:rPr>
          </w:pPr>
          <w:hyperlink w:anchor="_Toc500508432" w:history="1">
            <w:r w:rsidR="00466AC7" w:rsidRPr="005E5AE6">
              <w:rPr>
                <w:rStyle w:val="Hyperlink"/>
                <w:rFonts w:ascii="Calibri" w:hAnsi="Calibri"/>
              </w:rPr>
              <w:t>10.4</w:t>
            </w:r>
            <w:r w:rsidR="00466AC7">
              <w:rPr>
                <w:rFonts w:eastAsiaTheme="minorEastAsia" w:cstheme="minorBidi"/>
                <w:iCs w:val="0"/>
                <w:sz w:val="22"/>
                <w:szCs w:val="22"/>
                <w:lang w:eastAsia="en-AU"/>
              </w:rPr>
              <w:tab/>
            </w:r>
            <w:r w:rsidR="00466AC7" w:rsidRPr="005E5AE6">
              <w:rPr>
                <w:rStyle w:val="Hyperlink"/>
              </w:rPr>
              <w:t>Resourcing border biosecurity adequately into the future</w:t>
            </w:r>
            <w:r w:rsidR="00466AC7">
              <w:rPr>
                <w:webHidden/>
              </w:rPr>
              <w:tab/>
            </w:r>
            <w:r w:rsidR="00466AC7">
              <w:rPr>
                <w:webHidden/>
              </w:rPr>
              <w:fldChar w:fldCharType="begin"/>
            </w:r>
            <w:r w:rsidR="00466AC7">
              <w:rPr>
                <w:webHidden/>
              </w:rPr>
              <w:instrText xml:space="preserve"> PAGEREF _Toc500508432 \h </w:instrText>
            </w:r>
            <w:r w:rsidR="00466AC7">
              <w:rPr>
                <w:webHidden/>
              </w:rPr>
            </w:r>
            <w:r w:rsidR="00466AC7">
              <w:rPr>
                <w:webHidden/>
              </w:rPr>
              <w:fldChar w:fldCharType="separate"/>
            </w:r>
            <w:r w:rsidR="00121BC1">
              <w:rPr>
                <w:webHidden/>
              </w:rPr>
              <w:t>89</w:t>
            </w:r>
            <w:r w:rsidR="00466AC7">
              <w:rPr>
                <w:webHidden/>
              </w:rPr>
              <w:fldChar w:fldCharType="end"/>
            </w:r>
          </w:hyperlink>
        </w:p>
        <w:p w14:paraId="0FF79034" w14:textId="77777777" w:rsidR="00466AC7" w:rsidRDefault="00F329C0">
          <w:pPr>
            <w:pStyle w:val="TOC2"/>
            <w:rPr>
              <w:rFonts w:eastAsiaTheme="minorEastAsia" w:cstheme="minorBidi"/>
              <w:iCs w:val="0"/>
              <w:sz w:val="22"/>
              <w:szCs w:val="22"/>
              <w:lang w:eastAsia="en-AU"/>
            </w:rPr>
          </w:pPr>
          <w:hyperlink w:anchor="_Toc500508434" w:history="1">
            <w:r w:rsidR="00466AC7" w:rsidRPr="005E5AE6">
              <w:rPr>
                <w:rStyle w:val="Hyperlink"/>
                <w:rFonts w:ascii="Calibri" w:hAnsi="Calibri"/>
              </w:rPr>
              <w:t>10.5</w:t>
            </w:r>
            <w:r w:rsidR="00466AC7">
              <w:rPr>
                <w:rFonts w:eastAsiaTheme="minorEastAsia" w:cstheme="minorBidi"/>
                <w:iCs w:val="0"/>
                <w:sz w:val="22"/>
                <w:szCs w:val="22"/>
                <w:lang w:eastAsia="en-AU"/>
              </w:rPr>
              <w:tab/>
            </w:r>
            <w:r w:rsidR="00466AC7" w:rsidRPr="005E5AE6">
              <w:rPr>
                <w:rStyle w:val="Hyperlink"/>
              </w:rPr>
              <w:t>Stronger powers and penalties under the Biosecurity Act 2015</w:t>
            </w:r>
            <w:r w:rsidR="00466AC7">
              <w:rPr>
                <w:webHidden/>
              </w:rPr>
              <w:tab/>
            </w:r>
            <w:r w:rsidR="00466AC7">
              <w:rPr>
                <w:webHidden/>
              </w:rPr>
              <w:fldChar w:fldCharType="begin"/>
            </w:r>
            <w:r w:rsidR="00466AC7">
              <w:rPr>
                <w:webHidden/>
              </w:rPr>
              <w:instrText xml:space="preserve"> PAGEREF _Toc500508434 \h </w:instrText>
            </w:r>
            <w:r w:rsidR="00466AC7">
              <w:rPr>
                <w:webHidden/>
              </w:rPr>
            </w:r>
            <w:r w:rsidR="00466AC7">
              <w:rPr>
                <w:webHidden/>
              </w:rPr>
              <w:fldChar w:fldCharType="separate"/>
            </w:r>
            <w:r w:rsidR="00121BC1">
              <w:rPr>
                <w:webHidden/>
              </w:rPr>
              <w:t>91</w:t>
            </w:r>
            <w:r w:rsidR="00466AC7">
              <w:rPr>
                <w:webHidden/>
              </w:rPr>
              <w:fldChar w:fldCharType="end"/>
            </w:r>
          </w:hyperlink>
        </w:p>
        <w:p w14:paraId="6F6C622C" w14:textId="77777777" w:rsidR="00466AC7" w:rsidRDefault="00F329C0">
          <w:pPr>
            <w:pStyle w:val="TOC2"/>
            <w:rPr>
              <w:rFonts w:eastAsiaTheme="minorEastAsia" w:cstheme="minorBidi"/>
              <w:iCs w:val="0"/>
              <w:sz w:val="22"/>
              <w:szCs w:val="22"/>
              <w:lang w:eastAsia="en-AU"/>
            </w:rPr>
          </w:pPr>
          <w:hyperlink w:anchor="_Toc500508437" w:history="1">
            <w:r w:rsidR="00466AC7" w:rsidRPr="005E5AE6">
              <w:rPr>
                <w:rStyle w:val="Hyperlink"/>
                <w:rFonts w:ascii="Calibri" w:hAnsi="Calibri"/>
              </w:rPr>
              <w:t>10.6</w:t>
            </w:r>
            <w:r w:rsidR="00466AC7">
              <w:rPr>
                <w:rFonts w:eastAsiaTheme="minorEastAsia" w:cstheme="minorBidi"/>
                <w:iCs w:val="0"/>
                <w:sz w:val="22"/>
                <w:szCs w:val="22"/>
                <w:lang w:eastAsia="en-AU"/>
              </w:rPr>
              <w:tab/>
            </w:r>
            <w:r w:rsidR="00466AC7" w:rsidRPr="005E5AE6">
              <w:rPr>
                <w:rStyle w:val="Hyperlink"/>
              </w:rPr>
              <w:t>Improve biosecurity risk governance and risk communication</w:t>
            </w:r>
            <w:r w:rsidR="00466AC7">
              <w:rPr>
                <w:webHidden/>
              </w:rPr>
              <w:tab/>
            </w:r>
            <w:r w:rsidR="00466AC7">
              <w:rPr>
                <w:webHidden/>
              </w:rPr>
              <w:fldChar w:fldCharType="begin"/>
            </w:r>
            <w:r w:rsidR="00466AC7">
              <w:rPr>
                <w:webHidden/>
              </w:rPr>
              <w:instrText xml:space="preserve"> PAGEREF _Toc500508437 \h </w:instrText>
            </w:r>
            <w:r w:rsidR="00466AC7">
              <w:rPr>
                <w:webHidden/>
              </w:rPr>
            </w:r>
            <w:r w:rsidR="00466AC7">
              <w:rPr>
                <w:webHidden/>
              </w:rPr>
              <w:fldChar w:fldCharType="separate"/>
            </w:r>
            <w:r w:rsidR="00121BC1">
              <w:rPr>
                <w:webHidden/>
              </w:rPr>
              <w:t>93</w:t>
            </w:r>
            <w:r w:rsidR="00466AC7">
              <w:rPr>
                <w:webHidden/>
              </w:rPr>
              <w:fldChar w:fldCharType="end"/>
            </w:r>
          </w:hyperlink>
        </w:p>
        <w:p w14:paraId="4CF8648F" w14:textId="77777777" w:rsidR="00466AC7" w:rsidRDefault="00F329C0">
          <w:pPr>
            <w:pStyle w:val="TOC2"/>
            <w:rPr>
              <w:rFonts w:eastAsiaTheme="minorEastAsia" w:cstheme="minorBidi"/>
              <w:iCs w:val="0"/>
              <w:sz w:val="22"/>
              <w:szCs w:val="22"/>
              <w:lang w:eastAsia="en-AU"/>
            </w:rPr>
          </w:pPr>
          <w:hyperlink w:anchor="_Toc500508441" w:history="1">
            <w:r w:rsidR="00466AC7" w:rsidRPr="005E5AE6">
              <w:rPr>
                <w:rStyle w:val="Hyperlink"/>
                <w:rFonts w:ascii="Calibri" w:hAnsi="Calibri"/>
              </w:rPr>
              <w:t>10.7</w:t>
            </w:r>
            <w:r w:rsidR="00466AC7">
              <w:rPr>
                <w:rFonts w:eastAsiaTheme="minorEastAsia" w:cstheme="minorBidi"/>
                <w:iCs w:val="0"/>
                <w:sz w:val="22"/>
                <w:szCs w:val="22"/>
                <w:lang w:eastAsia="en-AU"/>
              </w:rPr>
              <w:tab/>
            </w:r>
            <w:r w:rsidR="00466AC7" w:rsidRPr="005E5AE6">
              <w:rPr>
                <w:rStyle w:val="Hyperlink"/>
              </w:rPr>
              <w:t>Better national technical coordination and oversight of laboratory testing</w:t>
            </w:r>
            <w:r w:rsidR="00466AC7">
              <w:rPr>
                <w:webHidden/>
              </w:rPr>
              <w:tab/>
            </w:r>
            <w:r w:rsidR="00466AC7">
              <w:rPr>
                <w:webHidden/>
              </w:rPr>
              <w:fldChar w:fldCharType="begin"/>
            </w:r>
            <w:r w:rsidR="00466AC7">
              <w:rPr>
                <w:webHidden/>
              </w:rPr>
              <w:instrText xml:space="preserve"> PAGEREF _Toc500508441 \h </w:instrText>
            </w:r>
            <w:r w:rsidR="00466AC7">
              <w:rPr>
                <w:webHidden/>
              </w:rPr>
            </w:r>
            <w:r w:rsidR="00466AC7">
              <w:rPr>
                <w:webHidden/>
              </w:rPr>
              <w:fldChar w:fldCharType="separate"/>
            </w:r>
            <w:r w:rsidR="00121BC1">
              <w:rPr>
                <w:webHidden/>
              </w:rPr>
              <w:t>97</w:t>
            </w:r>
            <w:r w:rsidR="00466AC7">
              <w:rPr>
                <w:webHidden/>
              </w:rPr>
              <w:fldChar w:fldCharType="end"/>
            </w:r>
          </w:hyperlink>
        </w:p>
        <w:p w14:paraId="3C9578F1" w14:textId="77777777" w:rsidR="00466AC7" w:rsidRDefault="00F329C0">
          <w:pPr>
            <w:pStyle w:val="TOC1"/>
            <w:rPr>
              <w:rFonts w:eastAsiaTheme="minorEastAsia" w:cstheme="minorBidi"/>
              <w:b w:val="0"/>
              <w:noProof/>
              <w:sz w:val="22"/>
              <w:szCs w:val="22"/>
              <w:lang w:eastAsia="en-AU"/>
            </w:rPr>
          </w:pPr>
          <w:hyperlink w:anchor="_Toc500508445" w:history="1">
            <w:r w:rsidR="00466AC7" w:rsidRPr="005E5AE6">
              <w:rPr>
                <w:rStyle w:val="Hyperlink"/>
                <w:rFonts w:ascii="Calibri" w:hAnsi="Calibri"/>
                <w:noProof/>
              </w:rPr>
              <w:t>11</w:t>
            </w:r>
            <w:r w:rsidR="00466AC7">
              <w:rPr>
                <w:rFonts w:eastAsiaTheme="minorEastAsia" w:cstheme="minorBidi"/>
                <w:b w:val="0"/>
                <w:noProof/>
                <w:sz w:val="22"/>
                <w:szCs w:val="22"/>
                <w:lang w:eastAsia="en-AU"/>
              </w:rPr>
              <w:tab/>
            </w:r>
            <w:r w:rsidR="00466AC7" w:rsidRPr="005E5AE6">
              <w:rPr>
                <w:rStyle w:val="Hyperlink"/>
                <w:noProof/>
              </w:rPr>
              <w:t>Future post-border biosecurity—implementing a shared responsibility</w:t>
            </w:r>
            <w:r w:rsidR="00466AC7">
              <w:rPr>
                <w:noProof/>
                <w:webHidden/>
              </w:rPr>
              <w:tab/>
            </w:r>
            <w:r w:rsidR="00466AC7">
              <w:rPr>
                <w:noProof/>
                <w:webHidden/>
              </w:rPr>
              <w:fldChar w:fldCharType="begin"/>
            </w:r>
            <w:r w:rsidR="00466AC7">
              <w:rPr>
                <w:noProof/>
                <w:webHidden/>
              </w:rPr>
              <w:instrText xml:space="preserve"> PAGEREF _Toc500508445 \h </w:instrText>
            </w:r>
            <w:r w:rsidR="00466AC7">
              <w:rPr>
                <w:noProof/>
                <w:webHidden/>
              </w:rPr>
            </w:r>
            <w:r w:rsidR="00466AC7">
              <w:rPr>
                <w:noProof/>
                <w:webHidden/>
              </w:rPr>
              <w:fldChar w:fldCharType="separate"/>
            </w:r>
            <w:r w:rsidR="00121BC1">
              <w:rPr>
                <w:noProof/>
                <w:webHidden/>
              </w:rPr>
              <w:t>102</w:t>
            </w:r>
            <w:r w:rsidR="00466AC7">
              <w:rPr>
                <w:noProof/>
                <w:webHidden/>
              </w:rPr>
              <w:fldChar w:fldCharType="end"/>
            </w:r>
          </w:hyperlink>
        </w:p>
        <w:p w14:paraId="358B0998" w14:textId="64217187" w:rsidR="00466AC7" w:rsidRDefault="00F329C0" w:rsidP="00466AC7">
          <w:pPr>
            <w:pStyle w:val="TOC2"/>
            <w:rPr>
              <w:rFonts w:eastAsiaTheme="minorEastAsia" w:cstheme="minorBidi"/>
              <w:iCs w:val="0"/>
              <w:sz w:val="22"/>
              <w:szCs w:val="22"/>
              <w:lang w:eastAsia="en-AU"/>
            </w:rPr>
          </w:pPr>
          <w:hyperlink w:anchor="_Toc500508446" w:history="1">
            <w:r w:rsidR="00466AC7" w:rsidRPr="005E5AE6">
              <w:rPr>
                <w:rStyle w:val="Hyperlink"/>
                <w:rFonts w:ascii="Calibri" w:hAnsi="Calibri"/>
              </w:rPr>
              <w:t>11.1</w:t>
            </w:r>
            <w:r w:rsidR="00466AC7">
              <w:rPr>
                <w:rFonts w:eastAsiaTheme="minorEastAsia" w:cstheme="minorBidi"/>
                <w:iCs w:val="0"/>
                <w:sz w:val="22"/>
                <w:szCs w:val="22"/>
                <w:lang w:eastAsia="en-AU"/>
              </w:rPr>
              <w:tab/>
            </w:r>
            <w:r w:rsidR="00466AC7" w:rsidRPr="005E5AE6">
              <w:rPr>
                <w:rStyle w:val="Hyperlink"/>
              </w:rPr>
              <w:t>Stronger network of aquatic animal disease expertise</w:t>
            </w:r>
            <w:r w:rsidR="00466AC7">
              <w:rPr>
                <w:webHidden/>
              </w:rPr>
              <w:tab/>
            </w:r>
            <w:r w:rsidR="00466AC7">
              <w:rPr>
                <w:webHidden/>
              </w:rPr>
              <w:fldChar w:fldCharType="begin"/>
            </w:r>
            <w:r w:rsidR="00466AC7">
              <w:rPr>
                <w:webHidden/>
              </w:rPr>
              <w:instrText xml:space="preserve"> PAGEREF _Toc500508446 \h </w:instrText>
            </w:r>
            <w:r w:rsidR="00466AC7">
              <w:rPr>
                <w:webHidden/>
              </w:rPr>
            </w:r>
            <w:r w:rsidR="00466AC7">
              <w:rPr>
                <w:webHidden/>
              </w:rPr>
              <w:fldChar w:fldCharType="separate"/>
            </w:r>
            <w:r w:rsidR="00121BC1">
              <w:rPr>
                <w:webHidden/>
              </w:rPr>
              <w:t>102</w:t>
            </w:r>
            <w:r w:rsidR="00466AC7">
              <w:rPr>
                <w:webHidden/>
              </w:rPr>
              <w:fldChar w:fldCharType="end"/>
            </w:r>
          </w:hyperlink>
        </w:p>
        <w:p w14:paraId="2517DD42" w14:textId="00DEBE7B" w:rsidR="00466AC7" w:rsidRDefault="00F329C0" w:rsidP="00466AC7">
          <w:pPr>
            <w:pStyle w:val="TOC2"/>
            <w:rPr>
              <w:rFonts w:eastAsiaTheme="minorEastAsia" w:cstheme="minorBidi"/>
              <w:iCs w:val="0"/>
              <w:sz w:val="22"/>
              <w:szCs w:val="22"/>
              <w:lang w:eastAsia="en-AU"/>
            </w:rPr>
          </w:pPr>
          <w:hyperlink w:anchor="_Toc500508448" w:history="1">
            <w:r w:rsidR="00466AC7" w:rsidRPr="005E5AE6">
              <w:rPr>
                <w:rStyle w:val="Hyperlink"/>
                <w:rFonts w:ascii="Calibri" w:hAnsi="Calibri"/>
              </w:rPr>
              <w:t>11.2</w:t>
            </w:r>
            <w:r w:rsidR="00466AC7">
              <w:rPr>
                <w:rFonts w:eastAsiaTheme="minorEastAsia" w:cstheme="minorBidi"/>
                <w:iCs w:val="0"/>
                <w:sz w:val="22"/>
                <w:szCs w:val="22"/>
                <w:lang w:eastAsia="en-AU"/>
              </w:rPr>
              <w:tab/>
            </w:r>
            <w:r w:rsidR="00466AC7" w:rsidRPr="005E5AE6">
              <w:rPr>
                <w:rStyle w:val="Hyperlink"/>
              </w:rPr>
              <w:t>Finalising an aquatic deed for emergency animal disease response</w:t>
            </w:r>
            <w:r w:rsidR="00466AC7">
              <w:rPr>
                <w:webHidden/>
              </w:rPr>
              <w:tab/>
            </w:r>
            <w:r w:rsidR="00466AC7">
              <w:rPr>
                <w:webHidden/>
              </w:rPr>
              <w:fldChar w:fldCharType="begin"/>
            </w:r>
            <w:r w:rsidR="00466AC7">
              <w:rPr>
                <w:webHidden/>
              </w:rPr>
              <w:instrText xml:space="preserve"> PAGEREF _Toc500508448 \h </w:instrText>
            </w:r>
            <w:r w:rsidR="00466AC7">
              <w:rPr>
                <w:webHidden/>
              </w:rPr>
            </w:r>
            <w:r w:rsidR="00466AC7">
              <w:rPr>
                <w:webHidden/>
              </w:rPr>
              <w:fldChar w:fldCharType="separate"/>
            </w:r>
            <w:r w:rsidR="00121BC1">
              <w:rPr>
                <w:webHidden/>
              </w:rPr>
              <w:t>104</w:t>
            </w:r>
            <w:r w:rsidR="00466AC7">
              <w:rPr>
                <w:webHidden/>
              </w:rPr>
              <w:fldChar w:fldCharType="end"/>
            </w:r>
          </w:hyperlink>
        </w:p>
        <w:p w14:paraId="1F8FE121" w14:textId="77777777" w:rsidR="00466AC7" w:rsidRDefault="00F329C0">
          <w:pPr>
            <w:pStyle w:val="TOC2"/>
            <w:rPr>
              <w:rFonts w:eastAsiaTheme="minorEastAsia" w:cstheme="minorBidi"/>
              <w:iCs w:val="0"/>
              <w:sz w:val="22"/>
              <w:szCs w:val="22"/>
              <w:lang w:eastAsia="en-AU"/>
            </w:rPr>
          </w:pPr>
          <w:hyperlink w:anchor="_Toc500508450" w:history="1">
            <w:r w:rsidR="00466AC7" w:rsidRPr="005E5AE6">
              <w:rPr>
                <w:rStyle w:val="Hyperlink"/>
                <w:rFonts w:ascii="Calibri" w:hAnsi="Calibri"/>
              </w:rPr>
              <w:t>11.3</w:t>
            </w:r>
            <w:r w:rsidR="00466AC7">
              <w:rPr>
                <w:rFonts w:eastAsiaTheme="minorEastAsia" w:cstheme="minorBidi"/>
                <w:iCs w:val="0"/>
                <w:sz w:val="22"/>
                <w:szCs w:val="22"/>
                <w:lang w:eastAsia="en-AU"/>
              </w:rPr>
              <w:tab/>
            </w:r>
            <w:r w:rsidR="00466AC7" w:rsidRPr="005E5AE6">
              <w:rPr>
                <w:rStyle w:val="Hyperlink"/>
              </w:rPr>
              <w:t>Stronger on-farm biosecurity programs for prawn and other aquaculture industries</w:t>
            </w:r>
            <w:r w:rsidR="00466AC7">
              <w:rPr>
                <w:webHidden/>
              </w:rPr>
              <w:tab/>
            </w:r>
            <w:r w:rsidR="00466AC7">
              <w:rPr>
                <w:webHidden/>
              </w:rPr>
              <w:fldChar w:fldCharType="begin"/>
            </w:r>
            <w:r w:rsidR="00466AC7">
              <w:rPr>
                <w:webHidden/>
              </w:rPr>
              <w:instrText xml:space="preserve"> PAGEREF _Toc500508450 \h </w:instrText>
            </w:r>
            <w:r w:rsidR="00466AC7">
              <w:rPr>
                <w:webHidden/>
              </w:rPr>
            </w:r>
            <w:r w:rsidR="00466AC7">
              <w:rPr>
                <w:webHidden/>
              </w:rPr>
              <w:fldChar w:fldCharType="separate"/>
            </w:r>
            <w:r w:rsidR="00121BC1">
              <w:rPr>
                <w:webHidden/>
              </w:rPr>
              <w:t>106</w:t>
            </w:r>
            <w:r w:rsidR="00466AC7">
              <w:rPr>
                <w:webHidden/>
              </w:rPr>
              <w:fldChar w:fldCharType="end"/>
            </w:r>
          </w:hyperlink>
        </w:p>
        <w:p w14:paraId="718724F7" w14:textId="74E59D9A" w:rsidR="00466AC7" w:rsidRDefault="00F329C0" w:rsidP="00466AC7">
          <w:pPr>
            <w:pStyle w:val="TOC2"/>
            <w:rPr>
              <w:rFonts w:eastAsiaTheme="minorEastAsia" w:cstheme="minorBidi"/>
              <w:iCs w:val="0"/>
              <w:sz w:val="22"/>
              <w:szCs w:val="22"/>
              <w:lang w:eastAsia="en-AU"/>
            </w:rPr>
          </w:pPr>
          <w:hyperlink w:anchor="_Toc500508451" w:history="1">
            <w:r w:rsidR="00466AC7" w:rsidRPr="005E5AE6">
              <w:rPr>
                <w:rStyle w:val="Hyperlink"/>
                <w:rFonts w:ascii="Calibri" w:hAnsi="Calibri"/>
              </w:rPr>
              <w:t>11.4</w:t>
            </w:r>
            <w:r w:rsidR="00466AC7">
              <w:rPr>
                <w:rFonts w:eastAsiaTheme="minorEastAsia" w:cstheme="minorBidi"/>
                <w:iCs w:val="0"/>
                <w:sz w:val="22"/>
                <w:szCs w:val="22"/>
                <w:lang w:eastAsia="en-AU"/>
              </w:rPr>
              <w:tab/>
            </w:r>
            <w:r w:rsidR="00466AC7" w:rsidRPr="005E5AE6">
              <w:rPr>
                <w:rStyle w:val="Hyperlink"/>
              </w:rPr>
              <w:t>Post-border verification to minimise risk of WSSV-infected prawns entering waterways</w:t>
            </w:r>
            <w:r w:rsidR="00466AC7">
              <w:rPr>
                <w:webHidden/>
              </w:rPr>
              <w:tab/>
            </w:r>
            <w:r w:rsidR="00466AC7">
              <w:rPr>
                <w:webHidden/>
              </w:rPr>
              <w:fldChar w:fldCharType="begin"/>
            </w:r>
            <w:r w:rsidR="00466AC7">
              <w:rPr>
                <w:webHidden/>
              </w:rPr>
              <w:instrText xml:space="preserve"> PAGEREF _Toc500508451 \h </w:instrText>
            </w:r>
            <w:r w:rsidR="00466AC7">
              <w:rPr>
                <w:webHidden/>
              </w:rPr>
            </w:r>
            <w:r w:rsidR="00466AC7">
              <w:rPr>
                <w:webHidden/>
              </w:rPr>
              <w:fldChar w:fldCharType="separate"/>
            </w:r>
            <w:r w:rsidR="00121BC1">
              <w:rPr>
                <w:webHidden/>
              </w:rPr>
              <w:t>107</w:t>
            </w:r>
            <w:r w:rsidR="00466AC7">
              <w:rPr>
                <w:webHidden/>
              </w:rPr>
              <w:fldChar w:fldCharType="end"/>
            </w:r>
          </w:hyperlink>
        </w:p>
        <w:p w14:paraId="68A20FD7" w14:textId="77777777" w:rsidR="00466AC7" w:rsidRDefault="00F329C0">
          <w:pPr>
            <w:pStyle w:val="TOC2"/>
            <w:rPr>
              <w:rFonts w:eastAsiaTheme="minorEastAsia" w:cstheme="minorBidi"/>
              <w:iCs w:val="0"/>
              <w:sz w:val="22"/>
              <w:szCs w:val="22"/>
              <w:lang w:eastAsia="en-AU"/>
            </w:rPr>
          </w:pPr>
          <w:hyperlink w:anchor="_Toc500508453" w:history="1">
            <w:r w:rsidR="00466AC7" w:rsidRPr="005E5AE6">
              <w:rPr>
                <w:rStyle w:val="Hyperlink"/>
                <w:rFonts w:ascii="Calibri" w:hAnsi="Calibri"/>
              </w:rPr>
              <w:t>11.5</w:t>
            </w:r>
            <w:r w:rsidR="00466AC7">
              <w:rPr>
                <w:rFonts w:eastAsiaTheme="minorEastAsia" w:cstheme="minorBidi"/>
                <w:iCs w:val="0"/>
                <w:sz w:val="22"/>
                <w:szCs w:val="22"/>
                <w:lang w:eastAsia="en-AU"/>
              </w:rPr>
              <w:tab/>
            </w:r>
            <w:r w:rsidR="00466AC7" w:rsidRPr="005E5AE6">
              <w:rPr>
                <w:rStyle w:val="Hyperlink"/>
              </w:rPr>
              <w:t>Uncooked prawns for food service industry versus retail sale</w:t>
            </w:r>
            <w:r w:rsidR="00466AC7">
              <w:rPr>
                <w:webHidden/>
              </w:rPr>
              <w:tab/>
            </w:r>
            <w:r w:rsidR="00466AC7">
              <w:rPr>
                <w:webHidden/>
              </w:rPr>
              <w:fldChar w:fldCharType="begin"/>
            </w:r>
            <w:r w:rsidR="00466AC7">
              <w:rPr>
                <w:webHidden/>
              </w:rPr>
              <w:instrText xml:space="preserve"> PAGEREF _Toc500508453 \h </w:instrText>
            </w:r>
            <w:r w:rsidR="00466AC7">
              <w:rPr>
                <w:webHidden/>
              </w:rPr>
            </w:r>
            <w:r w:rsidR="00466AC7">
              <w:rPr>
                <w:webHidden/>
              </w:rPr>
              <w:fldChar w:fldCharType="separate"/>
            </w:r>
            <w:r w:rsidR="00121BC1">
              <w:rPr>
                <w:webHidden/>
              </w:rPr>
              <w:t>110</w:t>
            </w:r>
            <w:r w:rsidR="00466AC7">
              <w:rPr>
                <w:webHidden/>
              </w:rPr>
              <w:fldChar w:fldCharType="end"/>
            </w:r>
          </w:hyperlink>
        </w:p>
        <w:p w14:paraId="2C468B8A" w14:textId="77777777" w:rsidR="00466AC7" w:rsidRDefault="00F329C0">
          <w:pPr>
            <w:pStyle w:val="TOC1"/>
            <w:rPr>
              <w:rFonts w:eastAsiaTheme="minorEastAsia" w:cstheme="minorBidi"/>
              <w:b w:val="0"/>
              <w:noProof/>
              <w:sz w:val="22"/>
              <w:szCs w:val="22"/>
              <w:lang w:eastAsia="en-AU"/>
            </w:rPr>
          </w:pPr>
          <w:hyperlink w:anchor="_Toc500508454" w:history="1">
            <w:r w:rsidR="00466AC7" w:rsidRPr="005E5AE6">
              <w:rPr>
                <w:rStyle w:val="Hyperlink"/>
                <w:rFonts w:ascii="Calibri" w:hAnsi="Calibri"/>
                <w:noProof/>
              </w:rPr>
              <w:t>12</w:t>
            </w:r>
            <w:r w:rsidR="00466AC7">
              <w:rPr>
                <w:rFonts w:eastAsiaTheme="minorEastAsia" w:cstheme="minorBidi"/>
                <w:b w:val="0"/>
                <w:noProof/>
                <w:sz w:val="22"/>
                <w:szCs w:val="22"/>
                <w:lang w:eastAsia="en-AU"/>
              </w:rPr>
              <w:tab/>
            </w:r>
            <w:r w:rsidR="00466AC7" w:rsidRPr="005E5AE6">
              <w:rPr>
                <w:rStyle w:val="Hyperlink"/>
                <w:noProof/>
              </w:rPr>
              <w:t>Conclusion</w:t>
            </w:r>
            <w:r w:rsidR="00466AC7">
              <w:rPr>
                <w:noProof/>
                <w:webHidden/>
              </w:rPr>
              <w:tab/>
            </w:r>
            <w:r w:rsidR="00466AC7">
              <w:rPr>
                <w:noProof/>
                <w:webHidden/>
              </w:rPr>
              <w:fldChar w:fldCharType="begin"/>
            </w:r>
            <w:r w:rsidR="00466AC7">
              <w:rPr>
                <w:noProof/>
                <w:webHidden/>
              </w:rPr>
              <w:instrText xml:space="preserve"> PAGEREF _Toc500508454 \h </w:instrText>
            </w:r>
            <w:r w:rsidR="00466AC7">
              <w:rPr>
                <w:noProof/>
                <w:webHidden/>
              </w:rPr>
            </w:r>
            <w:r w:rsidR="00466AC7">
              <w:rPr>
                <w:noProof/>
                <w:webHidden/>
              </w:rPr>
              <w:fldChar w:fldCharType="separate"/>
            </w:r>
            <w:r w:rsidR="00121BC1">
              <w:rPr>
                <w:noProof/>
                <w:webHidden/>
              </w:rPr>
              <w:t>111</w:t>
            </w:r>
            <w:r w:rsidR="00466AC7">
              <w:rPr>
                <w:noProof/>
                <w:webHidden/>
              </w:rPr>
              <w:fldChar w:fldCharType="end"/>
            </w:r>
          </w:hyperlink>
        </w:p>
        <w:p w14:paraId="2963FE35" w14:textId="77777777" w:rsidR="00466AC7" w:rsidRDefault="00F329C0">
          <w:pPr>
            <w:pStyle w:val="TOC1"/>
            <w:rPr>
              <w:rFonts w:eastAsiaTheme="minorEastAsia" w:cstheme="minorBidi"/>
              <w:b w:val="0"/>
              <w:noProof/>
              <w:sz w:val="22"/>
              <w:szCs w:val="22"/>
              <w:lang w:eastAsia="en-AU"/>
            </w:rPr>
          </w:pPr>
          <w:hyperlink w:anchor="_Toc500508455" w:history="1">
            <w:r w:rsidR="00466AC7" w:rsidRPr="005E5AE6">
              <w:rPr>
                <w:rStyle w:val="Hyperlink"/>
                <w:noProof/>
              </w:rPr>
              <w:t>Appendix A: Agency response</w:t>
            </w:r>
            <w:r w:rsidR="00466AC7">
              <w:rPr>
                <w:noProof/>
                <w:webHidden/>
              </w:rPr>
              <w:tab/>
            </w:r>
            <w:r w:rsidR="00466AC7">
              <w:rPr>
                <w:noProof/>
                <w:webHidden/>
              </w:rPr>
              <w:fldChar w:fldCharType="begin"/>
            </w:r>
            <w:r w:rsidR="00466AC7">
              <w:rPr>
                <w:noProof/>
                <w:webHidden/>
              </w:rPr>
              <w:instrText xml:space="preserve"> PAGEREF _Toc500508455 \h </w:instrText>
            </w:r>
            <w:r w:rsidR="00466AC7">
              <w:rPr>
                <w:noProof/>
                <w:webHidden/>
              </w:rPr>
            </w:r>
            <w:r w:rsidR="00466AC7">
              <w:rPr>
                <w:noProof/>
                <w:webHidden/>
              </w:rPr>
              <w:fldChar w:fldCharType="separate"/>
            </w:r>
            <w:r w:rsidR="00121BC1">
              <w:rPr>
                <w:noProof/>
                <w:webHidden/>
              </w:rPr>
              <w:t>113</w:t>
            </w:r>
            <w:r w:rsidR="00466AC7">
              <w:rPr>
                <w:noProof/>
                <w:webHidden/>
              </w:rPr>
              <w:fldChar w:fldCharType="end"/>
            </w:r>
          </w:hyperlink>
        </w:p>
        <w:p w14:paraId="7C1BFF42" w14:textId="77777777" w:rsidR="00466AC7" w:rsidRDefault="00F329C0">
          <w:pPr>
            <w:pStyle w:val="TOC1"/>
            <w:rPr>
              <w:rFonts w:eastAsiaTheme="minorEastAsia" w:cstheme="minorBidi"/>
              <w:b w:val="0"/>
              <w:noProof/>
              <w:sz w:val="22"/>
              <w:szCs w:val="22"/>
              <w:lang w:eastAsia="en-AU"/>
            </w:rPr>
          </w:pPr>
          <w:hyperlink w:anchor="_Toc500508456" w:history="1">
            <w:r w:rsidR="00466AC7" w:rsidRPr="005E5AE6">
              <w:rPr>
                <w:rStyle w:val="Hyperlink"/>
                <w:noProof/>
              </w:rPr>
              <w:t>Appendix B: Review team biographies</w:t>
            </w:r>
            <w:r w:rsidR="00466AC7">
              <w:rPr>
                <w:noProof/>
                <w:webHidden/>
              </w:rPr>
              <w:tab/>
            </w:r>
            <w:r w:rsidR="00466AC7">
              <w:rPr>
                <w:noProof/>
                <w:webHidden/>
              </w:rPr>
              <w:fldChar w:fldCharType="begin"/>
            </w:r>
            <w:r w:rsidR="00466AC7">
              <w:rPr>
                <w:noProof/>
                <w:webHidden/>
              </w:rPr>
              <w:instrText xml:space="preserve"> PAGEREF _Toc500508456 \h </w:instrText>
            </w:r>
            <w:r w:rsidR="00466AC7">
              <w:rPr>
                <w:noProof/>
                <w:webHidden/>
              </w:rPr>
            </w:r>
            <w:r w:rsidR="00466AC7">
              <w:rPr>
                <w:noProof/>
                <w:webHidden/>
              </w:rPr>
              <w:fldChar w:fldCharType="separate"/>
            </w:r>
            <w:r w:rsidR="00121BC1">
              <w:rPr>
                <w:noProof/>
                <w:webHidden/>
              </w:rPr>
              <w:t>118</w:t>
            </w:r>
            <w:r w:rsidR="00466AC7">
              <w:rPr>
                <w:noProof/>
                <w:webHidden/>
              </w:rPr>
              <w:fldChar w:fldCharType="end"/>
            </w:r>
          </w:hyperlink>
        </w:p>
        <w:p w14:paraId="591C762B" w14:textId="77777777" w:rsidR="00466AC7" w:rsidRDefault="00F329C0">
          <w:pPr>
            <w:pStyle w:val="TOC1"/>
            <w:rPr>
              <w:rFonts w:eastAsiaTheme="minorEastAsia" w:cstheme="minorBidi"/>
              <w:b w:val="0"/>
              <w:noProof/>
              <w:sz w:val="22"/>
              <w:szCs w:val="22"/>
              <w:lang w:eastAsia="en-AU"/>
            </w:rPr>
          </w:pPr>
          <w:hyperlink w:anchor="_Toc500508457" w:history="1">
            <w:r w:rsidR="00466AC7" w:rsidRPr="005E5AE6">
              <w:rPr>
                <w:rStyle w:val="Hyperlink"/>
                <w:noProof/>
              </w:rPr>
              <w:t>Appendix C: Submissions to Inspector-General of Biosecurity review</w:t>
            </w:r>
            <w:r w:rsidR="00466AC7">
              <w:rPr>
                <w:noProof/>
                <w:webHidden/>
              </w:rPr>
              <w:tab/>
            </w:r>
            <w:r w:rsidR="00466AC7">
              <w:rPr>
                <w:noProof/>
                <w:webHidden/>
              </w:rPr>
              <w:fldChar w:fldCharType="begin"/>
            </w:r>
            <w:r w:rsidR="00466AC7">
              <w:rPr>
                <w:noProof/>
                <w:webHidden/>
              </w:rPr>
              <w:instrText xml:space="preserve"> PAGEREF _Toc500508457 \h </w:instrText>
            </w:r>
            <w:r w:rsidR="00466AC7">
              <w:rPr>
                <w:noProof/>
                <w:webHidden/>
              </w:rPr>
            </w:r>
            <w:r w:rsidR="00466AC7">
              <w:rPr>
                <w:noProof/>
                <w:webHidden/>
              </w:rPr>
              <w:fldChar w:fldCharType="separate"/>
            </w:r>
            <w:r w:rsidR="00121BC1">
              <w:rPr>
                <w:noProof/>
                <w:webHidden/>
              </w:rPr>
              <w:t>119</w:t>
            </w:r>
            <w:r w:rsidR="00466AC7">
              <w:rPr>
                <w:noProof/>
                <w:webHidden/>
              </w:rPr>
              <w:fldChar w:fldCharType="end"/>
            </w:r>
          </w:hyperlink>
        </w:p>
        <w:p w14:paraId="33EE3EBE" w14:textId="77777777" w:rsidR="00466AC7" w:rsidRDefault="00F329C0">
          <w:pPr>
            <w:pStyle w:val="TOC1"/>
            <w:rPr>
              <w:rFonts w:eastAsiaTheme="minorEastAsia" w:cstheme="minorBidi"/>
              <w:b w:val="0"/>
              <w:noProof/>
              <w:sz w:val="22"/>
              <w:szCs w:val="22"/>
              <w:lang w:eastAsia="en-AU"/>
            </w:rPr>
          </w:pPr>
          <w:hyperlink w:anchor="_Toc500508458" w:history="1">
            <w:r w:rsidR="00466AC7" w:rsidRPr="005E5AE6">
              <w:rPr>
                <w:rStyle w:val="Hyperlink"/>
                <w:noProof/>
              </w:rPr>
              <w:t>Appendix</w:t>
            </w:r>
            <w:r w:rsidR="00466AC7" w:rsidRPr="005E5AE6">
              <w:rPr>
                <w:rStyle w:val="Hyperlink"/>
                <w:noProof/>
                <w:lang w:eastAsia="ja-JP"/>
              </w:rPr>
              <w:t xml:space="preserve"> D:</w:t>
            </w:r>
            <w:r w:rsidR="00466AC7" w:rsidRPr="005E5AE6">
              <w:rPr>
                <w:rStyle w:val="Hyperlink"/>
                <w:noProof/>
              </w:rPr>
              <w:t xml:space="preserve"> </w:t>
            </w:r>
            <w:r w:rsidR="00466AC7" w:rsidRPr="005E5AE6">
              <w:rPr>
                <w:rStyle w:val="Hyperlink"/>
                <w:noProof/>
                <w:lang w:eastAsia="ja-JP"/>
              </w:rPr>
              <w:t>Summary of aquatic animal diseases and infectious agents in Australia</w:t>
            </w:r>
            <w:r w:rsidR="00466AC7">
              <w:rPr>
                <w:noProof/>
                <w:webHidden/>
              </w:rPr>
              <w:tab/>
            </w:r>
            <w:r w:rsidR="00466AC7">
              <w:rPr>
                <w:noProof/>
                <w:webHidden/>
              </w:rPr>
              <w:fldChar w:fldCharType="begin"/>
            </w:r>
            <w:r w:rsidR="00466AC7">
              <w:rPr>
                <w:noProof/>
                <w:webHidden/>
              </w:rPr>
              <w:instrText xml:space="preserve"> PAGEREF _Toc500508458 \h </w:instrText>
            </w:r>
            <w:r w:rsidR="00466AC7">
              <w:rPr>
                <w:noProof/>
                <w:webHidden/>
              </w:rPr>
            </w:r>
            <w:r w:rsidR="00466AC7">
              <w:rPr>
                <w:noProof/>
                <w:webHidden/>
              </w:rPr>
              <w:fldChar w:fldCharType="separate"/>
            </w:r>
            <w:r w:rsidR="00121BC1">
              <w:rPr>
                <w:noProof/>
                <w:webHidden/>
              </w:rPr>
              <w:t>120</w:t>
            </w:r>
            <w:r w:rsidR="00466AC7">
              <w:rPr>
                <w:noProof/>
                <w:webHidden/>
              </w:rPr>
              <w:fldChar w:fldCharType="end"/>
            </w:r>
          </w:hyperlink>
        </w:p>
        <w:p w14:paraId="55E9C0CF" w14:textId="77777777" w:rsidR="00466AC7" w:rsidRDefault="00F329C0">
          <w:pPr>
            <w:pStyle w:val="TOC1"/>
            <w:rPr>
              <w:rFonts w:eastAsiaTheme="minorEastAsia" w:cstheme="minorBidi"/>
              <w:b w:val="0"/>
              <w:noProof/>
              <w:sz w:val="22"/>
              <w:szCs w:val="22"/>
              <w:lang w:eastAsia="en-AU"/>
            </w:rPr>
          </w:pPr>
          <w:hyperlink w:anchor="_Toc500508459" w:history="1">
            <w:r w:rsidR="00466AC7" w:rsidRPr="005E5AE6">
              <w:rPr>
                <w:rStyle w:val="Hyperlink"/>
                <w:noProof/>
              </w:rPr>
              <w:t>Glossary</w:t>
            </w:r>
            <w:r w:rsidR="00466AC7">
              <w:rPr>
                <w:noProof/>
                <w:webHidden/>
              </w:rPr>
              <w:tab/>
            </w:r>
            <w:r w:rsidR="00466AC7">
              <w:rPr>
                <w:noProof/>
                <w:webHidden/>
              </w:rPr>
              <w:fldChar w:fldCharType="begin"/>
            </w:r>
            <w:r w:rsidR="00466AC7">
              <w:rPr>
                <w:noProof/>
                <w:webHidden/>
              </w:rPr>
              <w:instrText xml:space="preserve"> PAGEREF _Toc500508459 \h </w:instrText>
            </w:r>
            <w:r w:rsidR="00466AC7">
              <w:rPr>
                <w:noProof/>
                <w:webHidden/>
              </w:rPr>
            </w:r>
            <w:r w:rsidR="00466AC7">
              <w:rPr>
                <w:noProof/>
                <w:webHidden/>
              </w:rPr>
              <w:fldChar w:fldCharType="separate"/>
            </w:r>
            <w:r w:rsidR="00121BC1">
              <w:rPr>
                <w:noProof/>
                <w:webHidden/>
              </w:rPr>
              <w:t>123</w:t>
            </w:r>
            <w:r w:rsidR="00466AC7">
              <w:rPr>
                <w:noProof/>
                <w:webHidden/>
              </w:rPr>
              <w:fldChar w:fldCharType="end"/>
            </w:r>
          </w:hyperlink>
        </w:p>
        <w:p w14:paraId="0396B17A" w14:textId="77777777" w:rsidR="00466AC7" w:rsidRDefault="00F329C0">
          <w:pPr>
            <w:pStyle w:val="TOC1"/>
            <w:rPr>
              <w:rFonts w:eastAsiaTheme="minorEastAsia" w:cstheme="minorBidi"/>
              <w:b w:val="0"/>
              <w:noProof/>
              <w:sz w:val="22"/>
              <w:szCs w:val="22"/>
              <w:lang w:eastAsia="en-AU"/>
            </w:rPr>
          </w:pPr>
          <w:hyperlink w:anchor="_Toc500508460" w:history="1">
            <w:r w:rsidR="00466AC7" w:rsidRPr="005E5AE6">
              <w:rPr>
                <w:rStyle w:val="Hyperlink"/>
                <w:noProof/>
              </w:rPr>
              <w:t>References</w:t>
            </w:r>
            <w:r w:rsidR="00466AC7">
              <w:rPr>
                <w:noProof/>
                <w:webHidden/>
              </w:rPr>
              <w:tab/>
            </w:r>
            <w:r w:rsidR="00466AC7">
              <w:rPr>
                <w:noProof/>
                <w:webHidden/>
              </w:rPr>
              <w:fldChar w:fldCharType="begin"/>
            </w:r>
            <w:r w:rsidR="00466AC7">
              <w:rPr>
                <w:noProof/>
                <w:webHidden/>
              </w:rPr>
              <w:instrText xml:space="preserve"> PAGEREF _Toc500508460 \h </w:instrText>
            </w:r>
            <w:r w:rsidR="00466AC7">
              <w:rPr>
                <w:noProof/>
                <w:webHidden/>
              </w:rPr>
            </w:r>
            <w:r w:rsidR="00466AC7">
              <w:rPr>
                <w:noProof/>
                <w:webHidden/>
              </w:rPr>
              <w:fldChar w:fldCharType="separate"/>
            </w:r>
            <w:r w:rsidR="00121BC1">
              <w:rPr>
                <w:noProof/>
                <w:webHidden/>
              </w:rPr>
              <w:t>126</w:t>
            </w:r>
            <w:r w:rsidR="00466AC7">
              <w:rPr>
                <w:noProof/>
                <w:webHidden/>
              </w:rPr>
              <w:fldChar w:fldCharType="end"/>
            </w:r>
          </w:hyperlink>
        </w:p>
        <w:p w14:paraId="6524767A" w14:textId="01A8A917" w:rsidR="00CC703E" w:rsidRDefault="00D978CB">
          <w:r>
            <w:rPr>
              <w:b/>
              <w:bCs/>
              <w:sz w:val="20"/>
              <w:szCs w:val="20"/>
            </w:rPr>
            <w:fldChar w:fldCharType="end"/>
          </w:r>
        </w:p>
      </w:sdtContent>
    </w:sdt>
    <w:p w14:paraId="42E20ED8" w14:textId="428CDCE4" w:rsidR="00CC703E" w:rsidRDefault="006E5D1A" w:rsidP="006E5D1A">
      <w:pPr>
        <w:pStyle w:val="TOCHeading"/>
      </w:pPr>
      <w:r>
        <w:t>Table of Figures</w:t>
      </w:r>
    </w:p>
    <w:p w14:paraId="0CCC06B1" w14:textId="77777777" w:rsidR="00466AC7" w:rsidRDefault="00C31350">
      <w:pPr>
        <w:pStyle w:val="TableofFigures"/>
        <w:tabs>
          <w:tab w:val="right" w:pos="9402"/>
        </w:tabs>
        <w:rPr>
          <w:rFonts w:eastAsiaTheme="minorEastAsia" w:cstheme="minorBidi"/>
          <w:b w:val="0"/>
          <w:bCs w:val="0"/>
          <w:noProof/>
          <w:sz w:val="22"/>
          <w:szCs w:val="22"/>
          <w:lang w:eastAsia="en-AU"/>
        </w:rPr>
      </w:pPr>
      <w:r>
        <w:fldChar w:fldCharType="begin"/>
      </w:r>
      <w:r>
        <w:instrText xml:space="preserve"> TOC \h \z \t "[Basic Paragraph]" \c "Figure" </w:instrText>
      </w:r>
      <w:r>
        <w:fldChar w:fldCharType="separate"/>
      </w:r>
      <w:hyperlink w:anchor="_Toc500508461" w:history="1">
        <w:r w:rsidR="00466AC7" w:rsidRPr="006F4792">
          <w:rPr>
            <w:rStyle w:val="Hyperlink"/>
            <w:noProof/>
          </w:rPr>
          <w:t>Figure 1 World aquaculture and wild-caught prawn production, by volume, 2000 to 2014</w:t>
        </w:r>
        <w:r w:rsidR="00466AC7">
          <w:rPr>
            <w:noProof/>
            <w:webHidden/>
          </w:rPr>
          <w:tab/>
        </w:r>
        <w:r w:rsidR="00466AC7">
          <w:rPr>
            <w:noProof/>
            <w:webHidden/>
          </w:rPr>
          <w:fldChar w:fldCharType="begin"/>
        </w:r>
        <w:r w:rsidR="00466AC7">
          <w:rPr>
            <w:noProof/>
            <w:webHidden/>
          </w:rPr>
          <w:instrText xml:space="preserve"> PAGEREF _Toc500508461 \h </w:instrText>
        </w:r>
        <w:r w:rsidR="00466AC7">
          <w:rPr>
            <w:noProof/>
            <w:webHidden/>
          </w:rPr>
        </w:r>
        <w:r w:rsidR="00466AC7">
          <w:rPr>
            <w:noProof/>
            <w:webHidden/>
          </w:rPr>
          <w:fldChar w:fldCharType="separate"/>
        </w:r>
        <w:r w:rsidR="00121BC1">
          <w:rPr>
            <w:noProof/>
            <w:webHidden/>
          </w:rPr>
          <w:t>15</w:t>
        </w:r>
        <w:r w:rsidR="00466AC7">
          <w:rPr>
            <w:noProof/>
            <w:webHidden/>
          </w:rPr>
          <w:fldChar w:fldCharType="end"/>
        </w:r>
      </w:hyperlink>
    </w:p>
    <w:p w14:paraId="0A295B31" w14:textId="77777777" w:rsidR="00466AC7" w:rsidRDefault="00F329C0">
      <w:pPr>
        <w:pStyle w:val="TableofFigures"/>
        <w:tabs>
          <w:tab w:val="right" w:pos="9402"/>
        </w:tabs>
        <w:rPr>
          <w:rFonts w:eastAsiaTheme="minorEastAsia" w:cstheme="minorBidi"/>
          <w:b w:val="0"/>
          <w:bCs w:val="0"/>
          <w:noProof/>
          <w:sz w:val="22"/>
          <w:szCs w:val="22"/>
          <w:lang w:eastAsia="en-AU"/>
        </w:rPr>
      </w:pPr>
      <w:hyperlink w:anchor="_Toc500508462" w:history="1">
        <w:r w:rsidR="00466AC7" w:rsidRPr="006F4792">
          <w:rPr>
            <w:rStyle w:val="Hyperlink"/>
            <w:noProof/>
          </w:rPr>
          <w:t>Figure 2 World aquaculture production of shrimp, by volume and value, 2003 to 2014</w:t>
        </w:r>
        <w:r w:rsidR="00466AC7">
          <w:rPr>
            <w:noProof/>
            <w:webHidden/>
          </w:rPr>
          <w:tab/>
        </w:r>
        <w:r w:rsidR="00466AC7">
          <w:rPr>
            <w:noProof/>
            <w:webHidden/>
          </w:rPr>
          <w:fldChar w:fldCharType="begin"/>
        </w:r>
        <w:r w:rsidR="00466AC7">
          <w:rPr>
            <w:noProof/>
            <w:webHidden/>
          </w:rPr>
          <w:instrText xml:space="preserve"> PAGEREF _Toc500508462 \h </w:instrText>
        </w:r>
        <w:r w:rsidR="00466AC7">
          <w:rPr>
            <w:noProof/>
            <w:webHidden/>
          </w:rPr>
        </w:r>
        <w:r w:rsidR="00466AC7">
          <w:rPr>
            <w:noProof/>
            <w:webHidden/>
          </w:rPr>
          <w:fldChar w:fldCharType="separate"/>
        </w:r>
        <w:r w:rsidR="00121BC1">
          <w:rPr>
            <w:noProof/>
            <w:webHidden/>
          </w:rPr>
          <w:t>16</w:t>
        </w:r>
        <w:r w:rsidR="00466AC7">
          <w:rPr>
            <w:noProof/>
            <w:webHidden/>
          </w:rPr>
          <w:fldChar w:fldCharType="end"/>
        </w:r>
      </w:hyperlink>
    </w:p>
    <w:p w14:paraId="6F9C24B0" w14:textId="77777777" w:rsidR="00466AC7" w:rsidRDefault="00F329C0">
      <w:pPr>
        <w:pStyle w:val="TableofFigures"/>
        <w:tabs>
          <w:tab w:val="right" w:pos="9402"/>
        </w:tabs>
        <w:rPr>
          <w:rFonts w:eastAsiaTheme="minorEastAsia" w:cstheme="minorBidi"/>
          <w:b w:val="0"/>
          <w:bCs w:val="0"/>
          <w:noProof/>
          <w:sz w:val="22"/>
          <w:szCs w:val="22"/>
          <w:lang w:eastAsia="en-AU"/>
        </w:rPr>
      </w:pPr>
      <w:hyperlink w:anchor="_Toc500508463" w:history="1">
        <w:r w:rsidR="00466AC7" w:rsidRPr="006F4792">
          <w:rPr>
            <w:rStyle w:val="Hyperlink"/>
            <w:noProof/>
          </w:rPr>
          <w:t>Figure 3 Australian wild-capture prawn fishery production and exports of prawn products, 1989–90 to 2014–15</w:t>
        </w:r>
        <w:r w:rsidR="00466AC7">
          <w:rPr>
            <w:noProof/>
            <w:webHidden/>
          </w:rPr>
          <w:tab/>
        </w:r>
        <w:r w:rsidR="00466AC7">
          <w:rPr>
            <w:noProof/>
            <w:webHidden/>
          </w:rPr>
          <w:fldChar w:fldCharType="begin"/>
        </w:r>
        <w:r w:rsidR="00466AC7">
          <w:rPr>
            <w:noProof/>
            <w:webHidden/>
          </w:rPr>
          <w:instrText xml:space="preserve"> PAGEREF _Toc500508463 \h </w:instrText>
        </w:r>
        <w:r w:rsidR="00466AC7">
          <w:rPr>
            <w:noProof/>
            <w:webHidden/>
          </w:rPr>
        </w:r>
        <w:r w:rsidR="00466AC7">
          <w:rPr>
            <w:noProof/>
            <w:webHidden/>
          </w:rPr>
          <w:fldChar w:fldCharType="separate"/>
        </w:r>
        <w:r w:rsidR="00121BC1">
          <w:rPr>
            <w:noProof/>
            <w:webHidden/>
          </w:rPr>
          <w:t>16</w:t>
        </w:r>
        <w:r w:rsidR="00466AC7">
          <w:rPr>
            <w:noProof/>
            <w:webHidden/>
          </w:rPr>
          <w:fldChar w:fldCharType="end"/>
        </w:r>
      </w:hyperlink>
    </w:p>
    <w:p w14:paraId="5438757D" w14:textId="77777777" w:rsidR="00466AC7" w:rsidRDefault="00F329C0">
      <w:pPr>
        <w:pStyle w:val="TableofFigures"/>
        <w:tabs>
          <w:tab w:val="right" w:pos="9402"/>
        </w:tabs>
        <w:rPr>
          <w:rFonts w:eastAsiaTheme="minorEastAsia" w:cstheme="minorBidi"/>
          <w:b w:val="0"/>
          <w:bCs w:val="0"/>
          <w:noProof/>
          <w:sz w:val="22"/>
          <w:szCs w:val="22"/>
          <w:lang w:eastAsia="en-AU"/>
        </w:rPr>
      </w:pPr>
      <w:hyperlink w:anchor="_Toc500508464" w:history="1">
        <w:r w:rsidR="00466AC7" w:rsidRPr="006F4792">
          <w:rPr>
            <w:rStyle w:val="Hyperlink"/>
            <w:noProof/>
          </w:rPr>
          <w:t>Figure 4 Australian prawn aquaculture production, 1992–93 to 2015–16</w:t>
        </w:r>
        <w:r w:rsidR="00466AC7">
          <w:rPr>
            <w:noProof/>
            <w:webHidden/>
          </w:rPr>
          <w:tab/>
        </w:r>
        <w:r w:rsidR="00466AC7">
          <w:rPr>
            <w:noProof/>
            <w:webHidden/>
          </w:rPr>
          <w:fldChar w:fldCharType="begin"/>
        </w:r>
        <w:r w:rsidR="00466AC7">
          <w:rPr>
            <w:noProof/>
            <w:webHidden/>
          </w:rPr>
          <w:instrText xml:space="preserve"> PAGEREF _Toc500508464 \h </w:instrText>
        </w:r>
        <w:r w:rsidR="00466AC7">
          <w:rPr>
            <w:noProof/>
            <w:webHidden/>
          </w:rPr>
        </w:r>
        <w:r w:rsidR="00466AC7">
          <w:rPr>
            <w:noProof/>
            <w:webHidden/>
          </w:rPr>
          <w:fldChar w:fldCharType="separate"/>
        </w:r>
        <w:r w:rsidR="00121BC1">
          <w:rPr>
            <w:noProof/>
            <w:webHidden/>
          </w:rPr>
          <w:t>19</w:t>
        </w:r>
        <w:r w:rsidR="00466AC7">
          <w:rPr>
            <w:noProof/>
            <w:webHidden/>
          </w:rPr>
          <w:fldChar w:fldCharType="end"/>
        </w:r>
      </w:hyperlink>
    </w:p>
    <w:p w14:paraId="15001880" w14:textId="77777777" w:rsidR="00466AC7" w:rsidRDefault="00F329C0">
      <w:pPr>
        <w:pStyle w:val="TableofFigures"/>
        <w:tabs>
          <w:tab w:val="right" w:pos="9402"/>
        </w:tabs>
        <w:rPr>
          <w:rFonts w:eastAsiaTheme="minorEastAsia" w:cstheme="minorBidi"/>
          <w:b w:val="0"/>
          <w:bCs w:val="0"/>
          <w:noProof/>
          <w:sz w:val="22"/>
          <w:szCs w:val="22"/>
          <w:lang w:eastAsia="en-AU"/>
        </w:rPr>
      </w:pPr>
      <w:hyperlink w:anchor="_Toc500508465" w:history="1">
        <w:r w:rsidR="00466AC7" w:rsidRPr="006F4792">
          <w:rPr>
            <w:rStyle w:val="Hyperlink"/>
            <w:noProof/>
          </w:rPr>
          <w:t>Figure 5 Value of Australian prawn production, wild-caught and aquaculture, 2001–02 to 2014–15</w:t>
        </w:r>
        <w:r w:rsidR="00466AC7">
          <w:rPr>
            <w:noProof/>
            <w:webHidden/>
          </w:rPr>
          <w:tab/>
        </w:r>
        <w:r w:rsidR="00466AC7">
          <w:rPr>
            <w:noProof/>
            <w:webHidden/>
          </w:rPr>
          <w:fldChar w:fldCharType="begin"/>
        </w:r>
        <w:r w:rsidR="00466AC7">
          <w:rPr>
            <w:noProof/>
            <w:webHidden/>
          </w:rPr>
          <w:instrText xml:space="preserve"> PAGEREF _Toc500508465 \h </w:instrText>
        </w:r>
        <w:r w:rsidR="00466AC7">
          <w:rPr>
            <w:noProof/>
            <w:webHidden/>
          </w:rPr>
        </w:r>
        <w:r w:rsidR="00466AC7">
          <w:rPr>
            <w:noProof/>
            <w:webHidden/>
          </w:rPr>
          <w:fldChar w:fldCharType="separate"/>
        </w:r>
        <w:r w:rsidR="00121BC1">
          <w:rPr>
            <w:noProof/>
            <w:webHidden/>
          </w:rPr>
          <w:t>19</w:t>
        </w:r>
        <w:r w:rsidR="00466AC7">
          <w:rPr>
            <w:noProof/>
            <w:webHidden/>
          </w:rPr>
          <w:fldChar w:fldCharType="end"/>
        </w:r>
      </w:hyperlink>
    </w:p>
    <w:p w14:paraId="3FB8A30B" w14:textId="77777777" w:rsidR="00466AC7" w:rsidRDefault="00F329C0">
      <w:pPr>
        <w:pStyle w:val="TableofFigures"/>
        <w:tabs>
          <w:tab w:val="right" w:pos="9402"/>
        </w:tabs>
        <w:rPr>
          <w:rFonts w:eastAsiaTheme="minorEastAsia" w:cstheme="minorBidi"/>
          <w:b w:val="0"/>
          <w:bCs w:val="0"/>
          <w:noProof/>
          <w:sz w:val="22"/>
          <w:szCs w:val="22"/>
          <w:lang w:eastAsia="en-AU"/>
        </w:rPr>
      </w:pPr>
      <w:hyperlink w:anchor="_Toc500508466" w:history="1">
        <w:r w:rsidR="00466AC7" w:rsidRPr="006F4792">
          <w:rPr>
            <w:rStyle w:val="Hyperlink"/>
            <w:noProof/>
          </w:rPr>
          <w:t>Figure 6 Imports of frozen, raw, marinated, processed and preserved prawns, by weight, 2009–10 to 2015–16</w:t>
        </w:r>
        <w:r w:rsidR="00466AC7">
          <w:rPr>
            <w:noProof/>
            <w:webHidden/>
          </w:rPr>
          <w:tab/>
        </w:r>
        <w:r w:rsidR="00466AC7">
          <w:rPr>
            <w:noProof/>
            <w:webHidden/>
          </w:rPr>
          <w:fldChar w:fldCharType="begin"/>
        </w:r>
        <w:r w:rsidR="00466AC7">
          <w:rPr>
            <w:noProof/>
            <w:webHidden/>
          </w:rPr>
          <w:instrText xml:space="preserve"> PAGEREF _Toc500508466 \h </w:instrText>
        </w:r>
        <w:r w:rsidR="00466AC7">
          <w:rPr>
            <w:noProof/>
            <w:webHidden/>
          </w:rPr>
        </w:r>
        <w:r w:rsidR="00466AC7">
          <w:rPr>
            <w:noProof/>
            <w:webHidden/>
          </w:rPr>
          <w:fldChar w:fldCharType="separate"/>
        </w:r>
        <w:r w:rsidR="00121BC1">
          <w:rPr>
            <w:noProof/>
            <w:webHidden/>
          </w:rPr>
          <w:t>49</w:t>
        </w:r>
        <w:r w:rsidR="00466AC7">
          <w:rPr>
            <w:noProof/>
            <w:webHidden/>
          </w:rPr>
          <w:fldChar w:fldCharType="end"/>
        </w:r>
      </w:hyperlink>
    </w:p>
    <w:p w14:paraId="2953ADD8" w14:textId="77777777" w:rsidR="00466AC7" w:rsidRDefault="00F329C0">
      <w:pPr>
        <w:pStyle w:val="TableofFigures"/>
        <w:tabs>
          <w:tab w:val="right" w:pos="9402"/>
        </w:tabs>
        <w:rPr>
          <w:rFonts w:eastAsiaTheme="minorEastAsia" w:cstheme="minorBidi"/>
          <w:b w:val="0"/>
          <w:bCs w:val="0"/>
          <w:noProof/>
          <w:sz w:val="22"/>
          <w:szCs w:val="22"/>
          <w:lang w:eastAsia="en-AU"/>
        </w:rPr>
      </w:pPr>
      <w:hyperlink w:anchor="_Toc500508467" w:history="1">
        <w:r w:rsidR="00466AC7" w:rsidRPr="006F4792">
          <w:rPr>
            <w:rStyle w:val="Hyperlink"/>
            <w:noProof/>
          </w:rPr>
          <w:t>Figure 7 Imports of frozen, raw, marinated, processed and preserved prawns into Australia, by value, 2009–10 to 2015–16</w:t>
        </w:r>
        <w:r w:rsidR="00466AC7">
          <w:rPr>
            <w:noProof/>
            <w:webHidden/>
          </w:rPr>
          <w:tab/>
        </w:r>
        <w:r w:rsidR="00466AC7">
          <w:rPr>
            <w:noProof/>
            <w:webHidden/>
          </w:rPr>
          <w:fldChar w:fldCharType="begin"/>
        </w:r>
        <w:r w:rsidR="00466AC7">
          <w:rPr>
            <w:noProof/>
            <w:webHidden/>
          </w:rPr>
          <w:instrText xml:space="preserve"> PAGEREF _Toc500508467 \h </w:instrText>
        </w:r>
        <w:r w:rsidR="00466AC7">
          <w:rPr>
            <w:noProof/>
            <w:webHidden/>
          </w:rPr>
        </w:r>
        <w:r w:rsidR="00466AC7">
          <w:rPr>
            <w:noProof/>
            <w:webHidden/>
          </w:rPr>
          <w:fldChar w:fldCharType="separate"/>
        </w:r>
        <w:r w:rsidR="00121BC1">
          <w:rPr>
            <w:noProof/>
            <w:webHidden/>
          </w:rPr>
          <w:t>50</w:t>
        </w:r>
        <w:r w:rsidR="00466AC7">
          <w:rPr>
            <w:noProof/>
            <w:webHidden/>
          </w:rPr>
          <w:fldChar w:fldCharType="end"/>
        </w:r>
      </w:hyperlink>
    </w:p>
    <w:p w14:paraId="0A4110F0" w14:textId="77777777" w:rsidR="00466AC7" w:rsidRDefault="00F329C0">
      <w:pPr>
        <w:pStyle w:val="TableofFigures"/>
        <w:tabs>
          <w:tab w:val="right" w:pos="9402"/>
        </w:tabs>
        <w:rPr>
          <w:rFonts w:eastAsiaTheme="minorEastAsia" w:cstheme="minorBidi"/>
          <w:b w:val="0"/>
          <w:bCs w:val="0"/>
          <w:noProof/>
          <w:sz w:val="22"/>
          <w:szCs w:val="22"/>
          <w:lang w:eastAsia="en-AU"/>
        </w:rPr>
      </w:pPr>
      <w:hyperlink w:anchor="_Toc500508468" w:history="1">
        <w:r w:rsidR="00466AC7" w:rsidRPr="006F4792">
          <w:rPr>
            <w:rStyle w:val="Hyperlink"/>
            <w:noProof/>
          </w:rPr>
          <w:t>Figure 8 Change in value of prawn imports from selected countries, 2007–08 to 2014–15</w:t>
        </w:r>
        <w:r w:rsidR="00466AC7">
          <w:rPr>
            <w:noProof/>
            <w:webHidden/>
          </w:rPr>
          <w:tab/>
        </w:r>
        <w:r w:rsidR="00466AC7">
          <w:rPr>
            <w:noProof/>
            <w:webHidden/>
          </w:rPr>
          <w:fldChar w:fldCharType="begin"/>
        </w:r>
        <w:r w:rsidR="00466AC7">
          <w:rPr>
            <w:noProof/>
            <w:webHidden/>
          </w:rPr>
          <w:instrText xml:space="preserve"> PAGEREF _Toc500508468 \h </w:instrText>
        </w:r>
        <w:r w:rsidR="00466AC7">
          <w:rPr>
            <w:noProof/>
            <w:webHidden/>
          </w:rPr>
        </w:r>
        <w:r w:rsidR="00466AC7">
          <w:rPr>
            <w:noProof/>
            <w:webHidden/>
          </w:rPr>
          <w:fldChar w:fldCharType="separate"/>
        </w:r>
        <w:r w:rsidR="00121BC1">
          <w:rPr>
            <w:noProof/>
            <w:webHidden/>
          </w:rPr>
          <w:t>50</w:t>
        </w:r>
        <w:r w:rsidR="00466AC7">
          <w:rPr>
            <w:noProof/>
            <w:webHidden/>
          </w:rPr>
          <w:fldChar w:fldCharType="end"/>
        </w:r>
      </w:hyperlink>
    </w:p>
    <w:p w14:paraId="7D337604" w14:textId="77777777" w:rsidR="00466AC7" w:rsidRDefault="00F329C0">
      <w:pPr>
        <w:pStyle w:val="TableofFigures"/>
        <w:tabs>
          <w:tab w:val="right" w:pos="9402"/>
        </w:tabs>
        <w:rPr>
          <w:rFonts w:eastAsiaTheme="minorEastAsia" w:cstheme="minorBidi"/>
          <w:b w:val="0"/>
          <w:bCs w:val="0"/>
          <w:noProof/>
          <w:sz w:val="22"/>
          <w:szCs w:val="22"/>
          <w:lang w:eastAsia="en-AU"/>
        </w:rPr>
      </w:pPr>
      <w:hyperlink w:anchor="_Toc500508469" w:history="1">
        <w:r w:rsidR="00466AC7" w:rsidRPr="006F4792">
          <w:rPr>
            <w:rStyle w:val="Hyperlink"/>
            <w:noProof/>
          </w:rPr>
          <w:t>Figure 9 Typical domestic distribution chain for single container load of imported uncooked prawns and prawn products, Australia</w:t>
        </w:r>
        <w:r w:rsidR="00466AC7">
          <w:rPr>
            <w:noProof/>
            <w:webHidden/>
          </w:rPr>
          <w:tab/>
        </w:r>
        <w:r w:rsidR="00466AC7">
          <w:rPr>
            <w:noProof/>
            <w:webHidden/>
          </w:rPr>
          <w:fldChar w:fldCharType="begin"/>
        </w:r>
        <w:r w:rsidR="00466AC7">
          <w:rPr>
            <w:noProof/>
            <w:webHidden/>
          </w:rPr>
          <w:instrText xml:space="preserve"> PAGEREF _Toc500508469 \h </w:instrText>
        </w:r>
        <w:r w:rsidR="00466AC7">
          <w:rPr>
            <w:noProof/>
            <w:webHidden/>
          </w:rPr>
        </w:r>
        <w:r w:rsidR="00466AC7">
          <w:rPr>
            <w:noProof/>
            <w:webHidden/>
          </w:rPr>
          <w:fldChar w:fldCharType="separate"/>
        </w:r>
        <w:r w:rsidR="00121BC1">
          <w:rPr>
            <w:noProof/>
            <w:webHidden/>
          </w:rPr>
          <w:t>75</w:t>
        </w:r>
        <w:r w:rsidR="00466AC7">
          <w:rPr>
            <w:noProof/>
            <w:webHidden/>
          </w:rPr>
          <w:fldChar w:fldCharType="end"/>
        </w:r>
      </w:hyperlink>
    </w:p>
    <w:p w14:paraId="3A436573" w14:textId="77777777" w:rsidR="00466AC7" w:rsidRDefault="00F329C0">
      <w:pPr>
        <w:pStyle w:val="TableofFigures"/>
        <w:tabs>
          <w:tab w:val="right" w:pos="9402"/>
        </w:tabs>
        <w:rPr>
          <w:rFonts w:eastAsiaTheme="minorEastAsia" w:cstheme="minorBidi"/>
          <w:b w:val="0"/>
          <w:bCs w:val="0"/>
          <w:noProof/>
          <w:sz w:val="22"/>
          <w:szCs w:val="22"/>
          <w:lang w:eastAsia="en-AU"/>
        </w:rPr>
      </w:pPr>
      <w:hyperlink w:anchor="_Toc500508470" w:history="1">
        <w:r w:rsidR="00466AC7" w:rsidRPr="006F4792">
          <w:rPr>
            <w:rStyle w:val="Hyperlink"/>
            <w:noProof/>
          </w:rPr>
          <w:t>Figure 10 Range of C</w:t>
        </w:r>
        <w:r w:rsidR="00466AC7" w:rsidRPr="006F4792">
          <w:rPr>
            <w:rStyle w:val="Hyperlink"/>
            <w:noProof/>
            <w:vertAlign w:val="subscript"/>
          </w:rPr>
          <w:t>t</w:t>
        </w:r>
        <w:r w:rsidR="00466AC7" w:rsidRPr="006F4792">
          <w:rPr>
            <w:rStyle w:val="Hyperlink"/>
            <w:noProof/>
          </w:rPr>
          <w:t xml:space="preserve"> values in WSSV-positive post-border prawn batches found by AAHL</w:t>
        </w:r>
        <w:r w:rsidR="00466AC7">
          <w:rPr>
            <w:noProof/>
            <w:webHidden/>
          </w:rPr>
          <w:tab/>
        </w:r>
        <w:r w:rsidR="00466AC7">
          <w:rPr>
            <w:noProof/>
            <w:webHidden/>
          </w:rPr>
          <w:fldChar w:fldCharType="begin"/>
        </w:r>
        <w:r w:rsidR="00466AC7">
          <w:rPr>
            <w:noProof/>
            <w:webHidden/>
          </w:rPr>
          <w:instrText xml:space="preserve"> PAGEREF _Toc500508470 \h </w:instrText>
        </w:r>
        <w:r w:rsidR="00466AC7">
          <w:rPr>
            <w:noProof/>
            <w:webHidden/>
          </w:rPr>
        </w:r>
        <w:r w:rsidR="00466AC7">
          <w:rPr>
            <w:noProof/>
            <w:webHidden/>
          </w:rPr>
          <w:fldChar w:fldCharType="separate"/>
        </w:r>
        <w:r w:rsidR="00121BC1">
          <w:rPr>
            <w:noProof/>
            <w:webHidden/>
          </w:rPr>
          <w:t>79</w:t>
        </w:r>
        <w:r w:rsidR="00466AC7">
          <w:rPr>
            <w:noProof/>
            <w:webHidden/>
          </w:rPr>
          <w:fldChar w:fldCharType="end"/>
        </w:r>
      </w:hyperlink>
    </w:p>
    <w:p w14:paraId="5280ECC8" w14:textId="77777777" w:rsidR="00466AC7" w:rsidRDefault="00C31350" w:rsidP="006E5D1A">
      <w:pPr>
        <w:pStyle w:val="TOCHeading"/>
        <w:rPr>
          <w:noProof/>
        </w:rPr>
      </w:pPr>
      <w:r>
        <w:fldChar w:fldCharType="end"/>
      </w:r>
      <w:r w:rsidR="006E5D1A">
        <w:t>Table of Maps</w:t>
      </w:r>
      <w:r w:rsidR="006E5D1A">
        <w:fldChar w:fldCharType="begin"/>
      </w:r>
      <w:r w:rsidR="006E5D1A">
        <w:instrText xml:space="preserve"> TOC \h \z \c "Map" </w:instrText>
      </w:r>
      <w:r w:rsidR="006E5D1A">
        <w:fldChar w:fldCharType="separate"/>
      </w:r>
    </w:p>
    <w:p w14:paraId="37089730" w14:textId="77777777" w:rsidR="00466AC7" w:rsidRDefault="00F329C0">
      <w:pPr>
        <w:pStyle w:val="TableofFigures"/>
        <w:tabs>
          <w:tab w:val="right" w:pos="9402"/>
        </w:tabs>
        <w:rPr>
          <w:rFonts w:eastAsiaTheme="minorEastAsia" w:cstheme="minorBidi"/>
          <w:b w:val="0"/>
          <w:bCs w:val="0"/>
          <w:noProof/>
          <w:sz w:val="22"/>
          <w:szCs w:val="22"/>
          <w:lang w:eastAsia="en-AU"/>
        </w:rPr>
      </w:pPr>
      <w:hyperlink w:anchor="_Toc500508471" w:history="1">
        <w:r w:rsidR="00466AC7" w:rsidRPr="000114E0">
          <w:rPr>
            <w:rStyle w:val="Hyperlink"/>
            <w:noProof/>
          </w:rPr>
          <w:t>Map 1 White spot disease—location of infected prawn farms along the Logan River</w:t>
        </w:r>
        <w:r w:rsidR="00466AC7">
          <w:rPr>
            <w:noProof/>
            <w:webHidden/>
          </w:rPr>
          <w:tab/>
        </w:r>
        <w:r w:rsidR="00466AC7">
          <w:rPr>
            <w:noProof/>
            <w:webHidden/>
          </w:rPr>
          <w:fldChar w:fldCharType="begin"/>
        </w:r>
        <w:r w:rsidR="00466AC7">
          <w:rPr>
            <w:noProof/>
            <w:webHidden/>
          </w:rPr>
          <w:instrText xml:space="preserve"> PAGEREF _Toc500508471 \h </w:instrText>
        </w:r>
        <w:r w:rsidR="00466AC7">
          <w:rPr>
            <w:noProof/>
            <w:webHidden/>
          </w:rPr>
        </w:r>
        <w:r w:rsidR="00466AC7">
          <w:rPr>
            <w:noProof/>
            <w:webHidden/>
          </w:rPr>
          <w:fldChar w:fldCharType="separate"/>
        </w:r>
        <w:r w:rsidR="00121BC1">
          <w:rPr>
            <w:noProof/>
            <w:webHidden/>
          </w:rPr>
          <w:t>4</w:t>
        </w:r>
        <w:r w:rsidR="00466AC7">
          <w:rPr>
            <w:noProof/>
            <w:webHidden/>
          </w:rPr>
          <w:fldChar w:fldCharType="end"/>
        </w:r>
      </w:hyperlink>
    </w:p>
    <w:p w14:paraId="5F9CE0CE" w14:textId="77777777" w:rsidR="00466AC7" w:rsidRDefault="00F329C0">
      <w:pPr>
        <w:pStyle w:val="TableofFigures"/>
        <w:tabs>
          <w:tab w:val="right" w:pos="9402"/>
        </w:tabs>
        <w:rPr>
          <w:rFonts w:eastAsiaTheme="minorEastAsia" w:cstheme="minorBidi"/>
          <w:b w:val="0"/>
          <w:bCs w:val="0"/>
          <w:noProof/>
          <w:sz w:val="22"/>
          <w:szCs w:val="22"/>
          <w:lang w:eastAsia="en-AU"/>
        </w:rPr>
      </w:pPr>
      <w:hyperlink w:anchor="_Toc500508472" w:history="1">
        <w:r w:rsidR="00466AC7" w:rsidRPr="000114E0">
          <w:rPr>
            <w:rStyle w:val="Hyperlink"/>
            <w:noProof/>
          </w:rPr>
          <w:t>Map 2 White spot disease response surveillance areas, positive detections, Queensland, 1 December 2016 to 11 February 2017</w:t>
        </w:r>
        <w:r w:rsidR="00466AC7">
          <w:rPr>
            <w:noProof/>
            <w:webHidden/>
          </w:rPr>
          <w:tab/>
        </w:r>
        <w:r w:rsidR="00466AC7">
          <w:rPr>
            <w:noProof/>
            <w:webHidden/>
          </w:rPr>
          <w:fldChar w:fldCharType="begin"/>
        </w:r>
        <w:r w:rsidR="00466AC7">
          <w:rPr>
            <w:noProof/>
            <w:webHidden/>
          </w:rPr>
          <w:instrText xml:space="preserve"> PAGEREF _Toc500508472 \h </w:instrText>
        </w:r>
        <w:r w:rsidR="00466AC7">
          <w:rPr>
            <w:noProof/>
            <w:webHidden/>
          </w:rPr>
        </w:r>
        <w:r w:rsidR="00466AC7">
          <w:rPr>
            <w:noProof/>
            <w:webHidden/>
          </w:rPr>
          <w:fldChar w:fldCharType="separate"/>
        </w:r>
        <w:r w:rsidR="00121BC1">
          <w:rPr>
            <w:noProof/>
            <w:webHidden/>
          </w:rPr>
          <w:t>5</w:t>
        </w:r>
        <w:r w:rsidR="00466AC7">
          <w:rPr>
            <w:noProof/>
            <w:webHidden/>
          </w:rPr>
          <w:fldChar w:fldCharType="end"/>
        </w:r>
      </w:hyperlink>
    </w:p>
    <w:p w14:paraId="20692CE8" w14:textId="77777777" w:rsidR="00466AC7" w:rsidRDefault="00F329C0">
      <w:pPr>
        <w:pStyle w:val="TableofFigures"/>
        <w:tabs>
          <w:tab w:val="right" w:pos="9402"/>
        </w:tabs>
        <w:rPr>
          <w:rFonts w:eastAsiaTheme="minorEastAsia" w:cstheme="minorBidi"/>
          <w:b w:val="0"/>
          <w:bCs w:val="0"/>
          <w:noProof/>
          <w:sz w:val="22"/>
          <w:szCs w:val="22"/>
          <w:lang w:eastAsia="en-AU"/>
        </w:rPr>
      </w:pPr>
      <w:hyperlink w:anchor="_Toc500508473" w:history="1">
        <w:r w:rsidR="00466AC7" w:rsidRPr="000114E0">
          <w:rPr>
            <w:rStyle w:val="Hyperlink"/>
            <w:noProof/>
          </w:rPr>
          <w:t>Map 3 White spot disease response, positive detections in northern Moreton Bay, Queensland, 28 February to 12 April 2017</w:t>
        </w:r>
        <w:r w:rsidR="00466AC7">
          <w:rPr>
            <w:noProof/>
            <w:webHidden/>
          </w:rPr>
          <w:tab/>
        </w:r>
        <w:r w:rsidR="00466AC7">
          <w:rPr>
            <w:noProof/>
            <w:webHidden/>
          </w:rPr>
          <w:fldChar w:fldCharType="begin"/>
        </w:r>
        <w:r w:rsidR="00466AC7">
          <w:rPr>
            <w:noProof/>
            <w:webHidden/>
          </w:rPr>
          <w:instrText xml:space="preserve"> PAGEREF _Toc500508473 \h </w:instrText>
        </w:r>
        <w:r w:rsidR="00466AC7">
          <w:rPr>
            <w:noProof/>
            <w:webHidden/>
          </w:rPr>
        </w:r>
        <w:r w:rsidR="00466AC7">
          <w:rPr>
            <w:noProof/>
            <w:webHidden/>
          </w:rPr>
          <w:fldChar w:fldCharType="separate"/>
        </w:r>
        <w:r w:rsidR="00121BC1">
          <w:rPr>
            <w:noProof/>
            <w:webHidden/>
          </w:rPr>
          <w:t>6</w:t>
        </w:r>
        <w:r w:rsidR="00466AC7">
          <w:rPr>
            <w:noProof/>
            <w:webHidden/>
          </w:rPr>
          <w:fldChar w:fldCharType="end"/>
        </w:r>
      </w:hyperlink>
    </w:p>
    <w:p w14:paraId="7DEC9399" w14:textId="77777777" w:rsidR="00466AC7" w:rsidRDefault="00F329C0">
      <w:pPr>
        <w:pStyle w:val="TableofFigures"/>
        <w:tabs>
          <w:tab w:val="right" w:pos="9402"/>
        </w:tabs>
        <w:rPr>
          <w:rFonts w:eastAsiaTheme="minorEastAsia" w:cstheme="minorBidi"/>
          <w:b w:val="0"/>
          <w:bCs w:val="0"/>
          <w:noProof/>
          <w:sz w:val="22"/>
          <w:szCs w:val="22"/>
          <w:lang w:eastAsia="en-AU"/>
        </w:rPr>
      </w:pPr>
      <w:hyperlink w:anchor="_Toc500508474" w:history="1">
        <w:r w:rsidR="00466AC7" w:rsidRPr="000114E0">
          <w:rPr>
            <w:rStyle w:val="Hyperlink"/>
            <w:noProof/>
          </w:rPr>
          <w:t>Map 4 Updated movement restriction zone, south-east Queensland, at 7 July 2017</w:t>
        </w:r>
        <w:r w:rsidR="00466AC7">
          <w:rPr>
            <w:noProof/>
            <w:webHidden/>
          </w:rPr>
          <w:tab/>
        </w:r>
        <w:r w:rsidR="00466AC7">
          <w:rPr>
            <w:noProof/>
            <w:webHidden/>
          </w:rPr>
          <w:fldChar w:fldCharType="begin"/>
        </w:r>
        <w:r w:rsidR="00466AC7">
          <w:rPr>
            <w:noProof/>
            <w:webHidden/>
          </w:rPr>
          <w:instrText xml:space="preserve"> PAGEREF _Toc500508474 \h </w:instrText>
        </w:r>
        <w:r w:rsidR="00466AC7">
          <w:rPr>
            <w:noProof/>
            <w:webHidden/>
          </w:rPr>
        </w:r>
        <w:r w:rsidR="00466AC7">
          <w:rPr>
            <w:noProof/>
            <w:webHidden/>
          </w:rPr>
          <w:fldChar w:fldCharType="separate"/>
        </w:r>
        <w:r w:rsidR="00121BC1">
          <w:rPr>
            <w:noProof/>
            <w:webHidden/>
          </w:rPr>
          <w:t>7</w:t>
        </w:r>
        <w:r w:rsidR="00466AC7">
          <w:rPr>
            <w:noProof/>
            <w:webHidden/>
          </w:rPr>
          <w:fldChar w:fldCharType="end"/>
        </w:r>
      </w:hyperlink>
    </w:p>
    <w:p w14:paraId="77E7542F" w14:textId="77777777" w:rsidR="00466AC7" w:rsidRDefault="00F329C0">
      <w:pPr>
        <w:pStyle w:val="TableofFigures"/>
        <w:tabs>
          <w:tab w:val="right" w:pos="9402"/>
        </w:tabs>
        <w:rPr>
          <w:rFonts w:eastAsiaTheme="minorEastAsia" w:cstheme="minorBidi"/>
          <w:b w:val="0"/>
          <w:bCs w:val="0"/>
          <w:noProof/>
          <w:sz w:val="22"/>
          <w:szCs w:val="22"/>
          <w:lang w:eastAsia="en-AU"/>
        </w:rPr>
      </w:pPr>
      <w:hyperlink w:anchor="_Toc500508475" w:history="1">
        <w:r w:rsidR="00466AC7" w:rsidRPr="000114E0">
          <w:rPr>
            <w:rStyle w:val="Hyperlink"/>
            <w:noProof/>
          </w:rPr>
          <w:t>Map 5 Map Fishing restrictions, south-east Queensland, at 7 July 2017</w:t>
        </w:r>
        <w:r w:rsidR="00466AC7">
          <w:rPr>
            <w:noProof/>
            <w:webHidden/>
          </w:rPr>
          <w:tab/>
        </w:r>
        <w:r w:rsidR="00466AC7">
          <w:rPr>
            <w:noProof/>
            <w:webHidden/>
          </w:rPr>
          <w:fldChar w:fldCharType="begin"/>
        </w:r>
        <w:r w:rsidR="00466AC7">
          <w:rPr>
            <w:noProof/>
            <w:webHidden/>
          </w:rPr>
          <w:instrText xml:space="preserve"> PAGEREF _Toc500508475 \h </w:instrText>
        </w:r>
        <w:r w:rsidR="00466AC7">
          <w:rPr>
            <w:noProof/>
            <w:webHidden/>
          </w:rPr>
        </w:r>
        <w:r w:rsidR="00466AC7">
          <w:rPr>
            <w:noProof/>
            <w:webHidden/>
          </w:rPr>
          <w:fldChar w:fldCharType="separate"/>
        </w:r>
        <w:r w:rsidR="00121BC1">
          <w:rPr>
            <w:noProof/>
            <w:webHidden/>
          </w:rPr>
          <w:t>8</w:t>
        </w:r>
        <w:r w:rsidR="00466AC7">
          <w:rPr>
            <w:noProof/>
            <w:webHidden/>
          </w:rPr>
          <w:fldChar w:fldCharType="end"/>
        </w:r>
      </w:hyperlink>
    </w:p>
    <w:p w14:paraId="009575CE" w14:textId="77777777" w:rsidR="00466AC7" w:rsidRDefault="00F329C0">
      <w:pPr>
        <w:pStyle w:val="TableofFigures"/>
        <w:tabs>
          <w:tab w:val="right" w:pos="9402"/>
        </w:tabs>
        <w:rPr>
          <w:rFonts w:eastAsiaTheme="minorEastAsia" w:cstheme="minorBidi"/>
          <w:b w:val="0"/>
          <w:bCs w:val="0"/>
          <w:noProof/>
          <w:sz w:val="22"/>
          <w:szCs w:val="22"/>
          <w:lang w:eastAsia="en-AU"/>
        </w:rPr>
      </w:pPr>
      <w:hyperlink w:anchor="_Toc500508476" w:history="1">
        <w:r w:rsidR="00466AC7" w:rsidRPr="000114E0">
          <w:rPr>
            <w:rStyle w:val="Hyperlink"/>
            <w:noProof/>
          </w:rPr>
          <w:t>Map 6 Main prawn species found in Australian waters</w:t>
        </w:r>
        <w:r w:rsidR="00466AC7">
          <w:rPr>
            <w:noProof/>
            <w:webHidden/>
          </w:rPr>
          <w:tab/>
        </w:r>
        <w:r w:rsidR="00466AC7">
          <w:rPr>
            <w:noProof/>
            <w:webHidden/>
          </w:rPr>
          <w:fldChar w:fldCharType="begin"/>
        </w:r>
        <w:r w:rsidR="00466AC7">
          <w:rPr>
            <w:noProof/>
            <w:webHidden/>
          </w:rPr>
          <w:instrText xml:space="preserve"> PAGEREF _Toc500508476 \h </w:instrText>
        </w:r>
        <w:r w:rsidR="00466AC7">
          <w:rPr>
            <w:noProof/>
            <w:webHidden/>
          </w:rPr>
        </w:r>
        <w:r w:rsidR="00466AC7">
          <w:rPr>
            <w:noProof/>
            <w:webHidden/>
          </w:rPr>
          <w:fldChar w:fldCharType="separate"/>
        </w:r>
        <w:r w:rsidR="00121BC1">
          <w:rPr>
            <w:noProof/>
            <w:webHidden/>
          </w:rPr>
          <w:t>17</w:t>
        </w:r>
        <w:r w:rsidR="00466AC7">
          <w:rPr>
            <w:noProof/>
            <w:webHidden/>
          </w:rPr>
          <w:fldChar w:fldCharType="end"/>
        </w:r>
      </w:hyperlink>
    </w:p>
    <w:p w14:paraId="00D51484" w14:textId="77777777" w:rsidR="00466AC7" w:rsidRDefault="00F329C0">
      <w:pPr>
        <w:pStyle w:val="TableofFigures"/>
        <w:tabs>
          <w:tab w:val="right" w:pos="9402"/>
        </w:tabs>
        <w:rPr>
          <w:rFonts w:eastAsiaTheme="minorEastAsia" w:cstheme="minorBidi"/>
          <w:b w:val="0"/>
          <w:bCs w:val="0"/>
          <w:noProof/>
          <w:sz w:val="22"/>
          <w:szCs w:val="22"/>
          <w:lang w:eastAsia="en-AU"/>
        </w:rPr>
      </w:pPr>
      <w:hyperlink w:anchor="_Toc500508477" w:history="1">
        <w:r w:rsidR="00466AC7" w:rsidRPr="000114E0">
          <w:rPr>
            <w:rStyle w:val="Hyperlink"/>
            <w:noProof/>
          </w:rPr>
          <w:t>Map 7 Retail food outlets in the Logan River area, November 2017</w:t>
        </w:r>
        <w:r w:rsidR="00466AC7">
          <w:rPr>
            <w:noProof/>
            <w:webHidden/>
          </w:rPr>
          <w:tab/>
        </w:r>
        <w:r w:rsidR="00466AC7">
          <w:rPr>
            <w:noProof/>
            <w:webHidden/>
          </w:rPr>
          <w:fldChar w:fldCharType="begin"/>
        </w:r>
        <w:r w:rsidR="00466AC7">
          <w:rPr>
            <w:noProof/>
            <w:webHidden/>
          </w:rPr>
          <w:instrText xml:space="preserve"> PAGEREF _Toc500508477 \h </w:instrText>
        </w:r>
        <w:r w:rsidR="00466AC7">
          <w:rPr>
            <w:noProof/>
            <w:webHidden/>
          </w:rPr>
        </w:r>
        <w:r w:rsidR="00466AC7">
          <w:rPr>
            <w:noProof/>
            <w:webHidden/>
          </w:rPr>
          <w:fldChar w:fldCharType="separate"/>
        </w:r>
        <w:r w:rsidR="00121BC1">
          <w:rPr>
            <w:noProof/>
            <w:webHidden/>
          </w:rPr>
          <w:t>77</w:t>
        </w:r>
        <w:r w:rsidR="00466AC7">
          <w:rPr>
            <w:noProof/>
            <w:webHidden/>
          </w:rPr>
          <w:fldChar w:fldCharType="end"/>
        </w:r>
      </w:hyperlink>
    </w:p>
    <w:p w14:paraId="1E1196EE" w14:textId="0EB55A39" w:rsidR="002338E2" w:rsidRDefault="006E5D1A">
      <w:pPr>
        <w:rPr>
          <w:sz w:val="20"/>
          <w:szCs w:val="20"/>
        </w:rPr>
      </w:pPr>
      <w:r>
        <w:rPr>
          <w:sz w:val="20"/>
          <w:szCs w:val="20"/>
        </w:rPr>
        <w:fldChar w:fldCharType="end"/>
      </w:r>
    </w:p>
    <w:p w14:paraId="5147392A" w14:textId="7106C4EC" w:rsidR="006E5D1A" w:rsidRDefault="006E5D1A" w:rsidP="006E5D1A">
      <w:pPr>
        <w:pStyle w:val="TOCHeading"/>
      </w:pPr>
      <w:r>
        <w:lastRenderedPageBreak/>
        <w:t xml:space="preserve">Table of </w:t>
      </w:r>
      <w:r w:rsidR="00FE1EF3">
        <w:t>T</w:t>
      </w:r>
      <w:r>
        <w:t>ables</w:t>
      </w:r>
    </w:p>
    <w:p w14:paraId="1FE17138" w14:textId="77777777" w:rsidR="00466AC7" w:rsidRDefault="006E5D1A">
      <w:pPr>
        <w:pStyle w:val="TableofFigures"/>
        <w:tabs>
          <w:tab w:val="right" w:leader="dot" w:pos="9402"/>
        </w:tabs>
        <w:rPr>
          <w:rFonts w:eastAsiaTheme="minorEastAsia" w:cstheme="minorBidi"/>
          <w:b w:val="0"/>
          <w:bCs w:val="0"/>
          <w:noProof/>
          <w:sz w:val="22"/>
          <w:szCs w:val="22"/>
          <w:lang w:eastAsia="en-AU"/>
        </w:rPr>
      </w:pPr>
      <w:r>
        <w:rPr>
          <w:b w:val="0"/>
          <w:bCs w:val="0"/>
        </w:rPr>
        <w:fldChar w:fldCharType="begin"/>
      </w:r>
      <w:r>
        <w:rPr>
          <w:b w:val="0"/>
          <w:bCs w:val="0"/>
        </w:rPr>
        <w:instrText xml:space="preserve"> TOC \h \z \c "Table" </w:instrText>
      </w:r>
      <w:r>
        <w:rPr>
          <w:b w:val="0"/>
          <w:bCs w:val="0"/>
        </w:rPr>
        <w:fldChar w:fldCharType="separate"/>
      </w:r>
      <w:hyperlink w:anchor="_Toc500508478" w:history="1">
        <w:r w:rsidR="00466AC7" w:rsidRPr="00DA20E1">
          <w:rPr>
            <w:rStyle w:val="Hyperlink"/>
            <w:noProof/>
          </w:rPr>
          <w:t>Table 1 Surveillance for white spot disease, Queensland, 1 December 2016 to 17 August 2017</w:t>
        </w:r>
        <w:r w:rsidR="00466AC7">
          <w:rPr>
            <w:noProof/>
            <w:webHidden/>
          </w:rPr>
          <w:tab/>
        </w:r>
        <w:r w:rsidR="00466AC7">
          <w:rPr>
            <w:noProof/>
            <w:webHidden/>
          </w:rPr>
          <w:fldChar w:fldCharType="begin"/>
        </w:r>
        <w:r w:rsidR="00466AC7">
          <w:rPr>
            <w:noProof/>
            <w:webHidden/>
          </w:rPr>
          <w:instrText xml:space="preserve"> PAGEREF _Toc500508478 \h </w:instrText>
        </w:r>
        <w:r w:rsidR="00466AC7">
          <w:rPr>
            <w:noProof/>
            <w:webHidden/>
          </w:rPr>
        </w:r>
        <w:r w:rsidR="00466AC7">
          <w:rPr>
            <w:noProof/>
            <w:webHidden/>
          </w:rPr>
          <w:fldChar w:fldCharType="separate"/>
        </w:r>
        <w:r w:rsidR="00121BC1">
          <w:rPr>
            <w:noProof/>
            <w:webHidden/>
          </w:rPr>
          <w:t>9</w:t>
        </w:r>
        <w:r w:rsidR="00466AC7">
          <w:rPr>
            <w:noProof/>
            <w:webHidden/>
          </w:rPr>
          <w:fldChar w:fldCharType="end"/>
        </w:r>
      </w:hyperlink>
    </w:p>
    <w:p w14:paraId="26C14065" w14:textId="77777777" w:rsidR="00466AC7" w:rsidRDefault="00F329C0">
      <w:pPr>
        <w:pStyle w:val="TableofFigures"/>
        <w:tabs>
          <w:tab w:val="right" w:leader="dot" w:pos="9402"/>
        </w:tabs>
        <w:rPr>
          <w:rFonts w:eastAsiaTheme="minorEastAsia" w:cstheme="minorBidi"/>
          <w:b w:val="0"/>
          <w:bCs w:val="0"/>
          <w:noProof/>
          <w:sz w:val="22"/>
          <w:szCs w:val="22"/>
          <w:lang w:eastAsia="en-AU"/>
        </w:rPr>
      </w:pPr>
      <w:hyperlink w:anchor="_Toc500508479" w:history="1">
        <w:r w:rsidR="00466AC7" w:rsidRPr="00DA20E1">
          <w:rPr>
            <w:rStyle w:val="Hyperlink"/>
            <w:noProof/>
          </w:rPr>
          <w:t>Table 2 Unrestricted risk estimate for prawn pathogenic agents</w:t>
        </w:r>
        <w:r w:rsidR="00466AC7">
          <w:rPr>
            <w:noProof/>
            <w:webHidden/>
          </w:rPr>
          <w:tab/>
        </w:r>
        <w:r w:rsidR="00466AC7">
          <w:rPr>
            <w:noProof/>
            <w:webHidden/>
          </w:rPr>
          <w:fldChar w:fldCharType="begin"/>
        </w:r>
        <w:r w:rsidR="00466AC7">
          <w:rPr>
            <w:noProof/>
            <w:webHidden/>
          </w:rPr>
          <w:instrText xml:space="preserve"> PAGEREF _Toc500508479 \h </w:instrText>
        </w:r>
        <w:r w:rsidR="00466AC7">
          <w:rPr>
            <w:noProof/>
            <w:webHidden/>
          </w:rPr>
        </w:r>
        <w:r w:rsidR="00466AC7">
          <w:rPr>
            <w:noProof/>
            <w:webHidden/>
          </w:rPr>
          <w:fldChar w:fldCharType="separate"/>
        </w:r>
        <w:r w:rsidR="00121BC1">
          <w:rPr>
            <w:noProof/>
            <w:webHidden/>
          </w:rPr>
          <w:t>33</w:t>
        </w:r>
        <w:r w:rsidR="00466AC7">
          <w:rPr>
            <w:noProof/>
            <w:webHidden/>
          </w:rPr>
          <w:fldChar w:fldCharType="end"/>
        </w:r>
      </w:hyperlink>
    </w:p>
    <w:p w14:paraId="5ED02E5E" w14:textId="77777777" w:rsidR="00466AC7" w:rsidRDefault="00F329C0">
      <w:pPr>
        <w:pStyle w:val="TableofFigures"/>
        <w:tabs>
          <w:tab w:val="right" w:leader="dot" w:pos="9402"/>
        </w:tabs>
        <w:rPr>
          <w:rFonts w:eastAsiaTheme="minorEastAsia" w:cstheme="minorBidi"/>
          <w:b w:val="0"/>
          <w:bCs w:val="0"/>
          <w:noProof/>
          <w:sz w:val="22"/>
          <w:szCs w:val="22"/>
          <w:lang w:eastAsia="en-AU"/>
        </w:rPr>
      </w:pPr>
      <w:hyperlink w:anchor="_Toc500508480" w:history="1">
        <w:r w:rsidR="00466AC7" w:rsidRPr="00DA20E1">
          <w:rPr>
            <w:rStyle w:val="Hyperlink"/>
            <w:noProof/>
          </w:rPr>
          <w:t>Table 3 Assessment of prawn product consignments, 2013–14 to 2015–16</w:t>
        </w:r>
        <w:r w:rsidR="00466AC7">
          <w:rPr>
            <w:noProof/>
            <w:webHidden/>
          </w:rPr>
          <w:tab/>
        </w:r>
        <w:r w:rsidR="00466AC7">
          <w:rPr>
            <w:noProof/>
            <w:webHidden/>
          </w:rPr>
          <w:fldChar w:fldCharType="begin"/>
        </w:r>
        <w:r w:rsidR="00466AC7">
          <w:rPr>
            <w:noProof/>
            <w:webHidden/>
          </w:rPr>
          <w:instrText xml:space="preserve"> PAGEREF _Toc500508480 \h </w:instrText>
        </w:r>
        <w:r w:rsidR="00466AC7">
          <w:rPr>
            <w:noProof/>
            <w:webHidden/>
          </w:rPr>
        </w:r>
        <w:r w:rsidR="00466AC7">
          <w:rPr>
            <w:noProof/>
            <w:webHidden/>
          </w:rPr>
          <w:fldChar w:fldCharType="separate"/>
        </w:r>
        <w:r w:rsidR="00121BC1">
          <w:rPr>
            <w:noProof/>
            <w:webHidden/>
          </w:rPr>
          <w:t>56</w:t>
        </w:r>
        <w:r w:rsidR="00466AC7">
          <w:rPr>
            <w:noProof/>
            <w:webHidden/>
          </w:rPr>
          <w:fldChar w:fldCharType="end"/>
        </w:r>
      </w:hyperlink>
    </w:p>
    <w:p w14:paraId="738FB785" w14:textId="77777777" w:rsidR="00466AC7" w:rsidRDefault="00F329C0">
      <w:pPr>
        <w:pStyle w:val="TableofFigures"/>
        <w:tabs>
          <w:tab w:val="right" w:leader="dot" w:pos="9402"/>
        </w:tabs>
        <w:rPr>
          <w:rFonts w:eastAsiaTheme="minorEastAsia" w:cstheme="minorBidi"/>
          <w:b w:val="0"/>
          <w:bCs w:val="0"/>
          <w:noProof/>
          <w:sz w:val="22"/>
          <w:szCs w:val="22"/>
          <w:lang w:eastAsia="en-AU"/>
        </w:rPr>
      </w:pPr>
      <w:hyperlink w:anchor="_Toc500508481" w:history="1">
        <w:r w:rsidR="00466AC7" w:rsidRPr="00DA20E1">
          <w:rPr>
            <w:rStyle w:val="Hyperlink"/>
            <w:noProof/>
          </w:rPr>
          <w:t>Table 4 Directions for prawn consignments, 2013–14 to 2015–16</w:t>
        </w:r>
        <w:r w:rsidR="00466AC7">
          <w:rPr>
            <w:noProof/>
            <w:webHidden/>
          </w:rPr>
          <w:tab/>
        </w:r>
        <w:r w:rsidR="00466AC7">
          <w:rPr>
            <w:noProof/>
            <w:webHidden/>
          </w:rPr>
          <w:fldChar w:fldCharType="begin"/>
        </w:r>
        <w:r w:rsidR="00466AC7">
          <w:rPr>
            <w:noProof/>
            <w:webHidden/>
          </w:rPr>
          <w:instrText xml:space="preserve"> PAGEREF _Toc500508481 \h </w:instrText>
        </w:r>
        <w:r w:rsidR="00466AC7">
          <w:rPr>
            <w:noProof/>
            <w:webHidden/>
          </w:rPr>
        </w:r>
        <w:r w:rsidR="00466AC7">
          <w:rPr>
            <w:noProof/>
            <w:webHidden/>
          </w:rPr>
          <w:fldChar w:fldCharType="separate"/>
        </w:r>
        <w:r w:rsidR="00121BC1">
          <w:rPr>
            <w:noProof/>
            <w:webHidden/>
          </w:rPr>
          <w:t>57</w:t>
        </w:r>
        <w:r w:rsidR="00466AC7">
          <w:rPr>
            <w:noProof/>
            <w:webHidden/>
          </w:rPr>
          <w:fldChar w:fldCharType="end"/>
        </w:r>
      </w:hyperlink>
    </w:p>
    <w:p w14:paraId="6B804E51" w14:textId="77777777" w:rsidR="00466AC7" w:rsidRDefault="00F329C0">
      <w:pPr>
        <w:pStyle w:val="TableofFigures"/>
        <w:tabs>
          <w:tab w:val="right" w:leader="dot" w:pos="9402"/>
        </w:tabs>
        <w:rPr>
          <w:rFonts w:eastAsiaTheme="minorEastAsia" w:cstheme="minorBidi"/>
          <w:b w:val="0"/>
          <w:bCs w:val="0"/>
          <w:noProof/>
          <w:sz w:val="22"/>
          <w:szCs w:val="22"/>
          <w:lang w:eastAsia="en-AU"/>
        </w:rPr>
      </w:pPr>
      <w:hyperlink w:anchor="_Toc500508482" w:history="1">
        <w:r w:rsidR="00466AC7" w:rsidRPr="00DA20E1">
          <w:rPr>
            <w:rStyle w:val="Hyperlink"/>
            <w:noProof/>
          </w:rPr>
          <w:t>Table 5 Prawn inspection and sampling, billed hours, by port, 2013–14 to 2015–16</w:t>
        </w:r>
        <w:r w:rsidR="00466AC7">
          <w:rPr>
            <w:noProof/>
            <w:webHidden/>
          </w:rPr>
          <w:tab/>
        </w:r>
        <w:r w:rsidR="00466AC7">
          <w:rPr>
            <w:noProof/>
            <w:webHidden/>
          </w:rPr>
          <w:fldChar w:fldCharType="begin"/>
        </w:r>
        <w:r w:rsidR="00466AC7">
          <w:rPr>
            <w:noProof/>
            <w:webHidden/>
          </w:rPr>
          <w:instrText xml:space="preserve"> PAGEREF _Toc500508482 \h </w:instrText>
        </w:r>
        <w:r w:rsidR="00466AC7">
          <w:rPr>
            <w:noProof/>
            <w:webHidden/>
          </w:rPr>
        </w:r>
        <w:r w:rsidR="00466AC7">
          <w:rPr>
            <w:noProof/>
            <w:webHidden/>
          </w:rPr>
          <w:fldChar w:fldCharType="separate"/>
        </w:r>
        <w:r w:rsidR="00121BC1">
          <w:rPr>
            <w:noProof/>
            <w:webHidden/>
          </w:rPr>
          <w:t>57</w:t>
        </w:r>
        <w:r w:rsidR="00466AC7">
          <w:rPr>
            <w:noProof/>
            <w:webHidden/>
          </w:rPr>
          <w:fldChar w:fldCharType="end"/>
        </w:r>
      </w:hyperlink>
    </w:p>
    <w:p w14:paraId="344973EF" w14:textId="77777777" w:rsidR="00466AC7" w:rsidRDefault="00F329C0">
      <w:pPr>
        <w:pStyle w:val="TableofFigures"/>
        <w:tabs>
          <w:tab w:val="right" w:leader="dot" w:pos="9402"/>
        </w:tabs>
        <w:rPr>
          <w:rFonts w:eastAsiaTheme="minorEastAsia" w:cstheme="minorBidi"/>
          <w:b w:val="0"/>
          <w:bCs w:val="0"/>
          <w:noProof/>
          <w:sz w:val="22"/>
          <w:szCs w:val="22"/>
          <w:lang w:eastAsia="en-AU"/>
        </w:rPr>
      </w:pPr>
      <w:hyperlink w:anchor="_Toc500508483" w:history="1">
        <w:r w:rsidR="00466AC7" w:rsidRPr="00DA20E1">
          <w:rPr>
            <w:rStyle w:val="Hyperlink"/>
            <w:noProof/>
          </w:rPr>
          <w:t>Table 6 WSSV and YHD testing of imported uncooked prawn and prawn products, by country of origin, 2013–14 to 2015–16</w:t>
        </w:r>
        <w:r w:rsidR="00466AC7">
          <w:rPr>
            <w:noProof/>
            <w:webHidden/>
          </w:rPr>
          <w:tab/>
        </w:r>
        <w:r w:rsidR="00466AC7">
          <w:rPr>
            <w:noProof/>
            <w:webHidden/>
          </w:rPr>
          <w:fldChar w:fldCharType="begin"/>
        </w:r>
        <w:r w:rsidR="00466AC7">
          <w:rPr>
            <w:noProof/>
            <w:webHidden/>
          </w:rPr>
          <w:instrText xml:space="preserve"> PAGEREF _Toc500508483 \h </w:instrText>
        </w:r>
        <w:r w:rsidR="00466AC7">
          <w:rPr>
            <w:noProof/>
            <w:webHidden/>
          </w:rPr>
        </w:r>
        <w:r w:rsidR="00466AC7">
          <w:rPr>
            <w:noProof/>
            <w:webHidden/>
          </w:rPr>
          <w:fldChar w:fldCharType="separate"/>
        </w:r>
        <w:r w:rsidR="00121BC1">
          <w:rPr>
            <w:noProof/>
            <w:webHidden/>
          </w:rPr>
          <w:t>58</w:t>
        </w:r>
        <w:r w:rsidR="00466AC7">
          <w:rPr>
            <w:noProof/>
            <w:webHidden/>
          </w:rPr>
          <w:fldChar w:fldCharType="end"/>
        </w:r>
      </w:hyperlink>
    </w:p>
    <w:p w14:paraId="00F17111" w14:textId="77777777" w:rsidR="00466AC7" w:rsidRDefault="00F329C0">
      <w:pPr>
        <w:pStyle w:val="TableofFigures"/>
        <w:tabs>
          <w:tab w:val="right" w:leader="dot" w:pos="9402"/>
        </w:tabs>
        <w:rPr>
          <w:rFonts w:eastAsiaTheme="minorEastAsia" w:cstheme="minorBidi"/>
          <w:b w:val="0"/>
          <w:bCs w:val="0"/>
          <w:noProof/>
          <w:sz w:val="22"/>
          <w:szCs w:val="22"/>
          <w:lang w:eastAsia="en-AU"/>
        </w:rPr>
      </w:pPr>
      <w:hyperlink w:anchor="_Toc500508484" w:history="1">
        <w:r w:rsidR="00466AC7" w:rsidRPr="00DA20E1">
          <w:rPr>
            <w:rStyle w:val="Hyperlink"/>
            <w:noProof/>
          </w:rPr>
          <w:t>Table 7 Actions selected by brokers/importers for WSSV and YHD positive batches or consignments, 2013–14 to 2015–16</w:t>
        </w:r>
        <w:r w:rsidR="00466AC7">
          <w:rPr>
            <w:noProof/>
            <w:webHidden/>
          </w:rPr>
          <w:tab/>
        </w:r>
        <w:r w:rsidR="00466AC7">
          <w:rPr>
            <w:noProof/>
            <w:webHidden/>
          </w:rPr>
          <w:fldChar w:fldCharType="begin"/>
        </w:r>
        <w:r w:rsidR="00466AC7">
          <w:rPr>
            <w:noProof/>
            <w:webHidden/>
          </w:rPr>
          <w:instrText xml:space="preserve"> PAGEREF _Toc500508484 \h </w:instrText>
        </w:r>
        <w:r w:rsidR="00466AC7">
          <w:rPr>
            <w:noProof/>
            <w:webHidden/>
          </w:rPr>
        </w:r>
        <w:r w:rsidR="00466AC7">
          <w:rPr>
            <w:noProof/>
            <w:webHidden/>
          </w:rPr>
          <w:fldChar w:fldCharType="separate"/>
        </w:r>
        <w:r w:rsidR="00121BC1">
          <w:rPr>
            <w:noProof/>
            <w:webHidden/>
          </w:rPr>
          <w:t>58</w:t>
        </w:r>
        <w:r w:rsidR="00466AC7">
          <w:rPr>
            <w:noProof/>
            <w:webHidden/>
          </w:rPr>
          <w:fldChar w:fldCharType="end"/>
        </w:r>
      </w:hyperlink>
    </w:p>
    <w:p w14:paraId="498B5977" w14:textId="77777777" w:rsidR="00466AC7" w:rsidRDefault="00F329C0">
      <w:pPr>
        <w:pStyle w:val="TableofFigures"/>
        <w:tabs>
          <w:tab w:val="right" w:leader="dot" w:pos="9402"/>
        </w:tabs>
        <w:rPr>
          <w:rFonts w:eastAsiaTheme="minorEastAsia" w:cstheme="minorBidi"/>
          <w:b w:val="0"/>
          <w:bCs w:val="0"/>
          <w:noProof/>
          <w:sz w:val="22"/>
          <w:szCs w:val="22"/>
          <w:lang w:eastAsia="en-AU"/>
        </w:rPr>
      </w:pPr>
      <w:hyperlink w:anchor="_Toc500508485" w:history="1">
        <w:r w:rsidR="00466AC7" w:rsidRPr="00DA20E1">
          <w:rPr>
            <w:rStyle w:val="Hyperlink"/>
            <w:noProof/>
          </w:rPr>
          <w:t>Table 8 Non-compliance with import conditions for prawn consignments, 2013–14 to 2015–16</w:t>
        </w:r>
        <w:r w:rsidR="00466AC7">
          <w:rPr>
            <w:noProof/>
            <w:webHidden/>
          </w:rPr>
          <w:tab/>
        </w:r>
        <w:r w:rsidR="00466AC7">
          <w:rPr>
            <w:noProof/>
            <w:webHidden/>
          </w:rPr>
          <w:fldChar w:fldCharType="begin"/>
        </w:r>
        <w:r w:rsidR="00466AC7">
          <w:rPr>
            <w:noProof/>
            <w:webHidden/>
          </w:rPr>
          <w:instrText xml:space="preserve"> PAGEREF _Toc500508485 \h </w:instrText>
        </w:r>
        <w:r w:rsidR="00466AC7">
          <w:rPr>
            <w:noProof/>
            <w:webHidden/>
          </w:rPr>
        </w:r>
        <w:r w:rsidR="00466AC7">
          <w:rPr>
            <w:noProof/>
            <w:webHidden/>
          </w:rPr>
          <w:fldChar w:fldCharType="separate"/>
        </w:r>
        <w:r w:rsidR="00121BC1">
          <w:rPr>
            <w:noProof/>
            <w:webHidden/>
          </w:rPr>
          <w:t>62</w:t>
        </w:r>
        <w:r w:rsidR="00466AC7">
          <w:rPr>
            <w:noProof/>
            <w:webHidden/>
          </w:rPr>
          <w:fldChar w:fldCharType="end"/>
        </w:r>
      </w:hyperlink>
    </w:p>
    <w:p w14:paraId="01F3FE3B" w14:textId="77777777" w:rsidR="00466AC7" w:rsidRDefault="00F329C0">
      <w:pPr>
        <w:pStyle w:val="TableofFigures"/>
        <w:tabs>
          <w:tab w:val="right" w:leader="dot" w:pos="9402"/>
        </w:tabs>
        <w:rPr>
          <w:rFonts w:eastAsiaTheme="minorEastAsia" w:cstheme="minorBidi"/>
          <w:b w:val="0"/>
          <w:bCs w:val="0"/>
          <w:noProof/>
          <w:sz w:val="22"/>
          <w:szCs w:val="22"/>
          <w:lang w:eastAsia="en-AU"/>
        </w:rPr>
      </w:pPr>
      <w:hyperlink w:anchor="_Toc500508486" w:history="1">
        <w:r w:rsidR="00466AC7" w:rsidRPr="00DA20E1">
          <w:rPr>
            <w:rStyle w:val="Hyperlink"/>
            <w:noProof/>
          </w:rPr>
          <w:t>Table 9 Operation Cattai phase 2, summary of observed importer non-compliant behaviour, August–December 2016</w:t>
        </w:r>
        <w:r w:rsidR="00466AC7">
          <w:rPr>
            <w:noProof/>
            <w:webHidden/>
          </w:rPr>
          <w:tab/>
        </w:r>
        <w:r w:rsidR="00466AC7">
          <w:rPr>
            <w:noProof/>
            <w:webHidden/>
          </w:rPr>
          <w:fldChar w:fldCharType="begin"/>
        </w:r>
        <w:r w:rsidR="00466AC7">
          <w:rPr>
            <w:noProof/>
            <w:webHidden/>
          </w:rPr>
          <w:instrText xml:space="preserve"> PAGEREF _Toc500508486 \h </w:instrText>
        </w:r>
        <w:r w:rsidR="00466AC7">
          <w:rPr>
            <w:noProof/>
            <w:webHidden/>
          </w:rPr>
        </w:r>
        <w:r w:rsidR="00466AC7">
          <w:rPr>
            <w:noProof/>
            <w:webHidden/>
          </w:rPr>
          <w:fldChar w:fldCharType="separate"/>
        </w:r>
        <w:r w:rsidR="00121BC1">
          <w:rPr>
            <w:noProof/>
            <w:webHidden/>
          </w:rPr>
          <w:t>64</w:t>
        </w:r>
        <w:r w:rsidR="00466AC7">
          <w:rPr>
            <w:noProof/>
            <w:webHidden/>
          </w:rPr>
          <w:fldChar w:fldCharType="end"/>
        </w:r>
      </w:hyperlink>
    </w:p>
    <w:p w14:paraId="086CCDC4" w14:textId="77777777" w:rsidR="00466AC7" w:rsidRDefault="00F329C0">
      <w:pPr>
        <w:pStyle w:val="TableofFigures"/>
        <w:tabs>
          <w:tab w:val="right" w:leader="dot" w:pos="9402"/>
        </w:tabs>
        <w:rPr>
          <w:rFonts w:eastAsiaTheme="minorEastAsia" w:cstheme="minorBidi"/>
          <w:b w:val="0"/>
          <w:bCs w:val="0"/>
          <w:noProof/>
          <w:sz w:val="22"/>
          <w:szCs w:val="22"/>
          <w:lang w:eastAsia="en-AU"/>
        </w:rPr>
      </w:pPr>
      <w:hyperlink w:anchor="_Toc500508487" w:history="1">
        <w:r w:rsidR="00466AC7" w:rsidRPr="00DA20E1">
          <w:rPr>
            <w:rStyle w:val="Hyperlink"/>
            <w:noProof/>
          </w:rPr>
          <w:t>Table 10 Imported uncooked prawn specimens tested for WSSV at EMAI, 2007–2016</w:t>
        </w:r>
        <w:r w:rsidR="00466AC7">
          <w:rPr>
            <w:noProof/>
            <w:webHidden/>
          </w:rPr>
          <w:tab/>
        </w:r>
        <w:r w:rsidR="00466AC7">
          <w:rPr>
            <w:noProof/>
            <w:webHidden/>
          </w:rPr>
          <w:fldChar w:fldCharType="begin"/>
        </w:r>
        <w:r w:rsidR="00466AC7">
          <w:rPr>
            <w:noProof/>
            <w:webHidden/>
          </w:rPr>
          <w:instrText xml:space="preserve"> PAGEREF _Toc500508487 \h </w:instrText>
        </w:r>
        <w:r w:rsidR="00466AC7">
          <w:rPr>
            <w:noProof/>
            <w:webHidden/>
          </w:rPr>
        </w:r>
        <w:r w:rsidR="00466AC7">
          <w:rPr>
            <w:noProof/>
            <w:webHidden/>
          </w:rPr>
          <w:fldChar w:fldCharType="separate"/>
        </w:r>
        <w:r w:rsidR="00121BC1">
          <w:rPr>
            <w:noProof/>
            <w:webHidden/>
          </w:rPr>
          <w:t>71</w:t>
        </w:r>
        <w:r w:rsidR="00466AC7">
          <w:rPr>
            <w:noProof/>
            <w:webHidden/>
          </w:rPr>
          <w:fldChar w:fldCharType="end"/>
        </w:r>
      </w:hyperlink>
    </w:p>
    <w:p w14:paraId="511E91C0" w14:textId="77777777" w:rsidR="00466AC7" w:rsidRDefault="00F329C0">
      <w:pPr>
        <w:pStyle w:val="TableofFigures"/>
        <w:tabs>
          <w:tab w:val="right" w:leader="dot" w:pos="9402"/>
        </w:tabs>
        <w:rPr>
          <w:rFonts w:eastAsiaTheme="minorEastAsia" w:cstheme="minorBidi"/>
          <w:b w:val="0"/>
          <w:bCs w:val="0"/>
          <w:noProof/>
          <w:sz w:val="22"/>
          <w:szCs w:val="22"/>
          <w:lang w:eastAsia="en-AU"/>
        </w:rPr>
      </w:pPr>
      <w:hyperlink w:anchor="_Toc500508488" w:history="1">
        <w:r w:rsidR="00466AC7" w:rsidRPr="00DA20E1">
          <w:rPr>
            <w:rStyle w:val="Hyperlink"/>
            <w:noProof/>
          </w:rPr>
          <w:t>Table 11 Rates of positive WSSV and YHD findings, by laboratory, 2014–16</w:t>
        </w:r>
        <w:r w:rsidR="00466AC7">
          <w:rPr>
            <w:noProof/>
            <w:webHidden/>
          </w:rPr>
          <w:tab/>
        </w:r>
        <w:r w:rsidR="00466AC7">
          <w:rPr>
            <w:noProof/>
            <w:webHidden/>
          </w:rPr>
          <w:fldChar w:fldCharType="begin"/>
        </w:r>
        <w:r w:rsidR="00466AC7">
          <w:rPr>
            <w:noProof/>
            <w:webHidden/>
          </w:rPr>
          <w:instrText xml:space="preserve"> PAGEREF _Toc500508488 \h </w:instrText>
        </w:r>
        <w:r w:rsidR="00466AC7">
          <w:rPr>
            <w:noProof/>
            <w:webHidden/>
          </w:rPr>
        </w:r>
        <w:r w:rsidR="00466AC7">
          <w:rPr>
            <w:noProof/>
            <w:webHidden/>
          </w:rPr>
          <w:fldChar w:fldCharType="separate"/>
        </w:r>
        <w:r w:rsidR="00121BC1">
          <w:rPr>
            <w:noProof/>
            <w:webHidden/>
          </w:rPr>
          <w:t>71</w:t>
        </w:r>
        <w:r w:rsidR="00466AC7">
          <w:rPr>
            <w:noProof/>
            <w:webHidden/>
          </w:rPr>
          <w:fldChar w:fldCharType="end"/>
        </w:r>
      </w:hyperlink>
    </w:p>
    <w:p w14:paraId="1CCA5067" w14:textId="77777777" w:rsidR="00466AC7" w:rsidRDefault="00F329C0">
      <w:pPr>
        <w:pStyle w:val="TableofFigures"/>
        <w:tabs>
          <w:tab w:val="right" w:leader="dot" w:pos="9402"/>
        </w:tabs>
        <w:rPr>
          <w:rFonts w:eastAsiaTheme="minorEastAsia" w:cstheme="minorBidi"/>
          <w:b w:val="0"/>
          <w:bCs w:val="0"/>
          <w:noProof/>
          <w:sz w:val="22"/>
          <w:szCs w:val="22"/>
          <w:lang w:eastAsia="en-AU"/>
        </w:rPr>
      </w:pPr>
      <w:hyperlink w:anchor="_Toc500508489" w:history="1">
        <w:r w:rsidR="00466AC7" w:rsidRPr="00DA20E1">
          <w:rPr>
            <w:rStyle w:val="Hyperlink"/>
            <w:noProof/>
          </w:rPr>
          <w:t>Table 12 Post-suspension WSSV testing of uncooked imported prawns in the domestic supply chain, January–October 2017</w:t>
        </w:r>
        <w:r w:rsidR="00466AC7">
          <w:rPr>
            <w:noProof/>
            <w:webHidden/>
          </w:rPr>
          <w:tab/>
        </w:r>
        <w:r w:rsidR="00466AC7">
          <w:rPr>
            <w:noProof/>
            <w:webHidden/>
          </w:rPr>
          <w:fldChar w:fldCharType="begin"/>
        </w:r>
        <w:r w:rsidR="00466AC7">
          <w:rPr>
            <w:noProof/>
            <w:webHidden/>
          </w:rPr>
          <w:instrText xml:space="preserve"> PAGEREF _Toc500508489 \h </w:instrText>
        </w:r>
        <w:r w:rsidR="00466AC7">
          <w:rPr>
            <w:noProof/>
            <w:webHidden/>
          </w:rPr>
        </w:r>
        <w:r w:rsidR="00466AC7">
          <w:rPr>
            <w:noProof/>
            <w:webHidden/>
          </w:rPr>
          <w:fldChar w:fldCharType="separate"/>
        </w:r>
        <w:r w:rsidR="00121BC1">
          <w:rPr>
            <w:noProof/>
            <w:webHidden/>
          </w:rPr>
          <w:t>78</w:t>
        </w:r>
        <w:r w:rsidR="00466AC7">
          <w:rPr>
            <w:noProof/>
            <w:webHidden/>
          </w:rPr>
          <w:fldChar w:fldCharType="end"/>
        </w:r>
      </w:hyperlink>
    </w:p>
    <w:p w14:paraId="187B4BEC" w14:textId="77777777" w:rsidR="00466AC7" w:rsidRDefault="00F329C0">
      <w:pPr>
        <w:pStyle w:val="TableofFigures"/>
        <w:tabs>
          <w:tab w:val="right" w:leader="dot" w:pos="9402"/>
        </w:tabs>
        <w:rPr>
          <w:rFonts w:eastAsiaTheme="minorEastAsia" w:cstheme="minorBidi"/>
          <w:b w:val="0"/>
          <w:bCs w:val="0"/>
          <w:noProof/>
          <w:sz w:val="22"/>
          <w:szCs w:val="22"/>
          <w:lang w:eastAsia="en-AU"/>
        </w:rPr>
      </w:pPr>
      <w:hyperlink w:anchor="_Toc500508490" w:history="1">
        <w:r w:rsidR="00466AC7" w:rsidRPr="00DA20E1">
          <w:rPr>
            <w:rStyle w:val="Hyperlink"/>
            <w:noProof/>
          </w:rPr>
          <w:t>Table 13 WSSV test results up to October 2017 of post-border prawn batches imported in 2016</w:t>
        </w:r>
        <w:r w:rsidR="00466AC7">
          <w:rPr>
            <w:noProof/>
            <w:webHidden/>
          </w:rPr>
          <w:tab/>
        </w:r>
        <w:r w:rsidR="00466AC7">
          <w:rPr>
            <w:noProof/>
            <w:webHidden/>
          </w:rPr>
          <w:fldChar w:fldCharType="begin"/>
        </w:r>
        <w:r w:rsidR="00466AC7">
          <w:rPr>
            <w:noProof/>
            <w:webHidden/>
          </w:rPr>
          <w:instrText xml:space="preserve"> PAGEREF _Toc500508490 \h </w:instrText>
        </w:r>
        <w:r w:rsidR="00466AC7">
          <w:rPr>
            <w:noProof/>
            <w:webHidden/>
          </w:rPr>
        </w:r>
        <w:r w:rsidR="00466AC7">
          <w:rPr>
            <w:noProof/>
            <w:webHidden/>
          </w:rPr>
          <w:fldChar w:fldCharType="separate"/>
        </w:r>
        <w:r w:rsidR="00121BC1">
          <w:rPr>
            <w:noProof/>
            <w:webHidden/>
          </w:rPr>
          <w:t>78</w:t>
        </w:r>
        <w:r w:rsidR="00466AC7">
          <w:rPr>
            <w:noProof/>
            <w:webHidden/>
          </w:rPr>
          <w:fldChar w:fldCharType="end"/>
        </w:r>
      </w:hyperlink>
    </w:p>
    <w:p w14:paraId="4D1C61AB" w14:textId="77777777" w:rsidR="00466AC7" w:rsidRDefault="00F329C0">
      <w:pPr>
        <w:pStyle w:val="TableofFigures"/>
        <w:tabs>
          <w:tab w:val="right" w:leader="dot" w:pos="9402"/>
        </w:tabs>
        <w:rPr>
          <w:rFonts w:eastAsiaTheme="minorEastAsia" w:cstheme="minorBidi"/>
          <w:b w:val="0"/>
          <w:bCs w:val="0"/>
          <w:noProof/>
          <w:sz w:val="22"/>
          <w:szCs w:val="22"/>
          <w:lang w:eastAsia="en-AU"/>
        </w:rPr>
      </w:pPr>
      <w:hyperlink w:anchor="_Toc500508491" w:history="1">
        <w:r w:rsidR="00466AC7" w:rsidRPr="00DA20E1">
          <w:rPr>
            <w:rStyle w:val="Hyperlink"/>
            <w:noProof/>
          </w:rPr>
          <w:t>Table 14 Strength of WSSV-positive results, AAHL testing of post-border prawn batches</w:t>
        </w:r>
        <w:r w:rsidR="00466AC7">
          <w:rPr>
            <w:noProof/>
            <w:webHidden/>
          </w:rPr>
          <w:tab/>
        </w:r>
        <w:r w:rsidR="00466AC7">
          <w:rPr>
            <w:noProof/>
            <w:webHidden/>
          </w:rPr>
          <w:fldChar w:fldCharType="begin"/>
        </w:r>
        <w:r w:rsidR="00466AC7">
          <w:rPr>
            <w:noProof/>
            <w:webHidden/>
          </w:rPr>
          <w:instrText xml:space="preserve"> PAGEREF _Toc500508491 \h </w:instrText>
        </w:r>
        <w:r w:rsidR="00466AC7">
          <w:rPr>
            <w:noProof/>
            <w:webHidden/>
          </w:rPr>
        </w:r>
        <w:r w:rsidR="00466AC7">
          <w:rPr>
            <w:noProof/>
            <w:webHidden/>
          </w:rPr>
          <w:fldChar w:fldCharType="separate"/>
        </w:r>
        <w:r w:rsidR="00121BC1">
          <w:rPr>
            <w:noProof/>
            <w:webHidden/>
          </w:rPr>
          <w:t>79</w:t>
        </w:r>
        <w:r w:rsidR="00466AC7">
          <w:rPr>
            <w:noProof/>
            <w:webHidden/>
          </w:rPr>
          <w:fldChar w:fldCharType="end"/>
        </w:r>
      </w:hyperlink>
    </w:p>
    <w:p w14:paraId="54DBBB28" w14:textId="77777777" w:rsidR="00466AC7" w:rsidRDefault="00F329C0">
      <w:pPr>
        <w:pStyle w:val="TableofFigures"/>
        <w:tabs>
          <w:tab w:val="right" w:leader="dot" w:pos="9402"/>
        </w:tabs>
        <w:rPr>
          <w:rFonts w:eastAsiaTheme="minorEastAsia" w:cstheme="minorBidi"/>
          <w:b w:val="0"/>
          <w:bCs w:val="0"/>
          <w:noProof/>
          <w:sz w:val="22"/>
          <w:szCs w:val="22"/>
          <w:lang w:eastAsia="en-AU"/>
        </w:rPr>
      </w:pPr>
      <w:hyperlink w:anchor="_Toc500508492" w:history="1">
        <w:r w:rsidR="00466AC7" w:rsidRPr="00DA20E1">
          <w:rPr>
            <w:rStyle w:val="Hyperlink"/>
            <w:noProof/>
          </w:rPr>
          <w:t>Table 15 Changes to import conditions, 9 January to 7 July 2017</w:t>
        </w:r>
        <w:r w:rsidR="00466AC7">
          <w:rPr>
            <w:noProof/>
            <w:webHidden/>
          </w:rPr>
          <w:tab/>
        </w:r>
        <w:r w:rsidR="00466AC7">
          <w:rPr>
            <w:noProof/>
            <w:webHidden/>
          </w:rPr>
          <w:fldChar w:fldCharType="begin"/>
        </w:r>
        <w:r w:rsidR="00466AC7">
          <w:rPr>
            <w:noProof/>
            <w:webHidden/>
          </w:rPr>
          <w:instrText xml:space="preserve"> PAGEREF _Toc500508492 \h </w:instrText>
        </w:r>
        <w:r w:rsidR="00466AC7">
          <w:rPr>
            <w:noProof/>
            <w:webHidden/>
          </w:rPr>
        </w:r>
        <w:r w:rsidR="00466AC7">
          <w:rPr>
            <w:noProof/>
            <w:webHidden/>
          </w:rPr>
          <w:fldChar w:fldCharType="separate"/>
        </w:r>
        <w:r w:rsidR="00121BC1">
          <w:rPr>
            <w:noProof/>
            <w:webHidden/>
          </w:rPr>
          <w:t>80</w:t>
        </w:r>
        <w:r w:rsidR="00466AC7">
          <w:rPr>
            <w:noProof/>
            <w:webHidden/>
          </w:rPr>
          <w:fldChar w:fldCharType="end"/>
        </w:r>
      </w:hyperlink>
    </w:p>
    <w:p w14:paraId="0CA7C5CD" w14:textId="77777777" w:rsidR="00466AC7" w:rsidRDefault="00F329C0">
      <w:pPr>
        <w:pStyle w:val="TableofFigures"/>
        <w:tabs>
          <w:tab w:val="right" w:leader="dot" w:pos="9402"/>
        </w:tabs>
        <w:rPr>
          <w:rFonts w:eastAsiaTheme="minorEastAsia" w:cstheme="minorBidi"/>
          <w:b w:val="0"/>
          <w:bCs w:val="0"/>
          <w:noProof/>
          <w:sz w:val="22"/>
          <w:szCs w:val="22"/>
          <w:lang w:eastAsia="en-AU"/>
        </w:rPr>
      </w:pPr>
      <w:hyperlink w:anchor="_Toc500508493" w:history="1">
        <w:r w:rsidR="00466AC7" w:rsidRPr="00DA20E1">
          <w:rPr>
            <w:rStyle w:val="Hyperlink"/>
            <w:noProof/>
          </w:rPr>
          <w:t>Table 16 Prawn consignments re-exported without inspection, 9 January to 17 October 2017</w:t>
        </w:r>
        <w:r w:rsidR="00466AC7">
          <w:rPr>
            <w:noProof/>
            <w:webHidden/>
          </w:rPr>
          <w:tab/>
        </w:r>
        <w:r w:rsidR="00466AC7">
          <w:rPr>
            <w:noProof/>
            <w:webHidden/>
          </w:rPr>
          <w:fldChar w:fldCharType="begin"/>
        </w:r>
        <w:r w:rsidR="00466AC7">
          <w:rPr>
            <w:noProof/>
            <w:webHidden/>
          </w:rPr>
          <w:instrText xml:space="preserve"> PAGEREF _Toc500508493 \h </w:instrText>
        </w:r>
        <w:r w:rsidR="00466AC7">
          <w:rPr>
            <w:noProof/>
            <w:webHidden/>
          </w:rPr>
        </w:r>
        <w:r w:rsidR="00466AC7">
          <w:rPr>
            <w:noProof/>
            <w:webHidden/>
          </w:rPr>
          <w:fldChar w:fldCharType="separate"/>
        </w:r>
        <w:r w:rsidR="00121BC1">
          <w:rPr>
            <w:noProof/>
            <w:webHidden/>
          </w:rPr>
          <w:t>82</w:t>
        </w:r>
        <w:r w:rsidR="00466AC7">
          <w:rPr>
            <w:noProof/>
            <w:webHidden/>
          </w:rPr>
          <w:fldChar w:fldCharType="end"/>
        </w:r>
      </w:hyperlink>
    </w:p>
    <w:p w14:paraId="1B5BFBE7" w14:textId="77777777" w:rsidR="00466AC7" w:rsidRDefault="00F329C0">
      <w:pPr>
        <w:pStyle w:val="TableofFigures"/>
        <w:tabs>
          <w:tab w:val="right" w:leader="dot" w:pos="9402"/>
        </w:tabs>
        <w:rPr>
          <w:rFonts w:eastAsiaTheme="minorEastAsia" w:cstheme="minorBidi"/>
          <w:b w:val="0"/>
          <w:bCs w:val="0"/>
          <w:noProof/>
          <w:sz w:val="22"/>
          <w:szCs w:val="22"/>
          <w:lang w:eastAsia="en-AU"/>
        </w:rPr>
      </w:pPr>
      <w:hyperlink w:anchor="_Toc500508494" w:history="1">
        <w:r w:rsidR="00466AC7" w:rsidRPr="00DA20E1">
          <w:rPr>
            <w:rStyle w:val="Hyperlink"/>
            <w:noProof/>
          </w:rPr>
          <w:t>Table 17 Inspector workforce, Department of Agriculture and Water Resources, 2013–14 to 2017–18</w:t>
        </w:r>
        <w:r w:rsidR="00466AC7">
          <w:rPr>
            <w:noProof/>
            <w:webHidden/>
          </w:rPr>
          <w:tab/>
        </w:r>
        <w:r w:rsidR="00466AC7">
          <w:rPr>
            <w:noProof/>
            <w:webHidden/>
          </w:rPr>
          <w:fldChar w:fldCharType="begin"/>
        </w:r>
        <w:r w:rsidR="00466AC7">
          <w:rPr>
            <w:noProof/>
            <w:webHidden/>
          </w:rPr>
          <w:instrText xml:space="preserve"> PAGEREF _Toc500508494 \h </w:instrText>
        </w:r>
        <w:r w:rsidR="00466AC7">
          <w:rPr>
            <w:noProof/>
            <w:webHidden/>
          </w:rPr>
        </w:r>
        <w:r w:rsidR="00466AC7">
          <w:rPr>
            <w:noProof/>
            <w:webHidden/>
          </w:rPr>
          <w:fldChar w:fldCharType="separate"/>
        </w:r>
        <w:r w:rsidR="00121BC1">
          <w:rPr>
            <w:noProof/>
            <w:webHidden/>
          </w:rPr>
          <w:t>90</w:t>
        </w:r>
        <w:r w:rsidR="00466AC7">
          <w:rPr>
            <w:noProof/>
            <w:webHidden/>
          </w:rPr>
          <w:fldChar w:fldCharType="end"/>
        </w:r>
      </w:hyperlink>
    </w:p>
    <w:p w14:paraId="1AEB285D" w14:textId="77777777" w:rsidR="006E5D1A" w:rsidRDefault="006E5D1A">
      <w:pPr>
        <w:rPr>
          <w:b/>
          <w:bCs/>
          <w:sz w:val="20"/>
          <w:szCs w:val="20"/>
        </w:rPr>
        <w:sectPr w:rsidR="006E5D1A">
          <w:headerReference w:type="default" r:id="rId16"/>
          <w:footerReference w:type="default" r:id="rId17"/>
          <w:headerReference w:type="first" r:id="rId18"/>
          <w:footerReference w:type="first" r:id="rId19"/>
          <w:endnotePr>
            <w:numFmt w:val="decimal"/>
          </w:endnotePr>
          <w:pgSz w:w="11906" w:h="16838"/>
          <w:pgMar w:top="1134" w:right="1247" w:bottom="1134" w:left="1247" w:header="567" w:footer="425" w:gutter="0"/>
          <w:pgNumType w:fmt="lowerRoman" w:start="1"/>
          <w:cols w:space="708"/>
          <w:titlePg/>
          <w:docGrid w:linePitch="360"/>
        </w:sectPr>
      </w:pPr>
      <w:r>
        <w:rPr>
          <w:b/>
          <w:bCs/>
          <w:sz w:val="20"/>
          <w:szCs w:val="20"/>
        </w:rPr>
        <w:fldChar w:fldCharType="end"/>
      </w:r>
    </w:p>
    <w:p w14:paraId="4966E0EB" w14:textId="081BB3E7" w:rsidR="00CC703E" w:rsidRDefault="00E37FDB" w:rsidP="00A349F6">
      <w:pPr>
        <w:pStyle w:val="Heading2"/>
      </w:pPr>
      <w:bookmarkStart w:id="1" w:name="_Toc367702802"/>
      <w:bookmarkStart w:id="2" w:name="_Toc367706515"/>
      <w:bookmarkStart w:id="3" w:name="_Toc367707095"/>
      <w:bookmarkStart w:id="4" w:name="_Toc367707276"/>
      <w:bookmarkStart w:id="5" w:name="_Toc367708158"/>
      <w:bookmarkStart w:id="6" w:name="_Toc367947776"/>
      <w:bookmarkStart w:id="7" w:name="_Toc367976910"/>
      <w:bookmarkStart w:id="8" w:name="_Toc368493165"/>
      <w:bookmarkStart w:id="9" w:name="_Toc391391127"/>
      <w:bookmarkStart w:id="10" w:name="_Toc490040458"/>
      <w:bookmarkStart w:id="11" w:name="_Toc500508375"/>
      <w:r>
        <w:lastRenderedPageBreak/>
        <w:t>Background</w:t>
      </w:r>
      <w:bookmarkEnd w:id="1"/>
      <w:bookmarkEnd w:id="2"/>
      <w:bookmarkEnd w:id="3"/>
      <w:bookmarkEnd w:id="4"/>
      <w:bookmarkEnd w:id="5"/>
      <w:bookmarkEnd w:id="6"/>
      <w:bookmarkEnd w:id="7"/>
      <w:bookmarkEnd w:id="8"/>
      <w:bookmarkEnd w:id="9"/>
      <w:bookmarkEnd w:id="10"/>
      <w:bookmarkEnd w:id="11"/>
    </w:p>
    <w:p w14:paraId="0ACF70FD" w14:textId="1AE49B1B" w:rsidR="00CC703E" w:rsidRPr="00A349F6" w:rsidRDefault="00E37FDB" w:rsidP="00A349F6">
      <w:pPr>
        <w:pStyle w:val="Heading3"/>
        <w:rPr>
          <w:rStyle w:val="Heading3Char"/>
          <w:rFonts w:eastAsia="Calibri"/>
          <w:b/>
          <w:bCs/>
        </w:rPr>
      </w:pPr>
      <w:bookmarkStart w:id="12" w:name="_Toc367702803"/>
      <w:bookmarkStart w:id="13" w:name="_Toc367706516"/>
      <w:bookmarkStart w:id="14" w:name="_Toc367707096"/>
      <w:bookmarkStart w:id="15" w:name="_Toc367707277"/>
      <w:bookmarkStart w:id="16" w:name="_Toc367708159"/>
      <w:bookmarkStart w:id="17" w:name="_Toc367947777"/>
      <w:bookmarkStart w:id="18" w:name="_Toc367976911"/>
      <w:bookmarkStart w:id="19" w:name="_Toc368493166"/>
      <w:bookmarkStart w:id="20" w:name="_Toc391391128"/>
      <w:bookmarkStart w:id="21" w:name="_Toc490040459"/>
      <w:bookmarkStart w:id="22" w:name="_Toc500508376"/>
      <w:r w:rsidRPr="00A349F6">
        <w:rPr>
          <w:rStyle w:val="Heading3Char"/>
          <w:rFonts w:eastAsia="Calibri"/>
          <w:b/>
          <w:bCs/>
        </w:rPr>
        <w:t>Origins and scope</w:t>
      </w:r>
      <w:bookmarkEnd w:id="12"/>
      <w:bookmarkEnd w:id="13"/>
      <w:bookmarkEnd w:id="14"/>
      <w:bookmarkEnd w:id="15"/>
      <w:bookmarkEnd w:id="16"/>
      <w:bookmarkEnd w:id="17"/>
      <w:bookmarkEnd w:id="18"/>
      <w:bookmarkEnd w:id="19"/>
      <w:bookmarkEnd w:id="20"/>
      <w:bookmarkEnd w:id="21"/>
      <w:r w:rsidRPr="00A349F6">
        <w:rPr>
          <w:rStyle w:val="Heading3Char"/>
          <w:rFonts w:eastAsia="Calibri"/>
          <w:b/>
          <w:bCs/>
        </w:rPr>
        <w:t xml:space="preserve"> of review</w:t>
      </w:r>
      <w:bookmarkEnd w:id="22"/>
    </w:p>
    <w:p w14:paraId="532E56AD" w14:textId="3BBA9487" w:rsidR="00CC703E" w:rsidRDefault="00E37FDB" w:rsidP="008A2C48">
      <w:bookmarkStart w:id="23" w:name="_Toc367702806"/>
      <w:bookmarkStart w:id="24" w:name="_Toc367706519"/>
      <w:bookmarkStart w:id="25" w:name="_Toc367707099"/>
      <w:bookmarkStart w:id="26" w:name="_Toc367707280"/>
      <w:bookmarkStart w:id="27" w:name="_Toc367708162"/>
      <w:bookmarkStart w:id="28" w:name="_Toc367947780"/>
      <w:bookmarkStart w:id="29" w:name="_Toc367976914"/>
      <w:bookmarkStart w:id="30" w:name="_Toc368493169"/>
      <w:r>
        <w:t xml:space="preserve">On 17 February 2017 I advised the Hon. Barnaby Joyce, Minister for Agriculture and Water Resources, of my intention to review the circumstances leading to </w:t>
      </w:r>
      <w:r w:rsidRPr="00E60019">
        <w:t xml:space="preserve">the </w:t>
      </w:r>
      <w:r w:rsidRPr="00A16BC7">
        <w:t xml:space="preserve">6 January 2017 </w:t>
      </w:r>
      <w:r w:rsidRPr="00191C38">
        <w:t>suspension o</w:t>
      </w:r>
      <w:r>
        <w:t>f uncooked prawn imports into Australia and biosecurity considerations relevant to future trade in uncooked prawns. This suspension followed an outbreak of the previously exotic white spot disease (WSD) in prawn farms and adjacent wild crustaceans near the Logan River, in south-east Queensland, and initial investigations into the potential source of infection.</w:t>
      </w:r>
    </w:p>
    <w:p w14:paraId="33C0109A" w14:textId="69B17BD6" w:rsidR="00CC703E" w:rsidRDefault="00E37FDB" w:rsidP="008A2C48">
      <w:r w:rsidRPr="00A16BC7">
        <w:t>On 6 July 2017</w:t>
      </w:r>
      <w:r>
        <w:t xml:space="preserve"> the suspension of uncooked prawn imports lapsed. By this time, the Director of Biosecurity had put in place alternative import conditions for selected uncooked prawn products. </w:t>
      </w:r>
      <w:r w:rsidR="00ED0EE2">
        <w:t>Some uncooked prawn imports under these new conditions had resumed</w:t>
      </w:r>
      <w:r>
        <w:t xml:space="preserve"> when I ceased collecting data for this review.</w:t>
      </w:r>
    </w:p>
    <w:p w14:paraId="6A49B10B" w14:textId="32F696D6" w:rsidR="00CC703E" w:rsidRPr="00F8793B" w:rsidRDefault="00E37FDB" w:rsidP="008A2C48">
      <w:pPr>
        <w:rPr>
          <w:lang w:eastAsia="en-AU"/>
        </w:rPr>
      </w:pPr>
      <w:r>
        <w:rPr>
          <w:lang w:eastAsia="en-AU"/>
        </w:rPr>
        <w:t xml:space="preserve">The scope of this review covered operational policy and activities </w:t>
      </w:r>
      <w:r w:rsidR="00ED0EE2">
        <w:rPr>
          <w:lang w:eastAsia="en-AU"/>
        </w:rPr>
        <w:t xml:space="preserve">of the Department of Agriculture and Water Resources </w:t>
      </w:r>
      <w:r>
        <w:rPr>
          <w:lang w:eastAsia="en-AU"/>
        </w:rPr>
        <w:t>relevant to biosecurity risks associated with import of uncooked prawn products into Australia. It excluded detailed consideration of</w:t>
      </w:r>
      <w:r w:rsidRPr="00F8793B">
        <w:rPr>
          <w:lang w:eastAsia="en-AU"/>
        </w:rPr>
        <w:t xml:space="preserve"> economic and social impacts of the WSD outbreak</w:t>
      </w:r>
      <w:r w:rsidR="00ED0EE2" w:rsidRPr="00ED0EE2">
        <w:rPr>
          <w:lang w:eastAsia="en-AU"/>
        </w:rPr>
        <w:t xml:space="preserve"> </w:t>
      </w:r>
      <w:r w:rsidR="00ED0EE2">
        <w:rPr>
          <w:lang w:eastAsia="en-AU"/>
        </w:rPr>
        <w:t>and activities of other agencies in dealing with it</w:t>
      </w:r>
      <w:r w:rsidRPr="00F8793B">
        <w:rPr>
          <w:lang w:eastAsia="en-AU"/>
        </w:rPr>
        <w:t>. The review considered:</w:t>
      </w:r>
    </w:p>
    <w:p w14:paraId="2819EFAE" w14:textId="19C9117A" w:rsidR="00CC703E" w:rsidRPr="00F8793B" w:rsidRDefault="00E37FDB" w:rsidP="00E56A35">
      <w:pPr>
        <w:pStyle w:val="ListBullet"/>
        <w:numPr>
          <w:ilvl w:val="0"/>
          <w:numId w:val="6"/>
        </w:numPr>
        <w:spacing w:before="60"/>
        <w:ind w:left="425" w:hanging="425"/>
        <w:rPr>
          <w:lang w:eastAsia="en-AU"/>
        </w:rPr>
      </w:pPr>
      <w:r w:rsidRPr="00F8793B">
        <w:rPr>
          <w:lang w:eastAsia="en-AU"/>
        </w:rPr>
        <w:t xml:space="preserve">the </w:t>
      </w:r>
      <w:r w:rsidRPr="00F8793B">
        <w:t>effectiveness</w:t>
      </w:r>
      <w:r w:rsidRPr="00F8793B">
        <w:rPr>
          <w:lang w:eastAsia="en-AU"/>
        </w:rPr>
        <w:t xml:space="preserve"> of biosecurity controls and their implementation for managing the biosecurity risks of importation of uncooked prawns and prawn meat into Australia</w:t>
      </w:r>
    </w:p>
    <w:p w14:paraId="060CA348" w14:textId="505F686A" w:rsidR="00CC703E" w:rsidRPr="00F8793B" w:rsidRDefault="00E37FDB" w:rsidP="00AE4DAC">
      <w:pPr>
        <w:pStyle w:val="ListBullet"/>
        <w:numPr>
          <w:ilvl w:val="0"/>
          <w:numId w:val="6"/>
        </w:numPr>
        <w:ind w:left="426" w:hanging="426"/>
        <w:rPr>
          <w:lang w:eastAsia="en-AU"/>
        </w:rPr>
      </w:pPr>
      <w:r w:rsidRPr="00F8793B">
        <w:rPr>
          <w:lang w:eastAsia="en-AU"/>
        </w:rPr>
        <w:t xml:space="preserve">the </w:t>
      </w:r>
      <w:r w:rsidRPr="00F8793B">
        <w:t>effectiveness</w:t>
      </w:r>
      <w:r w:rsidRPr="00F8793B">
        <w:rPr>
          <w:lang w:eastAsia="en-AU"/>
        </w:rPr>
        <w:t xml:space="preserve"> of post-entry surveillance measures and ‘end-use’ import conditions for uncooked prawns and prawn meat into Australia</w:t>
      </w:r>
    </w:p>
    <w:p w14:paraId="2DE0B60F" w14:textId="77777777" w:rsidR="00CC703E" w:rsidRDefault="00E37FDB" w:rsidP="00AE4DAC">
      <w:pPr>
        <w:pStyle w:val="ListBullet"/>
        <w:numPr>
          <w:ilvl w:val="0"/>
          <w:numId w:val="6"/>
        </w:numPr>
        <w:ind w:left="426" w:hanging="426"/>
      </w:pPr>
      <w:r w:rsidRPr="00F8793B">
        <w:rPr>
          <w:lang w:eastAsia="en-AU"/>
        </w:rPr>
        <w:t xml:space="preserve">areas </w:t>
      </w:r>
      <w:r w:rsidRPr="00F8793B">
        <w:t>for</w:t>
      </w:r>
      <w:r w:rsidRPr="00F8793B">
        <w:rPr>
          <w:lang w:eastAsia="en-AU"/>
        </w:rPr>
        <w:t xml:space="preserve"> improvement in the biosecurity risk management framework and its implementation for future</w:t>
      </w:r>
      <w:r>
        <w:rPr>
          <w:lang w:eastAsia="en-AU"/>
        </w:rPr>
        <w:t xml:space="preserve"> trade in prawns and related seafood.</w:t>
      </w:r>
    </w:p>
    <w:p w14:paraId="20B51A12" w14:textId="77777777" w:rsidR="00CC703E" w:rsidRPr="00D978CB" w:rsidRDefault="00E37FDB" w:rsidP="00D978CB">
      <w:pPr>
        <w:pStyle w:val="Heading3"/>
        <w:rPr>
          <w:rStyle w:val="Heading3Char"/>
          <w:rFonts w:eastAsia="Calibri"/>
          <w:b/>
          <w:bCs/>
        </w:rPr>
      </w:pPr>
      <w:bookmarkStart w:id="31" w:name="_Toc490040460"/>
      <w:bookmarkStart w:id="32" w:name="_Toc500508377"/>
      <w:r w:rsidRPr="00D978CB">
        <w:rPr>
          <w:rStyle w:val="Heading3Char"/>
          <w:rFonts w:eastAsia="Calibri"/>
          <w:b/>
          <w:bCs/>
        </w:rPr>
        <w:t>Senate inquiry</w:t>
      </w:r>
      <w:bookmarkEnd w:id="31"/>
      <w:bookmarkEnd w:id="32"/>
    </w:p>
    <w:p w14:paraId="5EB5D5FD" w14:textId="7013643E" w:rsidR="00CC703E" w:rsidRDefault="00E37FDB" w:rsidP="006A12A5">
      <w:r>
        <w:t xml:space="preserve">On </w:t>
      </w:r>
      <w:bookmarkEnd w:id="23"/>
      <w:bookmarkEnd w:id="24"/>
      <w:bookmarkEnd w:id="25"/>
      <w:bookmarkEnd w:id="26"/>
      <w:bookmarkEnd w:id="27"/>
      <w:bookmarkEnd w:id="28"/>
      <w:bookmarkEnd w:id="29"/>
      <w:bookmarkEnd w:id="30"/>
      <w:r>
        <w:t>16 February 2017 the Senate referred two inquiries to the Rural and Regional Affairs and Transport References Committee for inquiry and report. The terms of reference for the two inquiries focused on the reported outbreak of white spot syndrome virus (which causes WSD) in prawn farms in the Logan River area and suspension of uncooked prawn imports.</w:t>
      </w:r>
    </w:p>
    <w:p w14:paraId="00DF469F" w14:textId="2A046133" w:rsidR="00CC703E" w:rsidRDefault="00E37FDB" w:rsidP="00A15157">
      <w:r>
        <w:t xml:space="preserve">On 21 March 2017 the Senate adopted the recommendations in the committee’s </w:t>
      </w:r>
      <w:r>
        <w:rPr>
          <w:i/>
        </w:rPr>
        <w:t>Report on the inquiries into the i</w:t>
      </w:r>
      <w:r>
        <w:rPr>
          <w:i/>
          <w:iCs/>
        </w:rPr>
        <w:t>mportation of seafood and seafood products</w:t>
      </w:r>
      <w:r w:rsidR="00486403">
        <w:rPr>
          <w:i/>
          <w:iCs/>
        </w:rPr>
        <w:t xml:space="preserve"> </w:t>
      </w:r>
      <w:r>
        <w:t>and referred the matter for inquiry and report by 22 June 2017</w:t>
      </w:r>
      <w:r w:rsidR="00467B8B" w:rsidRPr="00467B8B">
        <w:rPr>
          <w:vertAlign w:val="superscript"/>
        </w:rPr>
        <w:t>1</w:t>
      </w:r>
      <w:r w:rsidRPr="007427B4">
        <w:t>.</w:t>
      </w:r>
    </w:p>
    <w:p w14:paraId="10A4F0F8" w14:textId="5C189B16" w:rsidR="00CC703E" w:rsidRDefault="00E37FDB" w:rsidP="00900EC0">
      <w:r>
        <w:t>The Senate also finalised terms of reference</w:t>
      </w:r>
      <w:r w:rsidR="00467B8B">
        <w:rPr>
          <w:vertAlign w:val="superscript"/>
        </w:rPr>
        <w:t>2</w:t>
      </w:r>
      <w:r>
        <w:t xml:space="preserve"> for an inquiry into ‘The biosecurity risks associated with the importation of seafood and seafood products (including uncooked prawns and uncooked prawn meat) into Australia’. The committee required the department to produce the vast amount of data it held on this topic</w:t>
      </w:r>
      <w:r w:rsidR="00467B8B" w:rsidRPr="00467B8B">
        <w:rPr>
          <w:vertAlign w:val="superscript"/>
        </w:rPr>
        <w:t>3</w:t>
      </w:r>
      <w:r>
        <w:t>, called for public submissions</w:t>
      </w:r>
      <w:r w:rsidR="00467B8B" w:rsidRPr="00467B8B">
        <w:rPr>
          <w:vertAlign w:val="superscript"/>
        </w:rPr>
        <w:t>4</w:t>
      </w:r>
      <w:r>
        <w:t>, held public hearings</w:t>
      </w:r>
      <w:r w:rsidR="00467B8B">
        <w:rPr>
          <w:vertAlign w:val="superscript"/>
        </w:rPr>
        <w:t>5</w:t>
      </w:r>
      <w:r w:rsidR="001800DB">
        <w:t xml:space="preserve"> </w:t>
      </w:r>
      <w:r>
        <w:t>and published an interim report</w:t>
      </w:r>
      <w:r w:rsidR="00467B8B">
        <w:rPr>
          <w:vertAlign w:val="superscript"/>
        </w:rPr>
        <w:t>6</w:t>
      </w:r>
      <w:r>
        <w:t xml:space="preserve"> on 22 June 2017</w:t>
      </w:r>
      <w:r>
        <w:rPr>
          <w:lang w:eastAsia="ja-JP"/>
        </w:rPr>
        <w:t xml:space="preserve"> and a final report on 31 October 2017</w:t>
      </w:r>
      <w:r w:rsidR="00467B8B">
        <w:rPr>
          <w:vertAlign w:val="superscript"/>
          <w:lang w:eastAsia="ja-JP"/>
        </w:rPr>
        <w:t>7</w:t>
      </w:r>
      <w:r>
        <w:t>.</w:t>
      </w:r>
    </w:p>
    <w:p w14:paraId="4C3C9A80" w14:textId="249D7A3B" w:rsidR="00CC703E" w:rsidRPr="00D978CB" w:rsidRDefault="00E37FDB" w:rsidP="00D978CB">
      <w:pPr>
        <w:pStyle w:val="Heading3"/>
        <w:rPr>
          <w:rStyle w:val="Heading3Char"/>
          <w:rFonts w:eastAsia="Calibri"/>
          <w:b/>
          <w:bCs/>
        </w:rPr>
      </w:pPr>
      <w:bookmarkStart w:id="33" w:name="_Toc490040461"/>
      <w:bookmarkStart w:id="34" w:name="_Toc500508378"/>
      <w:r w:rsidRPr="00D978CB">
        <w:rPr>
          <w:rStyle w:val="Heading3Char"/>
          <w:rFonts w:eastAsia="Calibri"/>
          <w:b/>
          <w:bCs/>
        </w:rPr>
        <w:lastRenderedPageBreak/>
        <w:t>Conduct of review</w:t>
      </w:r>
      <w:bookmarkEnd w:id="33"/>
      <w:bookmarkEnd w:id="34"/>
    </w:p>
    <w:p w14:paraId="4C000E62" w14:textId="5177E578" w:rsidR="00CC703E" w:rsidRDefault="00E37FDB" w:rsidP="00900EC0">
      <w:pPr>
        <w:rPr>
          <w:lang w:eastAsia="en-AU"/>
        </w:rPr>
      </w:pPr>
      <w:r>
        <w:rPr>
          <w:lang w:eastAsia="en-AU"/>
        </w:rPr>
        <w:t xml:space="preserve">During </w:t>
      </w:r>
      <w:r w:rsidRPr="00900EC0">
        <w:t>this</w:t>
      </w:r>
      <w:r>
        <w:rPr>
          <w:lang w:eastAsia="en-AU"/>
        </w:rPr>
        <w:t xml:space="preserve"> review, my team and I </w:t>
      </w:r>
      <w:r w:rsidR="00E56A35">
        <w:rPr>
          <w:lang w:eastAsia="en-AU"/>
        </w:rPr>
        <w:t xml:space="preserve">(Appendix B) </w:t>
      </w:r>
      <w:r>
        <w:rPr>
          <w:lang w:eastAsia="en-AU"/>
        </w:rPr>
        <w:t>consulted extensively within and outside the Department of Agriculture and Water Resources. In particular, we:</w:t>
      </w:r>
    </w:p>
    <w:p w14:paraId="39349AB9" w14:textId="77777777" w:rsidR="00CC703E" w:rsidRDefault="00E37FDB" w:rsidP="00AE4DAC">
      <w:pPr>
        <w:pStyle w:val="ListBullet"/>
        <w:numPr>
          <w:ilvl w:val="0"/>
          <w:numId w:val="6"/>
        </w:numPr>
        <w:tabs>
          <w:tab w:val="left" w:pos="567"/>
        </w:tabs>
        <w:ind w:left="567" w:hanging="567"/>
        <w:rPr>
          <w:lang w:eastAsia="en-AU"/>
        </w:rPr>
      </w:pPr>
      <w:r>
        <w:rPr>
          <w:lang w:eastAsia="en-AU"/>
        </w:rPr>
        <w:t>conducted a series of meetings with the department’s senior executives to</w:t>
      </w:r>
    </w:p>
    <w:p w14:paraId="32206BDF" w14:textId="0C97C3E2" w:rsidR="00CC703E" w:rsidRDefault="00E37FDB" w:rsidP="00900EC0">
      <w:pPr>
        <w:pStyle w:val="ListBullet2"/>
        <w:rPr>
          <w:lang w:eastAsia="en-AU"/>
        </w:rPr>
      </w:pPr>
      <w:r>
        <w:rPr>
          <w:lang w:eastAsia="en-AU"/>
        </w:rPr>
        <w:t>establish background information about the circumstances leading to the suspension of prawns and prawn product imports</w:t>
      </w:r>
    </w:p>
    <w:p w14:paraId="20D71A7D" w14:textId="35426A3A" w:rsidR="00CC703E" w:rsidRDefault="00E37FDB" w:rsidP="00900EC0">
      <w:pPr>
        <w:pStyle w:val="ListBullet2"/>
        <w:rPr>
          <w:lang w:eastAsia="en-AU"/>
        </w:rPr>
      </w:pPr>
      <w:r>
        <w:rPr>
          <w:lang w:eastAsia="en-AU"/>
        </w:rPr>
        <w:t>understand the work that the department undertook to strengthen biosecurity controls after the suspension of prawn import trade in early January 2017</w:t>
      </w:r>
    </w:p>
    <w:p w14:paraId="771FE408" w14:textId="77777777" w:rsidR="00CC703E" w:rsidRDefault="00E37FDB" w:rsidP="00900EC0">
      <w:pPr>
        <w:pStyle w:val="ListBullet2"/>
        <w:rPr>
          <w:lang w:eastAsia="en-AU"/>
        </w:rPr>
      </w:pPr>
      <w:r>
        <w:rPr>
          <w:lang w:eastAsia="en-AU"/>
        </w:rPr>
        <w:t>provide periodic feedback on interim findings of the review</w:t>
      </w:r>
    </w:p>
    <w:p w14:paraId="1D7BF0B5" w14:textId="3DADA697" w:rsidR="00CC703E" w:rsidRDefault="00E37FDB" w:rsidP="00AE4DAC">
      <w:pPr>
        <w:pStyle w:val="ListBullet"/>
        <w:numPr>
          <w:ilvl w:val="0"/>
          <w:numId w:val="6"/>
        </w:numPr>
        <w:tabs>
          <w:tab w:val="left" w:pos="567"/>
        </w:tabs>
        <w:ind w:left="567" w:hanging="567"/>
        <w:rPr>
          <w:lang w:eastAsia="en-AU"/>
        </w:rPr>
      </w:pPr>
      <w:r>
        <w:rPr>
          <w:lang w:eastAsia="en-AU"/>
        </w:rPr>
        <w:t>consulted with</w:t>
      </w:r>
      <w:r w:rsidR="00A4372F">
        <w:rPr>
          <w:lang w:eastAsia="en-AU"/>
        </w:rPr>
        <w:t>, visited</w:t>
      </w:r>
      <w:r>
        <w:rPr>
          <w:lang w:eastAsia="en-AU"/>
        </w:rPr>
        <w:t xml:space="preserve"> and obtained submissions </w:t>
      </w:r>
      <w:r w:rsidR="00A4372F">
        <w:t xml:space="preserve">(see </w:t>
      </w:r>
      <w:r w:rsidR="00A4372F" w:rsidRPr="00E56A35">
        <w:t xml:space="preserve">Appendix </w:t>
      </w:r>
      <w:r w:rsidR="00A4372F">
        <w:t xml:space="preserve">C) </w:t>
      </w:r>
      <w:r>
        <w:rPr>
          <w:lang w:eastAsia="en-AU"/>
        </w:rPr>
        <w:t>from a range of industry and government stakeholders external to the department</w:t>
      </w:r>
    </w:p>
    <w:p w14:paraId="36CE1583" w14:textId="77777777" w:rsidR="00CC703E" w:rsidRDefault="00E37FDB" w:rsidP="00AE4DAC">
      <w:pPr>
        <w:pStyle w:val="ListBullet"/>
        <w:numPr>
          <w:ilvl w:val="0"/>
          <w:numId w:val="6"/>
        </w:numPr>
        <w:tabs>
          <w:tab w:val="left" w:pos="567"/>
        </w:tabs>
        <w:ind w:left="567" w:hanging="567"/>
        <w:rPr>
          <w:lang w:eastAsia="en-AU"/>
        </w:rPr>
      </w:pPr>
      <w:r>
        <w:rPr>
          <w:lang w:eastAsia="en-AU"/>
        </w:rPr>
        <w:t>reviewed relevant scientific literature and reports and visited a number of laboratories that conducted testing for white spot syndrome virus (WSSV)</w:t>
      </w:r>
    </w:p>
    <w:p w14:paraId="1B1C208D" w14:textId="0743D18E" w:rsidR="00CC703E" w:rsidRDefault="00E37FDB" w:rsidP="00AE4DAC">
      <w:pPr>
        <w:pStyle w:val="ListBullet"/>
        <w:numPr>
          <w:ilvl w:val="0"/>
          <w:numId w:val="6"/>
        </w:numPr>
        <w:tabs>
          <w:tab w:val="left" w:pos="567"/>
        </w:tabs>
        <w:ind w:left="567" w:hanging="567"/>
        <w:rPr>
          <w:lang w:eastAsia="en-AU"/>
        </w:rPr>
      </w:pPr>
      <w:r>
        <w:rPr>
          <w:lang w:eastAsia="en-AU"/>
        </w:rPr>
        <w:t>held discussions with relevant department staff and read numerous policy guidelines, internal reports, procedural documents, work instructions and training material on all aspects of the department’s management (over many years) of the biosecurity risks of importing prawns, including</w:t>
      </w:r>
      <w:r w:rsidR="00951A56">
        <w:rPr>
          <w:lang w:eastAsia="en-AU"/>
        </w:rPr>
        <w:t>:</w:t>
      </w:r>
    </w:p>
    <w:p w14:paraId="21199286" w14:textId="77777777" w:rsidR="00CC703E" w:rsidRDefault="00E37FDB" w:rsidP="00900EC0">
      <w:pPr>
        <w:pStyle w:val="ListBullet2"/>
        <w:rPr>
          <w:lang w:eastAsia="en-AU"/>
        </w:rPr>
      </w:pPr>
      <w:r>
        <w:rPr>
          <w:lang w:eastAsia="en-AU"/>
        </w:rPr>
        <w:t>development and implementation of prawn import conditions</w:t>
      </w:r>
    </w:p>
    <w:p w14:paraId="6D16D53A" w14:textId="77777777" w:rsidR="00CC703E" w:rsidRDefault="00E37FDB" w:rsidP="00900EC0">
      <w:pPr>
        <w:pStyle w:val="ListBullet2"/>
        <w:rPr>
          <w:lang w:eastAsia="en-AU"/>
        </w:rPr>
      </w:pPr>
      <w:r>
        <w:rPr>
          <w:lang w:eastAsia="en-AU"/>
        </w:rPr>
        <w:t>processes for document assessment, inspection, sampling, testing and release of imported prawn consignments</w:t>
      </w:r>
    </w:p>
    <w:p w14:paraId="1FFEF4E7" w14:textId="77777777" w:rsidR="00CC703E" w:rsidRDefault="00E37FDB" w:rsidP="00900EC0">
      <w:pPr>
        <w:pStyle w:val="ListBullet2"/>
        <w:rPr>
          <w:lang w:eastAsia="en-AU"/>
        </w:rPr>
      </w:pPr>
      <w:r>
        <w:rPr>
          <w:lang w:eastAsia="en-AU"/>
        </w:rPr>
        <w:t>the extent to which established procedures were followed</w:t>
      </w:r>
    </w:p>
    <w:p w14:paraId="13060BE0" w14:textId="77777777" w:rsidR="00CC703E" w:rsidRDefault="00E37FDB" w:rsidP="00900EC0">
      <w:pPr>
        <w:pStyle w:val="ListBullet2"/>
        <w:rPr>
          <w:lang w:eastAsia="en-AU"/>
        </w:rPr>
      </w:pPr>
      <w:r>
        <w:rPr>
          <w:lang w:eastAsia="en-AU"/>
        </w:rPr>
        <w:t>compliance investigations completed and those underway to ensure that importers were not circumventing import requirements</w:t>
      </w:r>
    </w:p>
    <w:p w14:paraId="6A024E90" w14:textId="4FCAD900" w:rsidR="00CC703E" w:rsidRDefault="00E37FDB" w:rsidP="00AE4DAC">
      <w:pPr>
        <w:pStyle w:val="ListBullet"/>
        <w:keepNext/>
        <w:numPr>
          <w:ilvl w:val="0"/>
          <w:numId w:val="6"/>
        </w:numPr>
        <w:tabs>
          <w:tab w:val="left" w:pos="567"/>
        </w:tabs>
        <w:ind w:left="567" w:hanging="567"/>
        <w:rPr>
          <w:lang w:eastAsia="en-AU"/>
        </w:rPr>
      </w:pPr>
      <w:r>
        <w:rPr>
          <w:lang w:eastAsia="en-AU"/>
        </w:rPr>
        <w:t>considered potential risks, including</w:t>
      </w:r>
      <w:r w:rsidR="00A74BC4">
        <w:rPr>
          <w:lang w:eastAsia="en-AU"/>
        </w:rPr>
        <w:t xml:space="preserve"> whether</w:t>
      </w:r>
      <w:r w:rsidR="00951A56">
        <w:rPr>
          <w:lang w:eastAsia="en-AU"/>
        </w:rPr>
        <w:t>:</w:t>
      </w:r>
    </w:p>
    <w:p w14:paraId="758CE15F" w14:textId="77777777" w:rsidR="00CC703E" w:rsidRDefault="00E37FDB" w:rsidP="00900EC0">
      <w:pPr>
        <w:pStyle w:val="ListBullet2"/>
        <w:rPr>
          <w:lang w:eastAsia="en-AU"/>
        </w:rPr>
      </w:pPr>
      <w:r>
        <w:rPr>
          <w:lang w:eastAsia="en-AU"/>
        </w:rPr>
        <w:t>the department’s risk-based methodologies (to detect, identify and control diseases) are inadequate or not applied correctly by staff or relevant stakeholders</w:t>
      </w:r>
    </w:p>
    <w:p w14:paraId="38AEEB67" w14:textId="77777777" w:rsidR="00CC703E" w:rsidRDefault="00E37FDB" w:rsidP="00900EC0">
      <w:pPr>
        <w:pStyle w:val="ListBullet2"/>
        <w:rPr>
          <w:lang w:eastAsia="en-AU"/>
        </w:rPr>
      </w:pPr>
      <w:r>
        <w:rPr>
          <w:lang w:eastAsia="en-AU"/>
        </w:rPr>
        <w:t>the department lacks timely internal mechanisms to identify and respond effectively to emerging risks</w:t>
      </w:r>
    </w:p>
    <w:p w14:paraId="2989ABDB" w14:textId="77777777" w:rsidR="00CC703E" w:rsidRDefault="00E37FDB" w:rsidP="00900EC0">
      <w:pPr>
        <w:pStyle w:val="ListBullet2"/>
        <w:rPr>
          <w:lang w:eastAsia="en-AU"/>
        </w:rPr>
      </w:pPr>
      <w:r>
        <w:rPr>
          <w:lang w:eastAsia="en-AU"/>
        </w:rPr>
        <w:t>the department has insufficient resources or capabilities available to address relevant current and new or emerging biosecurity risks from imported uncooked prawns</w:t>
      </w:r>
    </w:p>
    <w:p w14:paraId="2192B771" w14:textId="77777777" w:rsidR="00CC703E" w:rsidRDefault="00E37FDB" w:rsidP="00900EC0">
      <w:pPr>
        <w:pStyle w:val="ListBullet2"/>
        <w:rPr>
          <w:lang w:eastAsia="en-AU"/>
        </w:rPr>
      </w:pPr>
      <w:r>
        <w:rPr>
          <w:lang w:eastAsia="en-AU"/>
        </w:rPr>
        <w:t>stakeholders do not provide the department with appropriate or timely information to allow it to carry out its responsibilities</w:t>
      </w:r>
    </w:p>
    <w:p w14:paraId="14943D73" w14:textId="77777777" w:rsidR="00CC703E" w:rsidRDefault="00E37FDB" w:rsidP="00900EC0">
      <w:pPr>
        <w:pStyle w:val="ListBullet2"/>
        <w:rPr>
          <w:lang w:eastAsia="en-AU"/>
        </w:rPr>
      </w:pPr>
      <w:r>
        <w:rPr>
          <w:lang w:eastAsia="en-AU"/>
        </w:rPr>
        <w:t>the department does not provide stakeholders with appropriate or timely information to allow them to carry out their responsibilities.</w:t>
      </w:r>
    </w:p>
    <w:p w14:paraId="03D19C4C" w14:textId="0AD62768" w:rsidR="00CC703E" w:rsidRDefault="00E37FDB" w:rsidP="005D4A96">
      <w:pPr>
        <w:rPr>
          <w:lang w:eastAsia="en-AU"/>
        </w:rPr>
      </w:pPr>
      <w:r>
        <w:rPr>
          <w:lang w:eastAsia="en-AU"/>
        </w:rPr>
        <w:lastRenderedPageBreak/>
        <w:t xml:space="preserve">As required by the </w:t>
      </w:r>
      <w:r>
        <w:rPr>
          <w:i/>
          <w:lang w:eastAsia="en-AU"/>
        </w:rPr>
        <w:t>Biosecurity Act 2015</w:t>
      </w:r>
      <w:r w:rsidR="00761F1A">
        <w:rPr>
          <w:lang w:eastAsia="en-AU"/>
        </w:rPr>
        <w:t xml:space="preserve"> </w:t>
      </w:r>
      <w:r w:rsidRPr="00900EC0">
        <w:t>I</w:t>
      </w:r>
      <w:r>
        <w:rPr>
          <w:lang w:eastAsia="en-AU"/>
        </w:rPr>
        <w:t xml:space="preserve"> presented my draft report to the Director of Biosecurity</w:t>
      </w:r>
      <w:r w:rsidR="00BD5624">
        <w:rPr>
          <w:lang w:eastAsia="en-AU"/>
        </w:rPr>
        <w:t xml:space="preserve"> </w:t>
      </w:r>
      <w:r>
        <w:rPr>
          <w:lang w:eastAsia="en-AU"/>
        </w:rPr>
        <w:t xml:space="preserve">for </w:t>
      </w:r>
      <w:r w:rsidR="00ED0729">
        <w:rPr>
          <w:lang w:eastAsia="en-AU"/>
        </w:rPr>
        <w:t>departmental</w:t>
      </w:r>
      <w:r>
        <w:rPr>
          <w:lang w:eastAsia="en-AU"/>
        </w:rPr>
        <w:t xml:space="preserve"> consideration.</w:t>
      </w:r>
      <w:r w:rsidR="00242B77">
        <w:rPr>
          <w:lang w:eastAsia="en-AU"/>
        </w:rPr>
        <w:t xml:space="preserve"> </w:t>
      </w:r>
      <w:r w:rsidR="004B05B7">
        <w:rPr>
          <w:lang w:eastAsia="en-AU"/>
        </w:rPr>
        <w:t>The department’s response to my recommendations is included in this report.</w:t>
      </w:r>
      <w:r w:rsidR="00B8379B">
        <w:rPr>
          <w:lang w:eastAsia="en-AU"/>
        </w:rPr>
        <w:t xml:space="preserve"> Further, I provided a copy of my final report to the Director of Biosecurity and the Agriculture Minister.</w:t>
      </w:r>
    </w:p>
    <w:p w14:paraId="1B65BD9E" w14:textId="201F5438" w:rsidR="00CC703E" w:rsidRDefault="00E37FDB" w:rsidP="0057513F">
      <w:pPr>
        <w:pStyle w:val="Heading2"/>
        <w:rPr>
          <w:szCs w:val="36"/>
        </w:rPr>
      </w:pPr>
      <w:bookmarkStart w:id="35" w:name="_Toc490040462"/>
      <w:bookmarkStart w:id="36" w:name="_Toc500508379"/>
      <w:r>
        <w:lastRenderedPageBreak/>
        <w:t>White spot disease outbreak in south-east Queensland</w:t>
      </w:r>
      <w:bookmarkEnd w:id="35"/>
      <w:r>
        <w:t>, 2016</w:t>
      </w:r>
      <w:r w:rsidR="00360690" w:rsidRPr="00894BB4">
        <w:rPr>
          <w:rFonts w:ascii="Calibri" w:hAnsi="Calibri"/>
        </w:rPr>
        <w:t>–</w:t>
      </w:r>
      <w:r>
        <w:t>17</w:t>
      </w:r>
      <w:bookmarkEnd w:id="36"/>
    </w:p>
    <w:p w14:paraId="29281E1B" w14:textId="33E2C2E9" w:rsidR="00CC703E" w:rsidRPr="0057513F" w:rsidRDefault="00E37FDB" w:rsidP="0057513F">
      <w:pPr>
        <w:pStyle w:val="Heading3"/>
        <w:rPr>
          <w:rStyle w:val="Heading3Char"/>
          <w:rFonts w:eastAsia="Calibri"/>
          <w:b/>
          <w:bCs/>
        </w:rPr>
      </w:pPr>
      <w:bookmarkStart w:id="37" w:name="_Toc490040463"/>
      <w:bookmarkStart w:id="38" w:name="_Toc500508380"/>
      <w:r w:rsidRPr="0057513F">
        <w:rPr>
          <w:rStyle w:val="Heading3Char"/>
          <w:rFonts w:eastAsia="Calibri"/>
          <w:b/>
          <w:bCs/>
        </w:rPr>
        <w:t xml:space="preserve">Outbreak </w:t>
      </w:r>
      <w:bookmarkEnd w:id="37"/>
      <w:r w:rsidRPr="0057513F">
        <w:rPr>
          <w:rStyle w:val="Heading3Char"/>
          <w:rFonts w:eastAsia="Calibri"/>
          <w:b/>
          <w:bCs/>
        </w:rPr>
        <w:t>and disease control in prawn farms near the Logan River</w:t>
      </w:r>
      <w:bookmarkEnd w:id="38"/>
    </w:p>
    <w:p w14:paraId="0317C522" w14:textId="6D8FA6E3" w:rsidR="00CC703E" w:rsidRDefault="00AE4490">
      <w:pPr>
        <w:rPr>
          <w:rFonts w:cs="Calibri"/>
          <w:color w:val="000000"/>
          <w:szCs w:val="24"/>
          <w:lang w:eastAsia="en-AU"/>
        </w:rPr>
      </w:pPr>
      <w:r>
        <w:rPr>
          <w:rFonts w:cs="Calibri"/>
          <w:color w:val="000000"/>
          <w:szCs w:val="24"/>
          <w:lang w:eastAsia="en-AU"/>
        </w:rPr>
        <w:t>In 2016, t</w:t>
      </w:r>
      <w:r w:rsidR="00E37FDB">
        <w:rPr>
          <w:rFonts w:cs="Calibri"/>
          <w:color w:val="000000"/>
          <w:szCs w:val="24"/>
          <w:lang w:eastAsia="en-AU"/>
        </w:rPr>
        <w:t xml:space="preserve">he </w:t>
      </w:r>
      <w:r w:rsidR="0011195B">
        <w:rPr>
          <w:rFonts w:cs="Calibri"/>
          <w:color w:val="000000"/>
          <w:szCs w:val="24"/>
          <w:lang w:eastAsia="en-AU"/>
        </w:rPr>
        <w:t xml:space="preserve">prawn </w:t>
      </w:r>
      <w:r w:rsidR="00E37FDB">
        <w:rPr>
          <w:rFonts w:cs="Calibri"/>
          <w:color w:val="000000"/>
          <w:szCs w:val="24"/>
          <w:lang w:eastAsia="en-AU"/>
        </w:rPr>
        <w:t>aquaculture industry in the Logan River area, in south-east Queensland, consist</w:t>
      </w:r>
      <w:r w:rsidR="00EF2FB4">
        <w:rPr>
          <w:rFonts w:cs="Calibri"/>
          <w:color w:val="000000"/>
          <w:szCs w:val="24"/>
          <w:lang w:eastAsia="en-AU"/>
        </w:rPr>
        <w:t>ed</w:t>
      </w:r>
      <w:r w:rsidR="00E37FDB">
        <w:rPr>
          <w:rFonts w:cs="Calibri"/>
          <w:color w:val="000000"/>
          <w:szCs w:val="24"/>
          <w:lang w:eastAsia="en-AU"/>
        </w:rPr>
        <w:t xml:space="preserve"> of seven prawn farms and one prawn hatchery. The operators mainly produce</w:t>
      </w:r>
      <w:r w:rsidR="00EF2FB4">
        <w:rPr>
          <w:rFonts w:cs="Calibri"/>
          <w:color w:val="000000"/>
          <w:szCs w:val="24"/>
          <w:lang w:eastAsia="en-AU"/>
        </w:rPr>
        <w:t>d</w:t>
      </w:r>
      <w:r w:rsidR="00E37FDB">
        <w:rPr>
          <w:rFonts w:cs="Calibri"/>
          <w:color w:val="000000"/>
          <w:szCs w:val="24"/>
          <w:lang w:eastAsia="en-AU"/>
        </w:rPr>
        <w:t xml:space="preserve"> prawns for the domestic market at a value of more than $20 million per annum. The area is also an important commercial fishery for local crabs and bait prawns for sale in Queensland and interstate, and a significant recreational fishery for fish, prawns and crabs.</w:t>
      </w:r>
    </w:p>
    <w:p w14:paraId="41F25C3A" w14:textId="77777777" w:rsidR="00CC703E" w:rsidRDefault="00E37FDB">
      <w:pPr>
        <w:rPr>
          <w:szCs w:val="24"/>
        </w:rPr>
      </w:pPr>
      <w:r>
        <w:rPr>
          <w:rFonts w:cs="Calibri"/>
          <w:color w:val="000000"/>
          <w:szCs w:val="24"/>
          <w:lang w:eastAsia="en-AU"/>
        </w:rPr>
        <w:t xml:space="preserve">On 22 November 2016 the owner of a prawn farm near the Logan River (infected premises ‘1IP’) </w:t>
      </w:r>
      <w:r>
        <w:rPr>
          <w:szCs w:val="24"/>
        </w:rPr>
        <w:t>noticed unusual prawn mortality in one pond. On 24 November, as mortalities increased, he notified Biosecurity Queensland. Specimens were sent to the Queensland Department of Agriculture and Fisheries (QDAF) Biosecurity Sciences Laboratory (BSL).</w:t>
      </w:r>
    </w:p>
    <w:p w14:paraId="09C903BA" w14:textId="4A8969C6" w:rsidR="00CC703E" w:rsidRDefault="00E37FDB">
      <w:pPr>
        <w:rPr>
          <w:rFonts w:cs="Calibri"/>
          <w:color w:val="000000"/>
          <w:szCs w:val="24"/>
          <w:lang w:eastAsia="en-AU"/>
        </w:rPr>
      </w:pPr>
      <w:r>
        <w:rPr>
          <w:szCs w:val="24"/>
        </w:rPr>
        <w:t xml:space="preserve">Initially, WSD was not considered as a cause of disease or tested for. No other infectious diseases were detected, so </w:t>
      </w:r>
      <w:r w:rsidR="005F432D">
        <w:rPr>
          <w:szCs w:val="24"/>
        </w:rPr>
        <w:t>t</w:t>
      </w:r>
      <w:r>
        <w:rPr>
          <w:szCs w:val="24"/>
        </w:rPr>
        <w:t>he farmer flush</w:t>
      </w:r>
      <w:r w:rsidR="005F432D">
        <w:rPr>
          <w:szCs w:val="24"/>
        </w:rPr>
        <w:t>ed</w:t>
      </w:r>
      <w:r>
        <w:rPr>
          <w:szCs w:val="24"/>
        </w:rPr>
        <w:t xml:space="preserve"> out and exchange</w:t>
      </w:r>
      <w:r w:rsidR="005F432D">
        <w:rPr>
          <w:szCs w:val="24"/>
        </w:rPr>
        <w:t>d</w:t>
      </w:r>
      <w:r>
        <w:rPr>
          <w:szCs w:val="24"/>
        </w:rPr>
        <w:t xml:space="preserve"> the water from the affected pond</w:t>
      </w:r>
      <w:r w:rsidR="005F432D">
        <w:rPr>
          <w:szCs w:val="24"/>
        </w:rPr>
        <w:t xml:space="preserve"> from 25 to 29 November</w:t>
      </w:r>
      <w:r w:rsidR="00467B8B" w:rsidRPr="00467B8B">
        <w:rPr>
          <w:szCs w:val="24"/>
          <w:vertAlign w:val="superscript"/>
        </w:rPr>
        <w:t>8</w:t>
      </w:r>
      <w:r>
        <w:rPr>
          <w:szCs w:val="24"/>
        </w:rPr>
        <w:t xml:space="preserve">. By 28 November, 90 per cent of prawns in the first pond were dead, and dying prawns were observed in two nearby ponds. On 30 November </w:t>
      </w:r>
      <w:r w:rsidRPr="00AE07B2">
        <w:rPr>
          <w:szCs w:val="24"/>
        </w:rPr>
        <w:t>specimens from 1IP tested positive at BSL for WSSV and on 1 December the Australian Animal Health Laboratory (</w:t>
      </w:r>
      <w:r w:rsidRPr="00DB77A6">
        <w:rPr>
          <w:szCs w:val="24"/>
        </w:rPr>
        <w:t>AAHL</w:t>
      </w:r>
      <w:r w:rsidRPr="00AE07B2">
        <w:rPr>
          <w:szCs w:val="24"/>
        </w:rPr>
        <w:t>)</w:t>
      </w:r>
      <w:r>
        <w:rPr>
          <w:szCs w:val="24"/>
        </w:rPr>
        <w:t xml:space="preserve"> confirmed this finding.</w:t>
      </w:r>
    </w:p>
    <w:p w14:paraId="7FA0BB33" w14:textId="14F77C23" w:rsidR="00CC703E" w:rsidRPr="00900EC0" w:rsidRDefault="00E37FDB">
      <w:r>
        <w:rPr>
          <w:rFonts w:cs="Segoe UI"/>
          <w:color w:val="000000"/>
          <w:szCs w:val="24"/>
        </w:rPr>
        <w:t xml:space="preserve">WSD was exotic to Australia (except for a minor incursion in Darwin in 2000), so the </w:t>
      </w:r>
      <w:r>
        <w:t>World Organisation for Animal Health</w:t>
      </w:r>
      <w:r>
        <w:rPr>
          <w:rFonts w:cs="Segoe UI"/>
          <w:color w:val="000000"/>
          <w:szCs w:val="24"/>
        </w:rPr>
        <w:t xml:space="preserve"> (OIE) was immediately notified. </w:t>
      </w:r>
      <w:r>
        <w:rPr>
          <w:szCs w:val="24"/>
        </w:rPr>
        <w:t>Australia’s Aquatic Consultative Committee on Emergency Animal Diseases (AqCCEAD) convened that day and coordinated the subsequent response in accordance with a pre-existing disease control strategy under AQUAVETPLAN</w:t>
      </w:r>
      <w:r w:rsidR="00467B8B">
        <w:rPr>
          <w:szCs w:val="24"/>
          <w:vertAlign w:val="superscript"/>
        </w:rPr>
        <w:t>9</w:t>
      </w:r>
      <w:r>
        <w:rPr>
          <w:szCs w:val="24"/>
        </w:rPr>
        <w:t>. QDAF led the response, supported by the Australian Government Department of Agriculture and Water Resources</w:t>
      </w:r>
      <w:r w:rsidR="00467B8B">
        <w:rPr>
          <w:szCs w:val="24"/>
          <w:vertAlign w:val="superscript"/>
        </w:rPr>
        <w:t>10,</w:t>
      </w:r>
      <w:r w:rsidR="00552EC6">
        <w:rPr>
          <w:szCs w:val="24"/>
          <w:vertAlign w:val="superscript"/>
        </w:rPr>
        <w:t xml:space="preserve"> </w:t>
      </w:r>
      <w:r w:rsidR="00467B8B">
        <w:rPr>
          <w:szCs w:val="24"/>
          <w:vertAlign w:val="superscript"/>
        </w:rPr>
        <w:t>11</w:t>
      </w:r>
      <w:r>
        <w:rPr>
          <w:rStyle w:val="Hyperlink"/>
          <w:rFonts w:cs="Calibri"/>
          <w:color w:val="auto"/>
          <w:szCs w:val="24"/>
          <w:u w:val="none"/>
          <w:lang w:eastAsia="en-AU"/>
        </w:rPr>
        <w:t>.</w:t>
      </w:r>
      <w:r w:rsidR="003B620C">
        <w:rPr>
          <w:rStyle w:val="Hyperlink"/>
          <w:rFonts w:cs="Calibri"/>
          <w:color w:val="auto"/>
          <w:szCs w:val="24"/>
          <w:u w:val="none"/>
          <w:lang w:eastAsia="en-AU"/>
        </w:rPr>
        <w:t xml:space="preserve"> </w:t>
      </w:r>
      <w:r w:rsidR="003B620C" w:rsidRPr="00F32BD9">
        <w:t>AQUAVETPLAN</w:t>
      </w:r>
      <w:r w:rsidR="00F32BD9">
        <w:t>—</w:t>
      </w:r>
      <w:r w:rsidR="003B620C" w:rsidRPr="00F32BD9">
        <w:rPr>
          <w:szCs w:val="24"/>
        </w:rPr>
        <w:t>the Australian Aquatic Veterinary Emerge</w:t>
      </w:r>
      <w:r w:rsidR="00F32BD9">
        <w:rPr>
          <w:szCs w:val="24"/>
        </w:rPr>
        <w:t>ncy</w:t>
      </w:r>
      <w:r w:rsidR="003B620C" w:rsidRPr="00F32BD9">
        <w:rPr>
          <w:szCs w:val="24"/>
        </w:rPr>
        <w:t xml:space="preserve"> Plan</w:t>
      </w:r>
      <w:r w:rsidR="00F32BD9" w:rsidRPr="00F32BD9">
        <w:rPr>
          <w:szCs w:val="24"/>
        </w:rPr>
        <w:t>—</w:t>
      </w:r>
      <w:r w:rsidR="003B620C" w:rsidRPr="00F32BD9">
        <w:rPr>
          <w:szCs w:val="24"/>
        </w:rPr>
        <w:t>is a series of manuals that outline Australia’s approach to national disease preparedness and propose the technical response and control strategies to be activated in a national aquatic animal disease emergency. The AQUA</w:t>
      </w:r>
      <w:r w:rsidR="00EF0E59">
        <w:rPr>
          <w:szCs w:val="24"/>
        </w:rPr>
        <w:t>VET</w:t>
      </w:r>
      <w:r w:rsidR="003B620C" w:rsidRPr="00F32BD9">
        <w:rPr>
          <w:szCs w:val="24"/>
        </w:rPr>
        <w:t>PLAN</w:t>
      </w:r>
      <w:r w:rsidR="00000D76" w:rsidRPr="0087638C">
        <w:rPr>
          <w:szCs w:val="24"/>
          <w:vertAlign w:val="superscript"/>
        </w:rPr>
        <w:t>9</w:t>
      </w:r>
      <w:r w:rsidR="003B620C" w:rsidRPr="00F32BD9">
        <w:rPr>
          <w:szCs w:val="24"/>
        </w:rPr>
        <w:t xml:space="preserve"> for a white </w:t>
      </w:r>
      <w:r w:rsidR="00845839">
        <w:rPr>
          <w:szCs w:val="24"/>
        </w:rPr>
        <w:t>s</w:t>
      </w:r>
      <w:r w:rsidR="003B620C" w:rsidRPr="00F32BD9">
        <w:rPr>
          <w:szCs w:val="24"/>
        </w:rPr>
        <w:t xml:space="preserve">pot disease incursion was </w:t>
      </w:r>
      <w:r w:rsidR="00845839">
        <w:rPr>
          <w:szCs w:val="24"/>
        </w:rPr>
        <w:t xml:space="preserve">first </w:t>
      </w:r>
      <w:r w:rsidR="003B620C" w:rsidRPr="00F32BD9">
        <w:rPr>
          <w:szCs w:val="24"/>
        </w:rPr>
        <w:t>developed in 2005, updated in 2010 and the current version approved for use by government and industry in 2013.</w:t>
      </w:r>
    </w:p>
    <w:p w14:paraId="543AA26A" w14:textId="77777777" w:rsidR="00CC703E" w:rsidRPr="005D4A96" w:rsidRDefault="00E37FDB" w:rsidP="005D4A96">
      <w:pPr>
        <w:pStyle w:val="Heading4"/>
      </w:pPr>
      <w:r w:rsidRPr="005D4A96">
        <w:t>Spread of WSD to all prawn farms near the Logan River by February 2017</w:t>
      </w:r>
    </w:p>
    <w:p w14:paraId="7B1B6E5A" w14:textId="3B0241BC" w:rsidR="00C426AD" w:rsidRDefault="00E37FDB">
      <w:pPr>
        <w:rPr>
          <w:rFonts w:cs="Calibri"/>
          <w:color w:val="000000"/>
          <w:szCs w:val="24"/>
          <w:lang w:eastAsia="en-AU"/>
        </w:rPr>
      </w:pPr>
      <w:r>
        <w:rPr>
          <w:rFonts w:cs="Segoe UI"/>
          <w:color w:val="000000"/>
          <w:szCs w:val="24"/>
        </w:rPr>
        <w:t xml:space="preserve">1IP </w:t>
      </w:r>
      <w:r w:rsidR="00D4089D">
        <w:rPr>
          <w:rFonts w:cs="Segoe UI"/>
          <w:color w:val="000000"/>
          <w:szCs w:val="24"/>
        </w:rPr>
        <w:t>(</w:t>
      </w:r>
      <w:r>
        <w:rPr>
          <w:rFonts w:cs="Segoe UI"/>
          <w:color w:val="000000"/>
          <w:szCs w:val="24"/>
        </w:rPr>
        <w:t xml:space="preserve">the </w:t>
      </w:r>
      <w:r>
        <w:rPr>
          <w:rFonts w:cs="Calibri"/>
          <w:color w:val="000000"/>
          <w:szCs w:val="24"/>
          <w:lang w:eastAsia="en-AU"/>
        </w:rPr>
        <w:t>first</w:t>
      </w:r>
      <w:r>
        <w:rPr>
          <w:rFonts w:cs="Segoe UI"/>
          <w:color w:val="000000"/>
          <w:szCs w:val="24"/>
        </w:rPr>
        <w:t xml:space="preserve"> infected </w:t>
      </w:r>
      <w:r w:rsidR="003378B3">
        <w:rPr>
          <w:rFonts w:cs="Segoe UI"/>
          <w:color w:val="000000"/>
          <w:szCs w:val="24"/>
        </w:rPr>
        <w:t>premises</w:t>
      </w:r>
      <w:r w:rsidR="00D4089D">
        <w:rPr>
          <w:rFonts w:cs="Segoe UI"/>
          <w:color w:val="000000"/>
          <w:szCs w:val="24"/>
        </w:rPr>
        <w:t>)—located westerly and upstream on the Logan River, away from Moreton Bay—</w:t>
      </w:r>
      <w:r>
        <w:rPr>
          <w:rFonts w:cs="Segoe UI"/>
          <w:color w:val="000000"/>
          <w:szCs w:val="24"/>
        </w:rPr>
        <w:t xml:space="preserve">is </w:t>
      </w:r>
      <w:r w:rsidR="00D4089D">
        <w:rPr>
          <w:rFonts w:cs="Segoe UI"/>
          <w:color w:val="000000"/>
          <w:szCs w:val="24"/>
        </w:rPr>
        <w:t xml:space="preserve">situated </w:t>
      </w:r>
      <w:r w:rsidR="00D4089D" w:rsidRPr="00D4089D">
        <w:rPr>
          <w:rFonts w:cs="Segoe UI"/>
          <w:color w:val="000000"/>
          <w:szCs w:val="24"/>
        </w:rPr>
        <w:t>close to two other prawn farms (2IP and 3IP)</w:t>
      </w:r>
      <w:r w:rsidR="00FB139A">
        <w:rPr>
          <w:rFonts w:cs="Segoe UI"/>
          <w:color w:val="000000"/>
          <w:szCs w:val="24"/>
        </w:rPr>
        <w:t xml:space="preserve"> (</w:t>
      </w:r>
      <w:r w:rsidR="00FB139A">
        <w:rPr>
          <w:rFonts w:cs="Segoe UI"/>
          <w:color w:val="000000"/>
          <w:szCs w:val="24"/>
        </w:rPr>
        <w:fldChar w:fldCharType="begin"/>
      </w:r>
      <w:r w:rsidR="00FB139A">
        <w:rPr>
          <w:rFonts w:cs="Segoe UI"/>
          <w:color w:val="000000"/>
          <w:szCs w:val="24"/>
        </w:rPr>
        <w:instrText xml:space="preserve"> REF _Ref499319254 \h </w:instrText>
      </w:r>
      <w:r w:rsidR="00FB139A">
        <w:rPr>
          <w:rFonts w:cs="Segoe UI"/>
          <w:color w:val="000000"/>
          <w:szCs w:val="24"/>
        </w:rPr>
      </w:r>
      <w:r w:rsidR="00FB139A">
        <w:rPr>
          <w:rFonts w:cs="Segoe UI"/>
          <w:color w:val="000000"/>
          <w:szCs w:val="24"/>
        </w:rPr>
        <w:fldChar w:fldCharType="separate"/>
      </w:r>
      <w:r w:rsidR="00121BC1">
        <w:t xml:space="preserve">Map </w:t>
      </w:r>
      <w:r w:rsidR="00121BC1">
        <w:rPr>
          <w:noProof/>
        </w:rPr>
        <w:t>1</w:t>
      </w:r>
      <w:r w:rsidR="00FB139A">
        <w:rPr>
          <w:rFonts w:cs="Segoe UI"/>
          <w:color w:val="000000"/>
          <w:szCs w:val="24"/>
        </w:rPr>
        <w:fldChar w:fldCharType="end"/>
      </w:r>
      <w:r w:rsidR="00FB139A">
        <w:rPr>
          <w:rFonts w:cs="Segoe UI"/>
          <w:color w:val="000000"/>
          <w:szCs w:val="24"/>
        </w:rPr>
        <w:t>)</w:t>
      </w:r>
      <w:r>
        <w:rPr>
          <w:rFonts w:cs="Segoe UI"/>
          <w:color w:val="000000"/>
          <w:szCs w:val="24"/>
        </w:rPr>
        <w:t>. Despite attempts to eradicate the infection on 1IP by chlorination and destocking, 3IP</w:t>
      </w:r>
      <w:r>
        <w:rPr>
          <w:rFonts w:cs="Calibri"/>
          <w:color w:val="000000"/>
          <w:szCs w:val="24"/>
          <w:lang w:eastAsia="en-AU"/>
        </w:rPr>
        <w:t xml:space="preserve"> tested positive on 6 December 2016. The disease spread to </w:t>
      </w:r>
      <w:r>
        <w:rPr>
          <w:rFonts w:cs="Calibri"/>
          <w:color w:val="000000"/>
          <w:szCs w:val="24"/>
          <w:lang w:eastAsia="en-AU"/>
        </w:rPr>
        <w:lastRenderedPageBreak/>
        <w:t>4IP on 9 December, to 2IP on 14 December, to 5IP on 29 December, to 8IP on 27 January and fina</w:t>
      </w:r>
      <w:r w:rsidR="00C426AD">
        <w:rPr>
          <w:rFonts w:cs="Calibri"/>
          <w:color w:val="000000"/>
          <w:szCs w:val="24"/>
          <w:lang w:eastAsia="en-AU"/>
        </w:rPr>
        <w:t>lly to 7IP on 13 February 2017.</w:t>
      </w:r>
    </w:p>
    <w:p w14:paraId="6875A555" w14:textId="0C1E18B8" w:rsidR="00CC703E" w:rsidRDefault="00573B69">
      <w:pPr>
        <w:rPr>
          <w:rStyle w:val="Hyperlink"/>
          <w:rFonts w:cs="Calibri"/>
          <w:color w:val="000000"/>
          <w:szCs w:val="24"/>
          <w:u w:val="none"/>
          <w:lang w:eastAsia="en-AU"/>
        </w:rPr>
      </w:pPr>
      <w:r>
        <w:rPr>
          <w:rFonts w:cs="Calibri"/>
          <w:color w:val="000000"/>
          <w:szCs w:val="24"/>
          <w:lang w:eastAsia="en-AU"/>
        </w:rPr>
        <w:t xml:space="preserve">Amongst </w:t>
      </w:r>
      <w:r w:rsidR="00E37FDB">
        <w:rPr>
          <w:rFonts w:cs="Calibri"/>
          <w:color w:val="000000"/>
          <w:szCs w:val="24"/>
          <w:lang w:eastAsia="en-AU"/>
        </w:rPr>
        <w:t>the Logan farms, there were also four hatcheries</w:t>
      </w:r>
      <w:r w:rsidR="00C426AD">
        <w:rPr>
          <w:rFonts w:cs="Calibri"/>
          <w:color w:val="000000"/>
          <w:szCs w:val="24"/>
          <w:lang w:eastAsia="en-AU"/>
        </w:rPr>
        <w:t>. T</w:t>
      </w:r>
      <w:r w:rsidR="00E37FDB">
        <w:rPr>
          <w:rFonts w:cs="Calibri"/>
          <w:color w:val="000000"/>
          <w:szCs w:val="24"/>
          <w:lang w:eastAsia="en-AU"/>
        </w:rPr>
        <w:t>hree of the</w:t>
      </w:r>
      <w:r w:rsidR="00C426AD">
        <w:rPr>
          <w:rFonts w:cs="Calibri"/>
          <w:color w:val="000000"/>
          <w:szCs w:val="24"/>
          <w:lang w:eastAsia="en-AU"/>
        </w:rPr>
        <w:t>m</w:t>
      </w:r>
      <w:r w:rsidR="00E37FDB">
        <w:rPr>
          <w:rFonts w:cs="Calibri"/>
          <w:color w:val="000000"/>
          <w:szCs w:val="24"/>
          <w:lang w:eastAsia="en-AU"/>
        </w:rPr>
        <w:t xml:space="preserve"> were associated with 4IP, 5IP and 8IP </w:t>
      </w:r>
      <w:r w:rsidR="00C426AD">
        <w:rPr>
          <w:rFonts w:cs="Calibri"/>
          <w:color w:val="000000"/>
          <w:szCs w:val="24"/>
          <w:lang w:eastAsia="en-AU"/>
        </w:rPr>
        <w:t xml:space="preserve">farms that </w:t>
      </w:r>
      <w:r w:rsidR="00E37FDB">
        <w:rPr>
          <w:rFonts w:cs="Calibri"/>
          <w:color w:val="000000"/>
          <w:szCs w:val="24"/>
          <w:lang w:eastAsia="en-AU"/>
        </w:rPr>
        <w:t>also had grow-out ponds</w:t>
      </w:r>
      <w:r w:rsidR="00000D76">
        <w:rPr>
          <w:rFonts w:cs="Calibri"/>
          <w:color w:val="000000"/>
          <w:szCs w:val="24"/>
          <w:vertAlign w:val="superscript"/>
          <w:lang w:eastAsia="en-AU"/>
        </w:rPr>
        <w:t>10</w:t>
      </w:r>
      <w:r w:rsidR="00E37FDB">
        <w:rPr>
          <w:rFonts w:cs="Calibri"/>
          <w:color w:val="000000"/>
          <w:szCs w:val="24"/>
          <w:lang w:eastAsia="en-AU"/>
        </w:rPr>
        <w:t>. The fourth, a standalone hatchery (at-risk property ‘ARP6’—not declared an IP), had no grow-out ponds and no animals on it during the response.</w:t>
      </w:r>
    </w:p>
    <w:p w14:paraId="3D436A83" w14:textId="3CEBD4FD" w:rsidR="00F82FAF" w:rsidRDefault="00F82FAF" w:rsidP="00F82FAF">
      <w:pPr>
        <w:pStyle w:val="Caption"/>
      </w:pPr>
      <w:bookmarkStart w:id="39" w:name="_Ref499319254"/>
      <w:bookmarkStart w:id="40" w:name="_Toc500508471"/>
      <w:bookmarkStart w:id="41" w:name="_Toc490040464"/>
      <w:r>
        <w:t xml:space="preserve">Map </w:t>
      </w:r>
      <w:r w:rsidR="00F329C0">
        <w:fldChar w:fldCharType="begin"/>
      </w:r>
      <w:r w:rsidR="00F329C0">
        <w:instrText xml:space="preserve"> SEQ Map \* ARABIC </w:instrText>
      </w:r>
      <w:r w:rsidR="00F329C0">
        <w:fldChar w:fldCharType="separate"/>
      </w:r>
      <w:r w:rsidR="00121BC1">
        <w:rPr>
          <w:noProof/>
        </w:rPr>
        <w:t>1</w:t>
      </w:r>
      <w:r w:rsidR="00F329C0">
        <w:rPr>
          <w:noProof/>
        </w:rPr>
        <w:fldChar w:fldCharType="end"/>
      </w:r>
      <w:bookmarkEnd w:id="39"/>
      <w:r w:rsidRPr="00F82FAF">
        <w:t xml:space="preserve"> </w:t>
      </w:r>
      <w:r>
        <w:t xml:space="preserve">White spot </w:t>
      </w:r>
      <w:r>
        <w:rPr>
          <w:noProof/>
        </w:rPr>
        <w:t>disease—</w:t>
      </w:r>
      <w:r w:rsidRPr="00900EC0">
        <w:rPr>
          <w:noProof/>
        </w:rPr>
        <w:t>location of</w:t>
      </w:r>
      <w:r>
        <w:rPr>
          <w:noProof/>
        </w:rPr>
        <w:t xml:space="preserve"> infected prawn farms along the Logan River</w:t>
      </w:r>
      <w:bookmarkEnd w:id="40"/>
    </w:p>
    <w:p w14:paraId="3A9107E3" w14:textId="2FABFB0F" w:rsidR="00CC703E" w:rsidRDefault="00F329C0">
      <w:pPr>
        <w:tabs>
          <w:tab w:val="clear" w:pos="567"/>
        </w:tabs>
        <w:spacing w:before="0" w:after="0"/>
        <w:rPr>
          <w:rStyle w:val="Heading3Char"/>
          <w:rFonts w:eastAsia="Calibri"/>
        </w:rPr>
      </w:pPr>
      <w:r>
        <w:rPr>
          <w:rFonts w:ascii="Cambria" w:hAnsi="Cambria"/>
          <w:b/>
          <w:bCs/>
          <w:noProof/>
          <w:color w:val="000000"/>
          <w:szCs w:val="28"/>
          <w:lang w:eastAsia="en-AU"/>
        </w:rPr>
        <w:pict w14:anchorId="7809F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0.15pt;height:318.1pt">
            <v:imagedata r:id="rId20" o:title="Map_1"/>
          </v:shape>
        </w:pict>
      </w:r>
    </w:p>
    <w:p w14:paraId="68E85BE4" w14:textId="7FE0DB34" w:rsidR="00CC703E" w:rsidRDefault="00E37FDB">
      <w:pPr>
        <w:pStyle w:val="FigureTableNoteSource"/>
        <w:rPr>
          <w:lang w:eastAsia="ja-JP"/>
        </w:rPr>
      </w:pPr>
      <w:r>
        <w:rPr>
          <w:lang w:eastAsia="ja-JP"/>
        </w:rPr>
        <w:t>Source: Queensland</w:t>
      </w:r>
      <w:r w:rsidR="00573539">
        <w:rPr>
          <w:lang w:eastAsia="ja-JP"/>
        </w:rPr>
        <w:t xml:space="preserve"> Department of Agriculture and Fisheries</w:t>
      </w:r>
    </w:p>
    <w:p w14:paraId="351A1E28" w14:textId="5022F555" w:rsidR="00CC703E" w:rsidRPr="0057513F" w:rsidRDefault="00E37FDB" w:rsidP="0057513F">
      <w:pPr>
        <w:pStyle w:val="Heading3"/>
        <w:rPr>
          <w:rStyle w:val="Heading3Char"/>
          <w:rFonts w:eastAsia="Calibri"/>
          <w:b/>
          <w:bCs/>
        </w:rPr>
      </w:pPr>
      <w:bookmarkStart w:id="42" w:name="_Toc500508381"/>
      <w:r w:rsidRPr="0057513F">
        <w:rPr>
          <w:rStyle w:val="Heading3Char"/>
          <w:rFonts w:eastAsia="Calibri"/>
          <w:b/>
          <w:bCs/>
        </w:rPr>
        <w:t>Spread to wild crustaceans and further control measures</w:t>
      </w:r>
      <w:bookmarkEnd w:id="41"/>
      <w:bookmarkEnd w:id="42"/>
    </w:p>
    <w:p w14:paraId="4603C6B0" w14:textId="7D3FBFB5" w:rsidR="00CC703E" w:rsidRDefault="00E37FDB">
      <w:pPr>
        <w:tabs>
          <w:tab w:val="clear" w:pos="567"/>
        </w:tabs>
        <w:spacing w:after="0"/>
      </w:pPr>
      <w:r>
        <w:t>QDAF began sampling prawns and crabs caught near infected prawn farms as soon as the outbreak was confirmed. From December 2016</w:t>
      </w:r>
      <w:r w:rsidR="003265FC">
        <w:t xml:space="preserve"> onward</w:t>
      </w:r>
      <w:r>
        <w:t xml:space="preserve"> it found WSSV-infected prawns and crabs in the Logan River, then in nearby southern Moreton Bay, and eventually in the north-west of Moreton Bay</w:t>
      </w:r>
      <w:r w:rsidR="00FB139A">
        <w:t xml:space="preserve"> (</w:t>
      </w:r>
      <w:r w:rsidR="00FB139A">
        <w:fldChar w:fldCharType="begin"/>
      </w:r>
      <w:r w:rsidR="00FB139A">
        <w:instrText xml:space="preserve"> REF _Ref499319296 \h </w:instrText>
      </w:r>
      <w:r w:rsidR="00FB139A">
        <w:fldChar w:fldCharType="separate"/>
      </w:r>
      <w:r w:rsidR="00121BC1">
        <w:t xml:space="preserve">Map </w:t>
      </w:r>
      <w:r w:rsidR="00121BC1">
        <w:rPr>
          <w:noProof/>
        </w:rPr>
        <w:t>2</w:t>
      </w:r>
      <w:r w:rsidR="00FB139A">
        <w:fldChar w:fldCharType="end"/>
      </w:r>
      <w:r w:rsidR="00FB139A">
        <w:t xml:space="preserve"> and </w:t>
      </w:r>
      <w:r w:rsidR="00FB139A">
        <w:fldChar w:fldCharType="begin"/>
      </w:r>
      <w:r w:rsidR="00FB139A">
        <w:instrText xml:space="preserve"> REF _Ref499319358 \h </w:instrText>
      </w:r>
      <w:r w:rsidR="00FB139A">
        <w:fldChar w:fldCharType="separate"/>
      </w:r>
      <w:r w:rsidR="00121BC1">
        <w:t xml:space="preserve">Map </w:t>
      </w:r>
      <w:r w:rsidR="00121BC1">
        <w:rPr>
          <w:noProof/>
        </w:rPr>
        <w:t>3</w:t>
      </w:r>
      <w:r w:rsidR="00FB139A">
        <w:fldChar w:fldCharType="end"/>
      </w:r>
      <w:r w:rsidR="00FB139A">
        <w:t>)</w:t>
      </w:r>
      <w:r>
        <w:t>. This led to progressively wider environmental sampling up the east coast of Queensland and down to the NSW border.</w:t>
      </w:r>
    </w:p>
    <w:p w14:paraId="671C3ACC" w14:textId="4108A0F1" w:rsidR="0078409F" w:rsidRDefault="0078409F" w:rsidP="0078409F">
      <w:pPr>
        <w:pStyle w:val="Caption"/>
      </w:pPr>
      <w:bookmarkStart w:id="43" w:name="_Ref499319296"/>
      <w:bookmarkStart w:id="44" w:name="_Toc500508472"/>
      <w:r>
        <w:lastRenderedPageBreak/>
        <w:t xml:space="preserve">Map </w:t>
      </w:r>
      <w:r w:rsidR="00F329C0">
        <w:fldChar w:fldCharType="begin"/>
      </w:r>
      <w:r w:rsidR="00F329C0">
        <w:instrText xml:space="preserve"> SEQ Map \* ARABIC </w:instrText>
      </w:r>
      <w:r w:rsidR="00F329C0">
        <w:fldChar w:fldCharType="separate"/>
      </w:r>
      <w:r w:rsidR="00121BC1">
        <w:rPr>
          <w:noProof/>
        </w:rPr>
        <w:t>2</w:t>
      </w:r>
      <w:r w:rsidR="00F329C0">
        <w:rPr>
          <w:noProof/>
        </w:rPr>
        <w:fldChar w:fldCharType="end"/>
      </w:r>
      <w:bookmarkEnd w:id="43"/>
      <w:r w:rsidRPr="0078409F">
        <w:t xml:space="preserve"> </w:t>
      </w:r>
      <w:r>
        <w:t>White spot disease response surveillance areas, positive detections, Queensland, 1 December 2016 to 11 February 2017</w:t>
      </w:r>
      <w:bookmarkEnd w:id="44"/>
    </w:p>
    <w:p w14:paraId="6B5DF1F6" w14:textId="22703057" w:rsidR="00CC703E" w:rsidRDefault="00F329C0">
      <w:pPr>
        <w:pStyle w:val="FigureTableNoteSource"/>
        <w:rPr>
          <w:noProof/>
          <w:lang w:eastAsia="en-AU"/>
        </w:rPr>
      </w:pPr>
      <w:r>
        <w:rPr>
          <w:noProof/>
          <w:lang w:eastAsia="en-AU"/>
        </w:rPr>
        <w:pict w14:anchorId="60FB5FBE">
          <v:shape id="_x0000_i1027" type="#_x0000_t75" style="width:455.65pt;height:625.45pt">
            <v:imagedata r:id="rId21" o:title="Map_2"/>
          </v:shape>
        </w:pict>
      </w:r>
    </w:p>
    <w:p w14:paraId="0E185538" w14:textId="704643C3" w:rsidR="00CC703E" w:rsidRDefault="00E37FDB">
      <w:pPr>
        <w:pStyle w:val="FigureTableNoteSource"/>
        <w:rPr>
          <w:lang w:eastAsia="ja-JP"/>
        </w:rPr>
      </w:pPr>
      <w:r>
        <w:rPr>
          <w:lang w:eastAsia="ja-JP"/>
        </w:rPr>
        <w:t xml:space="preserve">Source: </w:t>
      </w:r>
      <w:r w:rsidR="000851C9">
        <w:rPr>
          <w:lang w:eastAsia="ja-JP"/>
        </w:rPr>
        <w:t xml:space="preserve">Queensland </w:t>
      </w:r>
      <w:r>
        <w:rPr>
          <w:lang w:eastAsia="ja-JP"/>
        </w:rPr>
        <w:t xml:space="preserve">Department of Agriculture and </w:t>
      </w:r>
      <w:r w:rsidR="000851C9">
        <w:rPr>
          <w:lang w:eastAsia="ja-JP"/>
        </w:rPr>
        <w:t>Fisheries</w:t>
      </w:r>
    </w:p>
    <w:p w14:paraId="68C119E6" w14:textId="530B8184" w:rsidR="0078409F" w:rsidRDefault="0078409F" w:rsidP="0078409F">
      <w:pPr>
        <w:pStyle w:val="Caption"/>
        <w:rPr>
          <w:rFonts w:ascii="Cambria" w:eastAsia="Times New Roman" w:hAnsi="Cambria" w:cs="Mangal"/>
          <w:szCs w:val="24"/>
          <w:lang w:eastAsia="x-none" w:bidi="hi-IN"/>
        </w:rPr>
      </w:pPr>
      <w:bookmarkStart w:id="45" w:name="_Ref499319358"/>
      <w:bookmarkStart w:id="46" w:name="_Toc500508473"/>
      <w:r>
        <w:lastRenderedPageBreak/>
        <w:t xml:space="preserve">Map </w:t>
      </w:r>
      <w:r w:rsidR="00F329C0">
        <w:fldChar w:fldCharType="begin"/>
      </w:r>
      <w:r w:rsidR="00F329C0">
        <w:instrText xml:space="preserve"> SEQ Map \* ARABIC </w:instrText>
      </w:r>
      <w:r w:rsidR="00F329C0">
        <w:fldChar w:fldCharType="separate"/>
      </w:r>
      <w:r w:rsidR="00121BC1">
        <w:rPr>
          <w:noProof/>
        </w:rPr>
        <w:t>3</w:t>
      </w:r>
      <w:r w:rsidR="00F329C0">
        <w:rPr>
          <w:noProof/>
        </w:rPr>
        <w:fldChar w:fldCharType="end"/>
      </w:r>
      <w:bookmarkEnd w:id="45"/>
      <w:r w:rsidRPr="0078409F">
        <w:t xml:space="preserve"> </w:t>
      </w:r>
      <w:r>
        <w:t>White spot disease response, positive detections in northern Moreton Bay, Queensland, 28 February to 12 April 2017</w:t>
      </w:r>
      <w:bookmarkEnd w:id="46"/>
    </w:p>
    <w:p w14:paraId="063DE06A" w14:textId="1C12B42F" w:rsidR="00CC703E" w:rsidRDefault="00F329C0">
      <w:pPr>
        <w:pStyle w:val="FigureTableNoteSource"/>
      </w:pPr>
      <w:r>
        <w:rPr>
          <w:noProof/>
          <w:lang w:eastAsia="en-AU"/>
        </w:rPr>
        <w:pict w14:anchorId="432D5D95">
          <v:shape id="_x0000_i1028" type="#_x0000_t75" style="width:450.25pt;height:628.65pt">
            <v:imagedata r:id="rId22" o:title="Map_3"/>
          </v:shape>
        </w:pict>
      </w:r>
    </w:p>
    <w:p w14:paraId="0ED6EA73" w14:textId="52A28301" w:rsidR="00CC703E" w:rsidRDefault="00E37FDB">
      <w:pPr>
        <w:pStyle w:val="FigureTableNoteSource"/>
        <w:rPr>
          <w:lang w:eastAsia="ja-JP"/>
        </w:rPr>
      </w:pPr>
      <w:r>
        <w:rPr>
          <w:lang w:eastAsia="ja-JP"/>
        </w:rPr>
        <w:t xml:space="preserve">Source: </w:t>
      </w:r>
      <w:r w:rsidR="000851C9">
        <w:rPr>
          <w:lang w:eastAsia="ja-JP"/>
        </w:rPr>
        <w:t>Queensland Department of Agriculture and Fisheries</w:t>
      </w:r>
    </w:p>
    <w:p w14:paraId="65ECEA22" w14:textId="77777777" w:rsidR="00CC703E" w:rsidRDefault="00E37FDB">
      <w:pPr>
        <w:pStyle w:val="Heading4"/>
        <w:rPr>
          <w:lang w:val="en-AU"/>
        </w:rPr>
      </w:pPr>
      <w:r>
        <w:rPr>
          <w:lang w:val="en-AU"/>
        </w:rPr>
        <w:t>Movement restrictions on uncooked crustaceans</w:t>
      </w:r>
    </w:p>
    <w:p w14:paraId="4CDF0892" w14:textId="6ACBD7F9" w:rsidR="00CC703E" w:rsidRDefault="00E37FDB">
      <w:pPr>
        <w:tabs>
          <w:tab w:val="clear" w:pos="567"/>
        </w:tabs>
        <w:spacing w:after="0"/>
        <w:rPr>
          <w:rFonts w:cs="Calibri"/>
          <w:color w:val="000000"/>
          <w:szCs w:val="24"/>
          <w:lang w:eastAsia="en-AU"/>
        </w:rPr>
      </w:pPr>
      <w:r>
        <w:rPr>
          <w:rFonts w:cs="Calibri"/>
          <w:color w:val="000000"/>
          <w:szCs w:val="24"/>
          <w:lang w:eastAsia="en-AU"/>
        </w:rPr>
        <w:lastRenderedPageBreak/>
        <w:t xml:space="preserve">Detection of WSSV in some wild </w:t>
      </w:r>
      <w:r w:rsidR="00E74992">
        <w:rPr>
          <w:rFonts w:cs="Calibri"/>
          <w:color w:val="000000"/>
          <w:szCs w:val="24"/>
          <w:lang w:eastAsia="en-AU"/>
        </w:rPr>
        <w:t>prawns and crabs</w:t>
      </w:r>
      <w:r>
        <w:rPr>
          <w:rFonts w:cs="Calibri"/>
          <w:color w:val="000000"/>
          <w:szCs w:val="24"/>
          <w:lang w:eastAsia="en-AU"/>
        </w:rPr>
        <w:t xml:space="preserve"> led to measures to protect other crustacean populations from possible infection. Queensland and other states</w:t>
      </w:r>
      <w:r w:rsidR="0055153D">
        <w:rPr>
          <w:rFonts w:cs="Calibri"/>
          <w:color w:val="000000"/>
          <w:szCs w:val="24"/>
          <w:vertAlign w:val="superscript"/>
          <w:lang w:eastAsia="en-AU"/>
        </w:rPr>
        <w:t>12</w:t>
      </w:r>
      <w:r w:rsidR="0084322B">
        <w:rPr>
          <w:rFonts w:cs="Calibri"/>
          <w:color w:val="000000"/>
          <w:szCs w:val="24"/>
          <w:lang w:eastAsia="en-AU"/>
        </w:rPr>
        <w:t xml:space="preserve"> </w:t>
      </w:r>
      <w:r>
        <w:rPr>
          <w:rFonts w:cs="Calibri"/>
          <w:color w:val="000000"/>
          <w:szCs w:val="24"/>
          <w:lang w:eastAsia="en-AU"/>
        </w:rPr>
        <w:t xml:space="preserve">imposed restrictions on the interstate movement of prawns and other crustaceans. From 1 December 2016 to 16 June 2017 QDAF implemented movement controls over a progressively larger area, commencing with controls over 1IP and followed by a </w:t>
      </w:r>
      <w:hyperlink r:id="rId23" w:history="1">
        <w:r>
          <w:rPr>
            <w:rFonts w:cs="Calibri"/>
            <w:szCs w:val="24"/>
            <w:lang w:eastAsia="en-AU"/>
          </w:rPr>
          <w:t>movement control order</w:t>
        </w:r>
      </w:hyperlink>
      <w:r w:rsidR="0055153D">
        <w:rPr>
          <w:rFonts w:cs="Calibri"/>
          <w:szCs w:val="24"/>
          <w:vertAlign w:val="superscript"/>
          <w:lang w:eastAsia="en-AU"/>
        </w:rPr>
        <w:t>13</w:t>
      </w:r>
      <w:r>
        <w:rPr>
          <w:rFonts w:cs="Calibri"/>
          <w:szCs w:val="24"/>
          <w:lang w:eastAsia="en-AU"/>
        </w:rPr>
        <w:t xml:space="preserve"> that prescribed an area </w:t>
      </w:r>
      <w:r>
        <w:rPr>
          <w:rFonts w:cs="Calibri"/>
          <w:color w:val="000000"/>
          <w:szCs w:val="24"/>
          <w:lang w:eastAsia="en-AU"/>
        </w:rPr>
        <w:t>covering Morton Bay, extending from Caloundra to the New South Wales border and 100 metres off the eastern coasts of Bribie, Moreton and Stradbroke islands (</w:t>
      </w:r>
      <w:r w:rsidR="00FB5C37">
        <w:rPr>
          <w:rFonts w:cs="Calibri"/>
          <w:color w:val="000000"/>
          <w:szCs w:val="24"/>
          <w:lang w:eastAsia="en-AU"/>
        </w:rPr>
        <w:fldChar w:fldCharType="begin"/>
      </w:r>
      <w:r w:rsidR="00FB5C37">
        <w:rPr>
          <w:rFonts w:cs="Calibri"/>
          <w:color w:val="000000"/>
          <w:szCs w:val="24"/>
          <w:lang w:eastAsia="en-AU"/>
        </w:rPr>
        <w:instrText xml:space="preserve"> REF _Ref499319564 \h </w:instrText>
      </w:r>
      <w:r w:rsidR="00FB5C37">
        <w:rPr>
          <w:rFonts w:cs="Calibri"/>
          <w:color w:val="000000"/>
          <w:szCs w:val="24"/>
          <w:lang w:eastAsia="en-AU"/>
        </w:rPr>
      </w:r>
      <w:r w:rsidR="00FB5C37">
        <w:rPr>
          <w:rFonts w:cs="Calibri"/>
          <w:color w:val="000000"/>
          <w:szCs w:val="24"/>
          <w:lang w:eastAsia="en-AU"/>
        </w:rPr>
        <w:fldChar w:fldCharType="separate"/>
      </w:r>
      <w:r w:rsidR="00121BC1">
        <w:t xml:space="preserve">Map </w:t>
      </w:r>
      <w:r w:rsidR="00121BC1">
        <w:rPr>
          <w:noProof/>
        </w:rPr>
        <w:t>4</w:t>
      </w:r>
      <w:r w:rsidR="00FB5C37">
        <w:rPr>
          <w:rFonts w:cs="Calibri"/>
          <w:color w:val="000000"/>
          <w:szCs w:val="24"/>
          <w:lang w:eastAsia="en-AU"/>
        </w:rPr>
        <w:fldChar w:fldCharType="end"/>
      </w:r>
      <w:r>
        <w:rPr>
          <w:rFonts w:cs="Calibri"/>
          <w:color w:val="000000"/>
          <w:szCs w:val="24"/>
          <w:lang w:eastAsia="en-AU"/>
        </w:rPr>
        <w:t>). The movement control order prohibited all decapod crustaceans and polychaete worms caught in this area from being moved out of the movement restriction zone unless they were cooked first—because cooking destroys WSSV. Other states applied similar movement restrictions.</w:t>
      </w:r>
    </w:p>
    <w:p w14:paraId="2358AA4C" w14:textId="29296AB0" w:rsidR="00CC703E" w:rsidRDefault="00E37FDB">
      <w:pPr>
        <w:tabs>
          <w:tab w:val="clear" w:pos="567"/>
        </w:tabs>
        <w:spacing w:after="0"/>
        <w:rPr>
          <w:rFonts w:cs="Calibri"/>
          <w:color w:val="000000"/>
          <w:szCs w:val="24"/>
          <w:lang w:eastAsia="en-AU"/>
        </w:rPr>
      </w:pPr>
      <w:r>
        <w:rPr>
          <w:rFonts w:cs="Calibri"/>
          <w:color w:val="000000"/>
          <w:szCs w:val="24"/>
          <w:lang w:eastAsia="en-AU"/>
        </w:rPr>
        <w:t>At 21 July 2017 Queensland movement restrictions for raw prawns, yabbies and marine worms were still in place</w:t>
      </w:r>
      <w:r w:rsidR="0055153D">
        <w:rPr>
          <w:rFonts w:cs="Calibri"/>
          <w:color w:val="000000"/>
          <w:szCs w:val="24"/>
          <w:vertAlign w:val="superscript"/>
          <w:lang w:eastAsia="en-AU"/>
        </w:rPr>
        <w:t>13</w:t>
      </w:r>
      <w:r>
        <w:rPr>
          <w:rFonts w:cs="Calibri"/>
          <w:color w:val="000000"/>
          <w:szCs w:val="24"/>
          <w:lang w:eastAsia="en-AU"/>
        </w:rPr>
        <w:t>. Crabs, lobsters and bugs had been exempted because they were considered most likely be cooked and eaten rather than used for bait.</w:t>
      </w:r>
    </w:p>
    <w:p w14:paraId="43F46A2A" w14:textId="1299AE4B" w:rsidR="0078409F" w:rsidRDefault="0078409F" w:rsidP="0078409F">
      <w:pPr>
        <w:pStyle w:val="Caption"/>
        <w:spacing w:after="0"/>
      </w:pPr>
      <w:bookmarkStart w:id="47" w:name="_Ref499319564"/>
      <w:bookmarkStart w:id="48" w:name="_Toc500508474"/>
      <w:r>
        <w:t xml:space="preserve">Map </w:t>
      </w:r>
      <w:r w:rsidR="00F329C0">
        <w:fldChar w:fldCharType="begin"/>
      </w:r>
      <w:r w:rsidR="00F329C0">
        <w:instrText xml:space="preserve"> SEQ Map \* ARABIC </w:instrText>
      </w:r>
      <w:r w:rsidR="00F329C0">
        <w:fldChar w:fldCharType="separate"/>
      </w:r>
      <w:r w:rsidR="00121BC1">
        <w:rPr>
          <w:noProof/>
        </w:rPr>
        <w:t>4</w:t>
      </w:r>
      <w:r w:rsidR="00F329C0">
        <w:rPr>
          <w:noProof/>
        </w:rPr>
        <w:fldChar w:fldCharType="end"/>
      </w:r>
      <w:bookmarkEnd w:id="47"/>
      <w:r w:rsidRPr="0078409F">
        <w:t xml:space="preserve"> </w:t>
      </w:r>
      <w:r>
        <w:t>Updated movement restriction zone, south-east Queensland, at 7 July 2017</w:t>
      </w:r>
      <w:bookmarkEnd w:id="48"/>
    </w:p>
    <w:p w14:paraId="16C67FB6" w14:textId="71D4865D" w:rsidR="00CC703E" w:rsidRDefault="00F329C0">
      <w:r>
        <w:rPr>
          <w:rFonts w:ascii="Arial" w:eastAsia="Times New Roman" w:hAnsi="Arial" w:cs="Arial"/>
          <w:b/>
          <w:bCs/>
          <w:noProof/>
          <w:color w:val="363636"/>
          <w:lang w:eastAsia="en-AU"/>
        </w:rPr>
        <w:pict w14:anchorId="60238F01">
          <v:shape id="_x0000_i1029" type="#_x0000_t75" style="width:225.65pt;height:306.25pt">
            <v:imagedata r:id="rId24" o:title="Map_4"/>
          </v:shape>
        </w:pict>
      </w:r>
    </w:p>
    <w:p w14:paraId="581E3611" w14:textId="3F889E3F" w:rsidR="00CC703E" w:rsidRDefault="00E37FDB">
      <w:pPr>
        <w:pStyle w:val="FigureTableNoteSource"/>
        <w:rPr>
          <w:lang w:eastAsia="ja-JP"/>
        </w:rPr>
      </w:pPr>
      <w:r>
        <w:rPr>
          <w:lang w:eastAsia="ja-JP"/>
        </w:rPr>
        <w:t xml:space="preserve">Source: </w:t>
      </w:r>
      <w:r w:rsidR="000851C9">
        <w:rPr>
          <w:lang w:eastAsia="ja-JP"/>
        </w:rPr>
        <w:t>Queensland Department of Agriculture and Fisheries</w:t>
      </w:r>
    </w:p>
    <w:p w14:paraId="1A0D18EC" w14:textId="77777777" w:rsidR="00CC703E" w:rsidRDefault="00E37FDB">
      <w:pPr>
        <w:pStyle w:val="Heading4"/>
        <w:rPr>
          <w:lang w:val="en-AU"/>
        </w:rPr>
      </w:pPr>
      <w:r>
        <w:rPr>
          <w:lang w:val="en-AU"/>
        </w:rPr>
        <w:t>Fishing restrictions</w:t>
      </w:r>
    </w:p>
    <w:p w14:paraId="0381DB0C" w14:textId="34EEA5E6" w:rsidR="00CC703E" w:rsidRDefault="00E37FDB">
      <w:pPr>
        <w:tabs>
          <w:tab w:val="clear" w:pos="567"/>
        </w:tabs>
        <w:spacing w:after="0"/>
        <w:rPr>
          <w:rFonts w:cs="Calibri"/>
          <w:color w:val="000000"/>
          <w:szCs w:val="24"/>
          <w:lang w:eastAsia="en-AU"/>
        </w:rPr>
      </w:pPr>
      <w:r>
        <w:rPr>
          <w:rFonts w:cs="Calibri"/>
          <w:color w:val="000000"/>
          <w:szCs w:val="24"/>
          <w:lang w:eastAsia="en-AU"/>
        </w:rPr>
        <w:t xml:space="preserve">To help prevent further outbreaks of white spot in south-east Queensland, from 16 June 2017 fishing was prohibited within 100 metres of water intake and outlet </w:t>
      </w:r>
      <w:r>
        <w:rPr>
          <w:rFonts w:cs="Calibri"/>
          <w:color w:val="000000"/>
          <w:szCs w:val="24"/>
          <w:lang w:eastAsia="en-AU"/>
        </w:rPr>
        <w:lastRenderedPageBreak/>
        <w:t>channels and in drainage channels used by the infected prawn farms (</w:t>
      </w:r>
      <w:r w:rsidR="00A81E59">
        <w:rPr>
          <w:rFonts w:cs="Calibri"/>
          <w:color w:val="000000"/>
          <w:szCs w:val="24"/>
          <w:lang w:eastAsia="en-AU"/>
        </w:rPr>
        <w:fldChar w:fldCharType="begin"/>
      </w:r>
      <w:r w:rsidR="00A81E59">
        <w:rPr>
          <w:rFonts w:cs="Calibri"/>
          <w:color w:val="000000"/>
          <w:szCs w:val="24"/>
          <w:lang w:eastAsia="en-AU"/>
        </w:rPr>
        <w:instrText xml:space="preserve"> REF _Ref499799441 \h </w:instrText>
      </w:r>
      <w:r w:rsidR="00A81E59">
        <w:rPr>
          <w:rFonts w:cs="Calibri"/>
          <w:color w:val="000000"/>
          <w:szCs w:val="24"/>
          <w:lang w:eastAsia="en-AU"/>
        </w:rPr>
      </w:r>
      <w:r w:rsidR="00A81E59">
        <w:rPr>
          <w:rFonts w:cs="Calibri"/>
          <w:color w:val="000000"/>
          <w:szCs w:val="24"/>
          <w:lang w:eastAsia="en-AU"/>
        </w:rPr>
        <w:fldChar w:fldCharType="separate"/>
      </w:r>
      <w:r w:rsidR="00121BC1">
        <w:t xml:space="preserve">Map </w:t>
      </w:r>
      <w:r w:rsidR="00121BC1">
        <w:rPr>
          <w:noProof/>
        </w:rPr>
        <w:t>5</w:t>
      </w:r>
      <w:r w:rsidR="00A81E59">
        <w:rPr>
          <w:rFonts w:cs="Calibri"/>
          <w:color w:val="000000"/>
          <w:szCs w:val="24"/>
          <w:lang w:eastAsia="en-AU"/>
        </w:rPr>
        <w:fldChar w:fldCharType="end"/>
      </w:r>
      <w:r>
        <w:rPr>
          <w:rFonts w:cs="Calibri"/>
          <w:color w:val="000000"/>
          <w:szCs w:val="24"/>
          <w:lang w:eastAsia="en-AU"/>
        </w:rPr>
        <w:t>). This included line fishing and the use of other fishing equipment such as crab pots, cast nets and yabby pumps.</w:t>
      </w:r>
    </w:p>
    <w:p w14:paraId="50AFD83D" w14:textId="7562132B" w:rsidR="0078409F" w:rsidRDefault="0078409F" w:rsidP="0078409F">
      <w:pPr>
        <w:pStyle w:val="Caption"/>
        <w:spacing w:after="0"/>
      </w:pPr>
      <w:bookmarkStart w:id="49" w:name="_Ref499799441"/>
      <w:bookmarkStart w:id="50" w:name="_Toc500508475"/>
      <w:r>
        <w:t xml:space="preserve">Map </w:t>
      </w:r>
      <w:r w:rsidR="00F329C0">
        <w:fldChar w:fldCharType="begin"/>
      </w:r>
      <w:r w:rsidR="00F329C0">
        <w:instrText xml:space="preserve"> SEQ Map \* ARABIC </w:instrText>
      </w:r>
      <w:r w:rsidR="00F329C0">
        <w:fldChar w:fldCharType="separate"/>
      </w:r>
      <w:r w:rsidR="00121BC1">
        <w:rPr>
          <w:noProof/>
        </w:rPr>
        <w:t>5</w:t>
      </w:r>
      <w:r w:rsidR="00F329C0">
        <w:rPr>
          <w:noProof/>
        </w:rPr>
        <w:fldChar w:fldCharType="end"/>
      </w:r>
      <w:bookmarkStart w:id="51" w:name="_Ref490044457"/>
      <w:bookmarkEnd w:id="49"/>
      <w:r w:rsidRPr="0078409F">
        <w:t xml:space="preserve"> </w:t>
      </w:r>
      <w:bookmarkEnd w:id="51"/>
      <w:r>
        <w:t>Fishing restrictions, south-east Queensland, at 7 July 2017</w:t>
      </w:r>
      <w:bookmarkEnd w:id="50"/>
    </w:p>
    <w:p w14:paraId="1B08D841" w14:textId="5ACDFD3D" w:rsidR="00CC703E" w:rsidRDefault="00F329C0">
      <w:pPr>
        <w:pStyle w:val="FigureTableNoteSource"/>
      </w:pPr>
      <w:r>
        <w:rPr>
          <w:noProof/>
          <w:lang w:eastAsia="en-AU"/>
        </w:rPr>
        <w:pict w14:anchorId="141D9458">
          <v:shape id="_x0000_i1030" type="#_x0000_t75" style="width:242.35pt;height:351.95pt">
            <v:imagedata r:id="rId25" o:title="Map_5"/>
          </v:shape>
        </w:pict>
      </w:r>
    </w:p>
    <w:p w14:paraId="3D5CE9EA" w14:textId="77777777" w:rsidR="00CC703E" w:rsidRDefault="00E37FDB">
      <w:pPr>
        <w:pStyle w:val="FigureTableNoteSource"/>
        <w:rPr>
          <w:lang w:eastAsia="ja-JP"/>
        </w:rPr>
      </w:pPr>
      <w:r>
        <w:rPr>
          <w:lang w:eastAsia="ja-JP"/>
        </w:rPr>
        <w:t>Source: Queensland Department of Agriculture and Fisheries</w:t>
      </w:r>
    </w:p>
    <w:bookmarkStart w:id="52" w:name="_Toc490040465"/>
    <w:p w14:paraId="3086879B" w14:textId="425F38BA" w:rsidR="00CC703E" w:rsidRDefault="00FB5C37">
      <w:pPr>
        <w:tabs>
          <w:tab w:val="clear" w:pos="567"/>
        </w:tabs>
        <w:spacing w:before="360" w:after="0"/>
      </w:pPr>
      <w:r>
        <w:fldChar w:fldCharType="begin"/>
      </w:r>
      <w:r>
        <w:instrText xml:space="preserve"> REF _Ref499319627 \h </w:instrText>
      </w:r>
      <w:r>
        <w:fldChar w:fldCharType="separate"/>
      </w:r>
      <w:r w:rsidR="00121BC1">
        <w:t xml:space="preserve">Table </w:t>
      </w:r>
      <w:r w:rsidR="00121BC1">
        <w:rPr>
          <w:noProof/>
        </w:rPr>
        <w:t>1</w:t>
      </w:r>
      <w:r>
        <w:fldChar w:fldCharType="end"/>
      </w:r>
      <w:r w:rsidR="00E37FDB">
        <w:t xml:space="preserve"> summarises results from the QDAF farmed and wild crustacean surveillance and testing program. From 1 December 2016 to 17 August 2017 QDAF collected samples of wild crustaceans, first in the Logan River and southern Moreton Bay near the infected prawn farms</w:t>
      </w:r>
      <w:r w:rsidR="00E37FDB" w:rsidRPr="00900EC0">
        <w:t>. It</w:t>
      </w:r>
      <w:r w:rsidR="00E37FDB">
        <w:t xml:space="preserve"> then collected more widely using a government-owned research trawler (the </w:t>
      </w:r>
      <w:r w:rsidR="00E37FDB">
        <w:rPr>
          <w:rStyle w:val="Emphasis"/>
        </w:rPr>
        <w:t>Tom Marshall</w:t>
      </w:r>
      <w:r w:rsidR="00E37FDB">
        <w:t>) in Moreton Bay and across an extended east coast area. QDAF also obtained samples from commercial fishers. Between 1 December 2016 and 16 June 2017, 24,798 samples of wild prawns were tested for WSSV at the NSW Department of Primary Industries Elizabeth Macarthur Agricultural Institute (EMAI).</w:t>
      </w:r>
    </w:p>
    <w:p w14:paraId="340D17BB" w14:textId="0FDA42C1" w:rsidR="00CC703E" w:rsidRDefault="00E37FDB">
      <w:pPr>
        <w:tabs>
          <w:tab w:val="clear" w:pos="567"/>
        </w:tabs>
        <w:spacing w:after="0"/>
        <w:rPr>
          <w:b/>
          <w:bCs/>
          <w:color w:val="404040"/>
          <w:szCs w:val="18"/>
        </w:rPr>
      </w:pPr>
      <w:r>
        <w:rPr>
          <w:rFonts w:cs="Calibri"/>
          <w:bCs/>
          <w:color w:val="000000"/>
          <w:szCs w:val="24"/>
          <w:lang w:eastAsia="en-AU"/>
        </w:rPr>
        <w:t>T</w:t>
      </w:r>
      <w:r>
        <w:rPr>
          <w:rFonts w:cs="Calibri"/>
          <w:color w:val="000000"/>
          <w:szCs w:val="24"/>
          <w:lang w:eastAsia="en-AU"/>
        </w:rPr>
        <w:t>he 2017 positive results were low relative to the total samples taken. However,</w:t>
      </w:r>
      <w:r>
        <w:rPr>
          <w:rFonts w:cs="Calibri"/>
          <w:szCs w:val="24"/>
          <w:lang w:eastAsia="en-AU"/>
        </w:rPr>
        <w:t xml:space="preserve"> we do not know how exotic WSSV will behave in Australian native animal populations. </w:t>
      </w:r>
      <w:r w:rsidR="000851C9">
        <w:rPr>
          <w:rFonts w:cs="Calibri"/>
          <w:szCs w:val="24"/>
          <w:lang w:eastAsia="en-AU"/>
        </w:rPr>
        <w:t>Several</w:t>
      </w:r>
      <w:r>
        <w:rPr>
          <w:rFonts w:cs="Calibri"/>
          <w:szCs w:val="24"/>
          <w:lang w:eastAsia="en-AU"/>
        </w:rPr>
        <w:t xml:space="preserve"> seasons of surveillance may be required before AqCCEAD can determine whether WSSV has established or has disappeared, as was the case with the Darwin WSSV incursion in 2000 (see </w:t>
      </w:r>
      <w:r w:rsidRPr="00E1315E">
        <w:rPr>
          <w:rFonts w:cs="Calibri"/>
          <w:szCs w:val="24"/>
          <w:lang w:eastAsia="en-AU"/>
        </w:rPr>
        <w:t>section 3.4</w:t>
      </w:r>
      <w:r w:rsidRPr="00C43DB6">
        <w:rPr>
          <w:rFonts w:cs="Calibri"/>
          <w:szCs w:val="24"/>
          <w:lang w:eastAsia="en-AU"/>
        </w:rPr>
        <w:t>).</w:t>
      </w:r>
    </w:p>
    <w:p w14:paraId="75543347" w14:textId="3783E348" w:rsidR="00CC703E" w:rsidRDefault="00E37FDB">
      <w:pPr>
        <w:spacing w:after="0"/>
      </w:pPr>
      <w:r>
        <w:lastRenderedPageBreak/>
        <w:t>In late August 2017 QDAF recommenced surveillance to determine whether WSSV was present in wild crustacean populations within and beyond the movement-restricted area in Queensland. By 12 October 2017 more than 4,120 prawn and crab samples, collected from 94 locations along the east coast of Queensland, as well as the Moreton Bay, Logan River and Brisbane River areas, had tested negative for WSSV. Further sampling will be carried out in early 2018, when the wild prawn populations are expected to be at their maximum production cycles</w:t>
      </w:r>
      <w:r w:rsidR="0055153D">
        <w:rPr>
          <w:vertAlign w:val="superscript"/>
        </w:rPr>
        <w:t>14</w:t>
      </w:r>
      <w:r>
        <w:t>.</w:t>
      </w:r>
    </w:p>
    <w:p w14:paraId="3A401C89" w14:textId="5C511195" w:rsidR="00CC703E" w:rsidRDefault="00E37FDB" w:rsidP="00E25480">
      <w:r>
        <w:t>The OIE requires that such sampling be undertaken systematically for at least two years after the last positive finding to ascertain whether infection in the wild is likely to have died out.</w:t>
      </w:r>
    </w:p>
    <w:p w14:paraId="0F677A36" w14:textId="431971D2" w:rsidR="0078409F" w:rsidRDefault="0078409F" w:rsidP="0078409F">
      <w:pPr>
        <w:pStyle w:val="Caption"/>
      </w:pPr>
      <w:bookmarkStart w:id="53" w:name="_Ref499319627"/>
      <w:bookmarkStart w:id="54" w:name="_Toc500508478"/>
      <w:r>
        <w:t xml:space="preserve">Table </w:t>
      </w:r>
      <w:r w:rsidR="00F329C0">
        <w:fldChar w:fldCharType="begin"/>
      </w:r>
      <w:r w:rsidR="00F329C0">
        <w:instrText xml:space="preserve"> SEQ Table \* ARABIC </w:instrText>
      </w:r>
      <w:r w:rsidR="00F329C0">
        <w:fldChar w:fldCharType="separate"/>
      </w:r>
      <w:r w:rsidR="00121BC1">
        <w:rPr>
          <w:noProof/>
        </w:rPr>
        <w:t>1</w:t>
      </w:r>
      <w:r w:rsidR="00F329C0">
        <w:rPr>
          <w:noProof/>
        </w:rPr>
        <w:fldChar w:fldCharType="end"/>
      </w:r>
      <w:bookmarkEnd w:id="53"/>
      <w:r w:rsidRPr="0078409F">
        <w:t xml:space="preserve"> </w:t>
      </w:r>
      <w:r>
        <w:t>Surveillance for white spot disease, Queensland, 1 December 2016 to 17 August 2017</w:t>
      </w:r>
      <w:bookmarkEnd w:id="54"/>
    </w:p>
    <w:tbl>
      <w:tblPr>
        <w:tblStyle w:val="TableGrid"/>
        <w:tblW w:w="935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1097"/>
        <w:gridCol w:w="1524"/>
        <w:gridCol w:w="1064"/>
        <w:gridCol w:w="1984"/>
      </w:tblGrid>
      <w:tr w:rsidR="00A95C32" w14:paraId="4EBA4412" w14:textId="77777777" w:rsidTr="00A81D4B">
        <w:tc>
          <w:tcPr>
            <w:tcW w:w="3686" w:type="dxa"/>
            <w:vMerge w:val="restart"/>
          </w:tcPr>
          <w:p w14:paraId="5E257CEE" w14:textId="77777777" w:rsidR="00A95C32" w:rsidRDefault="00A95C32">
            <w:pPr>
              <w:pStyle w:val="Tabletext"/>
              <w:rPr>
                <w:b/>
              </w:rPr>
            </w:pPr>
            <w:r>
              <w:rPr>
                <w:b/>
              </w:rPr>
              <w:t>Location</w:t>
            </w:r>
          </w:p>
        </w:tc>
        <w:tc>
          <w:tcPr>
            <w:tcW w:w="3685" w:type="dxa"/>
            <w:gridSpan w:val="3"/>
            <w:tcBorders>
              <w:top w:val="single" w:sz="4" w:space="0" w:color="auto"/>
              <w:bottom w:val="single" w:sz="4" w:space="0" w:color="auto"/>
            </w:tcBorders>
          </w:tcPr>
          <w:p w14:paraId="065310FD" w14:textId="77777777" w:rsidR="00A95C32" w:rsidRDefault="00A95C32" w:rsidP="0088540A">
            <w:pPr>
              <w:pStyle w:val="Tabletext"/>
              <w:jc w:val="center"/>
              <w:rPr>
                <w:b/>
              </w:rPr>
            </w:pPr>
            <w:r w:rsidRPr="00C42FFD">
              <w:rPr>
                <w:b/>
              </w:rPr>
              <w:t>Numbers of animals tested</w:t>
            </w:r>
          </w:p>
        </w:tc>
        <w:tc>
          <w:tcPr>
            <w:tcW w:w="1984" w:type="dxa"/>
          </w:tcPr>
          <w:p w14:paraId="7F33284E" w14:textId="4A130A23" w:rsidR="00A95C32" w:rsidRDefault="00A95C32" w:rsidP="00D40D39">
            <w:pPr>
              <w:pStyle w:val="Tabletext"/>
              <w:jc w:val="right"/>
              <w:rPr>
                <w:b/>
              </w:rPr>
            </w:pPr>
            <w:r w:rsidRPr="00BB7F80">
              <w:rPr>
                <w:b/>
              </w:rPr>
              <w:t>Sites  found positive or negative (in one or more samples)</w:t>
            </w:r>
          </w:p>
        </w:tc>
      </w:tr>
      <w:tr w:rsidR="004D4BB7" w14:paraId="342E7931" w14:textId="77777777" w:rsidTr="00A81D4B">
        <w:tc>
          <w:tcPr>
            <w:tcW w:w="3686" w:type="dxa"/>
            <w:vMerge/>
          </w:tcPr>
          <w:p w14:paraId="5AD244DF" w14:textId="77777777" w:rsidR="00A95C32" w:rsidRDefault="00A95C32">
            <w:pPr>
              <w:pStyle w:val="Tabletext"/>
            </w:pPr>
          </w:p>
        </w:tc>
        <w:tc>
          <w:tcPr>
            <w:tcW w:w="1097" w:type="dxa"/>
            <w:tcBorders>
              <w:top w:val="single" w:sz="4" w:space="0" w:color="auto"/>
            </w:tcBorders>
          </w:tcPr>
          <w:p w14:paraId="4FA91326" w14:textId="77777777" w:rsidR="00A95C32" w:rsidRDefault="00A95C32" w:rsidP="00A81D4B">
            <w:pPr>
              <w:pStyle w:val="Tabletext"/>
              <w:jc w:val="right"/>
            </w:pPr>
            <w:r>
              <w:rPr>
                <w:b/>
              </w:rPr>
              <w:t>Prawns</w:t>
            </w:r>
          </w:p>
        </w:tc>
        <w:tc>
          <w:tcPr>
            <w:tcW w:w="1524" w:type="dxa"/>
            <w:tcBorders>
              <w:top w:val="single" w:sz="4" w:space="0" w:color="auto"/>
            </w:tcBorders>
          </w:tcPr>
          <w:p w14:paraId="2450877A" w14:textId="77777777" w:rsidR="00A95C32" w:rsidRDefault="00A95C32" w:rsidP="00A81D4B">
            <w:pPr>
              <w:pStyle w:val="Tabletext"/>
              <w:jc w:val="right"/>
            </w:pPr>
            <w:r>
              <w:rPr>
                <w:b/>
              </w:rPr>
              <w:t>Crabs and other crustaceans</w:t>
            </w:r>
          </w:p>
        </w:tc>
        <w:tc>
          <w:tcPr>
            <w:tcW w:w="1064" w:type="dxa"/>
            <w:tcBorders>
              <w:top w:val="single" w:sz="4" w:space="0" w:color="auto"/>
            </w:tcBorders>
          </w:tcPr>
          <w:p w14:paraId="406A11A9" w14:textId="4E864B43" w:rsidR="00A95C32" w:rsidRDefault="00A95C32" w:rsidP="00A81D4B">
            <w:pPr>
              <w:pStyle w:val="Tabletext"/>
              <w:jc w:val="right"/>
              <w:rPr>
                <w:b/>
              </w:rPr>
            </w:pPr>
            <w:r>
              <w:rPr>
                <w:b/>
              </w:rPr>
              <w:t>Total</w:t>
            </w:r>
          </w:p>
        </w:tc>
        <w:tc>
          <w:tcPr>
            <w:tcW w:w="1984" w:type="dxa"/>
          </w:tcPr>
          <w:p w14:paraId="15AD1D55" w14:textId="184674A7" w:rsidR="00A95C32" w:rsidRDefault="00A95C32" w:rsidP="007D580F">
            <w:pPr>
              <w:pStyle w:val="Tabletext"/>
              <w:rPr>
                <w:b/>
              </w:rPr>
            </w:pPr>
          </w:p>
        </w:tc>
      </w:tr>
      <w:tr w:rsidR="00A95C32" w14:paraId="0039EBC1" w14:textId="77777777" w:rsidTr="00A81D4B">
        <w:tc>
          <w:tcPr>
            <w:tcW w:w="3686" w:type="dxa"/>
          </w:tcPr>
          <w:p w14:paraId="32946F7A" w14:textId="22AD25D2" w:rsidR="00A95C32" w:rsidRDefault="00A95C32">
            <w:pPr>
              <w:pStyle w:val="Tabletext"/>
              <w:rPr>
                <w:b/>
              </w:rPr>
            </w:pPr>
            <w:r>
              <w:rPr>
                <w:b/>
              </w:rPr>
              <w:t>Queensland prawn farms</w:t>
            </w:r>
          </w:p>
        </w:tc>
        <w:tc>
          <w:tcPr>
            <w:tcW w:w="5669" w:type="dxa"/>
            <w:gridSpan w:val="4"/>
            <w:vAlign w:val="bottom"/>
          </w:tcPr>
          <w:p w14:paraId="75EC2AFC" w14:textId="11021FE3" w:rsidR="00A95C32" w:rsidRDefault="00A95C32">
            <w:pPr>
              <w:pStyle w:val="Tabletext"/>
              <w:rPr>
                <w:b/>
              </w:rPr>
            </w:pPr>
          </w:p>
        </w:tc>
      </w:tr>
      <w:tr w:rsidR="004D4BB7" w14:paraId="77054954" w14:textId="77777777" w:rsidTr="004D4BB7">
        <w:tc>
          <w:tcPr>
            <w:tcW w:w="3686" w:type="dxa"/>
            <w:vAlign w:val="bottom"/>
          </w:tcPr>
          <w:p w14:paraId="4915F54C" w14:textId="0DC312EF" w:rsidR="00A95C32" w:rsidRDefault="00A95C32" w:rsidP="00DF238A">
            <w:pPr>
              <w:pStyle w:val="Tabletext"/>
            </w:pPr>
            <w:r>
              <w:t>Infected Logan River farms</w:t>
            </w:r>
            <w:r w:rsidRPr="00A81D4B">
              <w:rPr>
                <w:vertAlign w:val="superscript"/>
              </w:rPr>
              <w:t>a</w:t>
            </w:r>
          </w:p>
        </w:tc>
        <w:tc>
          <w:tcPr>
            <w:tcW w:w="1097" w:type="dxa"/>
            <w:vAlign w:val="bottom"/>
          </w:tcPr>
          <w:p w14:paraId="6A704890" w14:textId="583AD6F4" w:rsidR="00A95C32" w:rsidRDefault="00A95C32">
            <w:pPr>
              <w:pStyle w:val="Tabletext"/>
              <w:jc w:val="right"/>
            </w:pPr>
            <w:r>
              <w:t>17,949</w:t>
            </w:r>
          </w:p>
        </w:tc>
        <w:tc>
          <w:tcPr>
            <w:tcW w:w="1524" w:type="dxa"/>
            <w:vAlign w:val="bottom"/>
          </w:tcPr>
          <w:p w14:paraId="709CB060" w14:textId="64552FE5" w:rsidR="00A95C32" w:rsidRDefault="00A95C32">
            <w:pPr>
              <w:pStyle w:val="Tabletext"/>
              <w:jc w:val="right"/>
            </w:pPr>
            <w:r>
              <w:t>1,777</w:t>
            </w:r>
          </w:p>
        </w:tc>
        <w:tc>
          <w:tcPr>
            <w:tcW w:w="1064" w:type="dxa"/>
            <w:vAlign w:val="bottom"/>
          </w:tcPr>
          <w:p w14:paraId="46273A93" w14:textId="198DF313" w:rsidR="00A95C32" w:rsidRDefault="00A95C32">
            <w:pPr>
              <w:pStyle w:val="Tabletext"/>
              <w:jc w:val="right"/>
            </w:pPr>
            <w:r>
              <w:t>19,726</w:t>
            </w:r>
          </w:p>
        </w:tc>
        <w:tc>
          <w:tcPr>
            <w:tcW w:w="1984" w:type="dxa"/>
            <w:vAlign w:val="bottom"/>
          </w:tcPr>
          <w:p w14:paraId="32F7CB8A" w14:textId="63167BEC" w:rsidR="00A95C32" w:rsidRDefault="00A95C32" w:rsidP="00D40D39">
            <w:pPr>
              <w:pStyle w:val="Tabletext"/>
              <w:jc w:val="right"/>
            </w:pPr>
            <w:r>
              <w:t>Positive</w:t>
            </w:r>
          </w:p>
        </w:tc>
      </w:tr>
      <w:tr w:rsidR="004D4BB7" w14:paraId="70CA337B" w14:textId="77777777" w:rsidTr="004D4BB7">
        <w:tc>
          <w:tcPr>
            <w:tcW w:w="3686" w:type="dxa"/>
            <w:vAlign w:val="bottom"/>
          </w:tcPr>
          <w:p w14:paraId="20DB08B0" w14:textId="77777777" w:rsidR="00A95C32" w:rsidRDefault="00A95C32" w:rsidP="00DF238A">
            <w:pPr>
              <w:pStyle w:val="Tabletext"/>
            </w:pPr>
            <w:r>
              <w:t>Northern Queensland farms</w:t>
            </w:r>
          </w:p>
        </w:tc>
        <w:tc>
          <w:tcPr>
            <w:tcW w:w="1097" w:type="dxa"/>
            <w:vAlign w:val="bottom"/>
          </w:tcPr>
          <w:p w14:paraId="0DE91471" w14:textId="3B9417A0" w:rsidR="00A95C32" w:rsidRDefault="00A95C32">
            <w:pPr>
              <w:pStyle w:val="Tabletext"/>
              <w:jc w:val="right"/>
            </w:pPr>
            <w:r>
              <w:t>5,712</w:t>
            </w:r>
          </w:p>
        </w:tc>
        <w:tc>
          <w:tcPr>
            <w:tcW w:w="1524" w:type="dxa"/>
            <w:vAlign w:val="bottom"/>
          </w:tcPr>
          <w:p w14:paraId="41C1F7FC" w14:textId="77777777" w:rsidR="00A95C32" w:rsidRDefault="00A95C32">
            <w:pPr>
              <w:pStyle w:val="Tabletext"/>
              <w:jc w:val="right"/>
            </w:pPr>
            <w:r>
              <w:t>94</w:t>
            </w:r>
          </w:p>
        </w:tc>
        <w:tc>
          <w:tcPr>
            <w:tcW w:w="1064" w:type="dxa"/>
            <w:vAlign w:val="bottom"/>
          </w:tcPr>
          <w:p w14:paraId="49535C95" w14:textId="75B2EECD" w:rsidR="00A95C32" w:rsidRDefault="00A95C32">
            <w:pPr>
              <w:pStyle w:val="Tabletext"/>
              <w:jc w:val="right"/>
            </w:pPr>
            <w:r>
              <w:t>5,806</w:t>
            </w:r>
          </w:p>
        </w:tc>
        <w:tc>
          <w:tcPr>
            <w:tcW w:w="1984" w:type="dxa"/>
            <w:vAlign w:val="bottom"/>
          </w:tcPr>
          <w:p w14:paraId="5AD4B042" w14:textId="709CF183" w:rsidR="00A95C32" w:rsidRDefault="00A95C32" w:rsidP="00D40D39">
            <w:pPr>
              <w:pStyle w:val="Tabletext"/>
              <w:jc w:val="right"/>
            </w:pPr>
            <w:r>
              <w:t>Negative</w:t>
            </w:r>
          </w:p>
        </w:tc>
      </w:tr>
      <w:tr w:rsidR="004D4BB7" w14:paraId="4653069C" w14:textId="77777777" w:rsidTr="004D4BB7">
        <w:tc>
          <w:tcPr>
            <w:tcW w:w="3686" w:type="dxa"/>
            <w:vAlign w:val="bottom"/>
          </w:tcPr>
          <w:p w14:paraId="1825D8E4" w14:textId="77777777" w:rsidR="00A95C32" w:rsidRDefault="00A95C32" w:rsidP="00DF238A">
            <w:pPr>
              <w:pStyle w:val="Tabletext"/>
              <w:rPr>
                <w:b/>
              </w:rPr>
            </w:pPr>
            <w:r>
              <w:rPr>
                <w:b/>
              </w:rPr>
              <w:t>Commercial bait prawns</w:t>
            </w:r>
          </w:p>
        </w:tc>
        <w:tc>
          <w:tcPr>
            <w:tcW w:w="1097" w:type="dxa"/>
            <w:vAlign w:val="bottom"/>
          </w:tcPr>
          <w:p w14:paraId="7EFE692F" w14:textId="323721A6" w:rsidR="00A95C32" w:rsidRDefault="00A95C32">
            <w:pPr>
              <w:pStyle w:val="Tabletext"/>
              <w:jc w:val="right"/>
            </w:pPr>
            <w:r>
              <w:t>2,242</w:t>
            </w:r>
          </w:p>
        </w:tc>
        <w:tc>
          <w:tcPr>
            <w:tcW w:w="1524" w:type="dxa"/>
            <w:vAlign w:val="bottom"/>
          </w:tcPr>
          <w:p w14:paraId="01161F6C" w14:textId="77777777" w:rsidR="00A95C32" w:rsidRDefault="00A95C32">
            <w:pPr>
              <w:pStyle w:val="Tabletext"/>
              <w:jc w:val="right"/>
            </w:pPr>
            <w:r>
              <w:t>0</w:t>
            </w:r>
          </w:p>
        </w:tc>
        <w:tc>
          <w:tcPr>
            <w:tcW w:w="1064" w:type="dxa"/>
            <w:vAlign w:val="bottom"/>
          </w:tcPr>
          <w:p w14:paraId="48C022B6" w14:textId="08558505" w:rsidR="00A95C32" w:rsidRDefault="00A95C32">
            <w:pPr>
              <w:pStyle w:val="Tabletext"/>
              <w:jc w:val="right"/>
            </w:pPr>
            <w:r>
              <w:t>2,242</w:t>
            </w:r>
          </w:p>
        </w:tc>
        <w:tc>
          <w:tcPr>
            <w:tcW w:w="1984" w:type="dxa"/>
            <w:vAlign w:val="bottom"/>
          </w:tcPr>
          <w:p w14:paraId="79F7D642" w14:textId="4FEA1431" w:rsidR="00A95C32" w:rsidRDefault="00A95C32" w:rsidP="00D40D39">
            <w:pPr>
              <w:pStyle w:val="Tabletext"/>
              <w:jc w:val="right"/>
            </w:pPr>
            <w:r>
              <w:t>Positive</w:t>
            </w:r>
          </w:p>
        </w:tc>
      </w:tr>
      <w:tr w:rsidR="004D4BB7" w14:paraId="35DCFB9B" w14:textId="77777777" w:rsidTr="004D4BB7">
        <w:tc>
          <w:tcPr>
            <w:tcW w:w="3686" w:type="dxa"/>
            <w:vAlign w:val="bottom"/>
          </w:tcPr>
          <w:p w14:paraId="7A316C41" w14:textId="0FBA0430" w:rsidR="00A95C32" w:rsidRDefault="00A95C32" w:rsidP="00DF238A">
            <w:pPr>
              <w:pStyle w:val="Tabletext"/>
            </w:pPr>
            <w:r>
              <w:rPr>
                <w:b/>
              </w:rPr>
              <w:t>Logan River</w:t>
            </w:r>
            <w:r w:rsidRPr="00A81D4B">
              <w:rPr>
                <w:vertAlign w:val="superscript"/>
              </w:rPr>
              <w:t>a</w:t>
            </w:r>
          </w:p>
        </w:tc>
        <w:tc>
          <w:tcPr>
            <w:tcW w:w="1097" w:type="dxa"/>
            <w:vAlign w:val="bottom"/>
          </w:tcPr>
          <w:p w14:paraId="5512F4CB" w14:textId="4DF53B8C" w:rsidR="00A95C32" w:rsidRDefault="00A95C32">
            <w:pPr>
              <w:pStyle w:val="Tabletext"/>
              <w:jc w:val="right"/>
            </w:pPr>
            <w:r>
              <w:t>13,217</w:t>
            </w:r>
          </w:p>
        </w:tc>
        <w:tc>
          <w:tcPr>
            <w:tcW w:w="1524" w:type="dxa"/>
            <w:vAlign w:val="bottom"/>
          </w:tcPr>
          <w:p w14:paraId="53460143" w14:textId="77777777" w:rsidR="00A95C32" w:rsidRDefault="00A95C32">
            <w:pPr>
              <w:pStyle w:val="Tabletext"/>
              <w:jc w:val="right"/>
            </w:pPr>
            <w:r>
              <w:t>549</w:t>
            </w:r>
          </w:p>
        </w:tc>
        <w:tc>
          <w:tcPr>
            <w:tcW w:w="1064" w:type="dxa"/>
            <w:vAlign w:val="bottom"/>
          </w:tcPr>
          <w:p w14:paraId="3FAB484C" w14:textId="53DCCEC8" w:rsidR="00A95C32" w:rsidRDefault="00A95C32">
            <w:pPr>
              <w:pStyle w:val="Tabletext"/>
              <w:jc w:val="right"/>
            </w:pPr>
            <w:r>
              <w:t>13,766</w:t>
            </w:r>
          </w:p>
        </w:tc>
        <w:tc>
          <w:tcPr>
            <w:tcW w:w="1984" w:type="dxa"/>
            <w:vAlign w:val="bottom"/>
          </w:tcPr>
          <w:p w14:paraId="3D3C42C5" w14:textId="62158154" w:rsidR="00A95C32" w:rsidRDefault="00A95C32" w:rsidP="00D40D39">
            <w:pPr>
              <w:pStyle w:val="Tabletext"/>
              <w:jc w:val="right"/>
            </w:pPr>
            <w:r>
              <w:t>Positive</w:t>
            </w:r>
          </w:p>
        </w:tc>
      </w:tr>
      <w:tr w:rsidR="00A95C32" w14:paraId="04CDF350" w14:textId="77777777" w:rsidTr="00A81D4B">
        <w:tc>
          <w:tcPr>
            <w:tcW w:w="3686" w:type="dxa"/>
          </w:tcPr>
          <w:p w14:paraId="0FC1FDB1" w14:textId="44F3B2CD" w:rsidR="00A95C32" w:rsidRDefault="00A95C32" w:rsidP="00DF238A">
            <w:pPr>
              <w:pStyle w:val="Tabletext"/>
              <w:rPr>
                <w:b/>
              </w:rPr>
            </w:pPr>
            <w:r>
              <w:rPr>
                <w:b/>
              </w:rPr>
              <w:t>Movement control area wild surveillance</w:t>
            </w:r>
          </w:p>
        </w:tc>
        <w:tc>
          <w:tcPr>
            <w:tcW w:w="5669" w:type="dxa"/>
            <w:gridSpan w:val="4"/>
            <w:vAlign w:val="bottom"/>
          </w:tcPr>
          <w:p w14:paraId="79AD34C2" w14:textId="58F5B0D0" w:rsidR="00A95C32" w:rsidRDefault="00A95C32" w:rsidP="00D40D39">
            <w:pPr>
              <w:pStyle w:val="Tabletext"/>
              <w:jc w:val="right"/>
              <w:rPr>
                <w:b/>
              </w:rPr>
            </w:pPr>
          </w:p>
        </w:tc>
      </w:tr>
      <w:tr w:rsidR="004D4BB7" w14:paraId="4182DE81" w14:textId="77777777" w:rsidTr="004D4BB7">
        <w:tc>
          <w:tcPr>
            <w:tcW w:w="3686" w:type="dxa"/>
            <w:vAlign w:val="bottom"/>
          </w:tcPr>
          <w:p w14:paraId="6BFBE8DA" w14:textId="77777777" w:rsidR="00A95C32" w:rsidRDefault="00A95C32" w:rsidP="00DF238A">
            <w:pPr>
              <w:pStyle w:val="Tabletext"/>
            </w:pPr>
            <w:r>
              <w:t>South Moreton Bay (</w:t>
            </w:r>
            <w:r w:rsidRPr="00A73371">
              <w:rPr>
                <w:rStyle w:val="Emphasis"/>
              </w:rPr>
              <w:t>Tom Marshall</w:t>
            </w:r>
            <w:r>
              <w:t>)</w:t>
            </w:r>
          </w:p>
        </w:tc>
        <w:tc>
          <w:tcPr>
            <w:tcW w:w="1097" w:type="dxa"/>
            <w:vAlign w:val="bottom"/>
          </w:tcPr>
          <w:p w14:paraId="3A20D427" w14:textId="4570DFC4" w:rsidR="00A95C32" w:rsidRDefault="00A95C32">
            <w:pPr>
              <w:pStyle w:val="Tabletext"/>
              <w:jc w:val="right"/>
            </w:pPr>
            <w:r>
              <w:t>1,391</w:t>
            </w:r>
          </w:p>
        </w:tc>
        <w:tc>
          <w:tcPr>
            <w:tcW w:w="1524" w:type="dxa"/>
            <w:vAlign w:val="bottom"/>
          </w:tcPr>
          <w:p w14:paraId="1877B7CF" w14:textId="77777777" w:rsidR="00A95C32" w:rsidRDefault="00A95C32">
            <w:pPr>
              <w:pStyle w:val="Tabletext"/>
              <w:jc w:val="right"/>
            </w:pPr>
            <w:r>
              <w:t>89</w:t>
            </w:r>
          </w:p>
        </w:tc>
        <w:tc>
          <w:tcPr>
            <w:tcW w:w="1064" w:type="dxa"/>
            <w:vAlign w:val="bottom"/>
          </w:tcPr>
          <w:p w14:paraId="43D3394B" w14:textId="648CF374" w:rsidR="00A95C32" w:rsidRDefault="00A95C32">
            <w:pPr>
              <w:pStyle w:val="Tabletext"/>
              <w:jc w:val="right"/>
            </w:pPr>
            <w:r>
              <w:t>1,480</w:t>
            </w:r>
          </w:p>
        </w:tc>
        <w:tc>
          <w:tcPr>
            <w:tcW w:w="1984" w:type="dxa"/>
            <w:vAlign w:val="bottom"/>
          </w:tcPr>
          <w:p w14:paraId="2865B686" w14:textId="48B87115" w:rsidR="00A95C32" w:rsidRDefault="00A95C32" w:rsidP="00D40D39">
            <w:pPr>
              <w:pStyle w:val="Tabletext"/>
              <w:jc w:val="right"/>
            </w:pPr>
            <w:r>
              <w:t>Negative</w:t>
            </w:r>
          </w:p>
        </w:tc>
      </w:tr>
      <w:tr w:rsidR="004D4BB7" w14:paraId="451AF8F4" w14:textId="77777777" w:rsidTr="004D4BB7">
        <w:tc>
          <w:tcPr>
            <w:tcW w:w="3686" w:type="dxa"/>
            <w:vAlign w:val="bottom"/>
          </w:tcPr>
          <w:p w14:paraId="549EE530" w14:textId="6E3F631A" w:rsidR="00A95C32" w:rsidRDefault="00A95C32" w:rsidP="00DF238A">
            <w:pPr>
              <w:pStyle w:val="Tabletext"/>
            </w:pPr>
            <w:r>
              <w:t>North Moreton Bay (</w:t>
            </w:r>
            <w:r w:rsidRPr="00A73371">
              <w:rPr>
                <w:rStyle w:val="Emphasis"/>
              </w:rPr>
              <w:t>Tom Marshall</w:t>
            </w:r>
            <w:r>
              <w:t>)</w:t>
            </w:r>
            <w:r w:rsidRPr="00A81D4B">
              <w:rPr>
                <w:vertAlign w:val="superscript"/>
              </w:rPr>
              <w:t>b</w:t>
            </w:r>
          </w:p>
        </w:tc>
        <w:tc>
          <w:tcPr>
            <w:tcW w:w="1097" w:type="dxa"/>
            <w:vAlign w:val="bottom"/>
          </w:tcPr>
          <w:p w14:paraId="6ECB329C" w14:textId="1078508A" w:rsidR="00A95C32" w:rsidRDefault="00A95C32">
            <w:pPr>
              <w:pStyle w:val="Tabletext"/>
              <w:jc w:val="right"/>
            </w:pPr>
            <w:r>
              <w:t>2,052</w:t>
            </w:r>
          </w:p>
        </w:tc>
        <w:tc>
          <w:tcPr>
            <w:tcW w:w="1524" w:type="dxa"/>
            <w:vAlign w:val="bottom"/>
          </w:tcPr>
          <w:p w14:paraId="04617227" w14:textId="77777777" w:rsidR="00A95C32" w:rsidRDefault="00A95C32">
            <w:pPr>
              <w:pStyle w:val="Tabletext"/>
              <w:jc w:val="right"/>
            </w:pPr>
            <w:r>
              <w:t>1,107</w:t>
            </w:r>
          </w:p>
        </w:tc>
        <w:tc>
          <w:tcPr>
            <w:tcW w:w="1064" w:type="dxa"/>
            <w:vAlign w:val="bottom"/>
          </w:tcPr>
          <w:p w14:paraId="2964EFCD" w14:textId="0E648575" w:rsidR="00A95C32" w:rsidRDefault="00A95C32">
            <w:pPr>
              <w:pStyle w:val="Tabletext"/>
              <w:jc w:val="right"/>
            </w:pPr>
            <w:r>
              <w:t>3,159</w:t>
            </w:r>
          </w:p>
        </w:tc>
        <w:tc>
          <w:tcPr>
            <w:tcW w:w="1984" w:type="dxa"/>
            <w:vAlign w:val="bottom"/>
          </w:tcPr>
          <w:p w14:paraId="6E2FEF54" w14:textId="381CA842" w:rsidR="00A95C32" w:rsidRDefault="00A95C32" w:rsidP="00D40D39">
            <w:pPr>
              <w:pStyle w:val="Tabletext"/>
              <w:jc w:val="right"/>
            </w:pPr>
            <w:r>
              <w:t>Positive</w:t>
            </w:r>
          </w:p>
        </w:tc>
      </w:tr>
      <w:tr w:rsidR="004D4BB7" w14:paraId="1ADB74F7" w14:textId="77777777" w:rsidTr="004D4BB7">
        <w:tc>
          <w:tcPr>
            <w:tcW w:w="3686" w:type="dxa"/>
            <w:vAlign w:val="bottom"/>
          </w:tcPr>
          <w:p w14:paraId="36CD8002" w14:textId="77777777" w:rsidR="00A95C32" w:rsidRDefault="00A95C32" w:rsidP="00DF238A">
            <w:pPr>
              <w:pStyle w:val="Tabletext"/>
            </w:pPr>
            <w:r>
              <w:t>Sandy Creek (near Logan River)</w:t>
            </w:r>
          </w:p>
        </w:tc>
        <w:tc>
          <w:tcPr>
            <w:tcW w:w="1097" w:type="dxa"/>
            <w:vAlign w:val="bottom"/>
          </w:tcPr>
          <w:p w14:paraId="04B49EA1" w14:textId="77777777" w:rsidR="00A95C32" w:rsidRDefault="00A95C32">
            <w:pPr>
              <w:pStyle w:val="Tabletext"/>
              <w:jc w:val="right"/>
            </w:pPr>
            <w:r>
              <w:t>51</w:t>
            </w:r>
          </w:p>
        </w:tc>
        <w:tc>
          <w:tcPr>
            <w:tcW w:w="1524" w:type="dxa"/>
            <w:vAlign w:val="bottom"/>
          </w:tcPr>
          <w:p w14:paraId="2036280F" w14:textId="77777777" w:rsidR="00A95C32" w:rsidRDefault="00A95C32">
            <w:pPr>
              <w:pStyle w:val="Tabletext"/>
              <w:jc w:val="right"/>
            </w:pPr>
            <w:r>
              <w:t>20</w:t>
            </w:r>
          </w:p>
        </w:tc>
        <w:tc>
          <w:tcPr>
            <w:tcW w:w="1064" w:type="dxa"/>
            <w:vAlign w:val="bottom"/>
          </w:tcPr>
          <w:p w14:paraId="58AB894F" w14:textId="41608497" w:rsidR="00A95C32" w:rsidRDefault="00A95C32">
            <w:pPr>
              <w:pStyle w:val="Tabletext"/>
              <w:jc w:val="right"/>
            </w:pPr>
            <w:r>
              <w:t>71</w:t>
            </w:r>
          </w:p>
        </w:tc>
        <w:tc>
          <w:tcPr>
            <w:tcW w:w="1984" w:type="dxa"/>
            <w:vAlign w:val="bottom"/>
          </w:tcPr>
          <w:p w14:paraId="75B401B2" w14:textId="3E6FAAD8" w:rsidR="00A95C32" w:rsidRDefault="00A95C32" w:rsidP="00D40D39">
            <w:pPr>
              <w:pStyle w:val="Tabletext"/>
              <w:jc w:val="right"/>
            </w:pPr>
            <w:r>
              <w:t>Negative</w:t>
            </w:r>
          </w:p>
        </w:tc>
      </w:tr>
      <w:tr w:rsidR="004D4BB7" w14:paraId="19F8B4DD" w14:textId="77777777" w:rsidTr="004D4BB7">
        <w:tc>
          <w:tcPr>
            <w:tcW w:w="3686" w:type="dxa"/>
            <w:vAlign w:val="bottom"/>
          </w:tcPr>
          <w:p w14:paraId="7022F128" w14:textId="77777777" w:rsidR="00A95C32" w:rsidRDefault="00A95C32" w:rsidP="00DF238A">
            <w:pPr>
              <w:pStyle w:val="Tabletext"/>
            </w:pPr>
            <w:r>
              <w:t>Jacobs Well foreshore</w:t>
            </w:r>
          </w:p>
        </w:tc>
        <w:tc>
          <w:tcPr>
            <w:tcW w:w="1097" w:type="dxa"/>
            <w:vAlign w:val="bottom"/>
          </w:tcPr>
          <w:p w14:paraId="078A8C09" w14:textId="77777777" w:rsidR="00A95C32" w:rsidRDefault="00A95C32">
            <w:pPr>
              <w:pStyle w:val="Tabletext"/>
              <w:jc w:val="right"/>
            </w:pPr>
            <w:r>
              <w:t>0</w:t>
            </w:r>
          </w:p>
        </w:tc>
        <w:tc>
          <w:tcPr>
            <w:tcW w:w="1524" w:type="dxa"/>
            <w:vAlign w:val="bottom"/>
          </w:tcPr>
          <w:p w14:paraId="692AFC86" w14:textId="77777777" w:rsidR="00A95C32" w:rsidRDefault="00A95C32">
            <w:pPr>
              <w:pStyle w:val="Tabletext"/>
              <w:jc w:val="right"/>
            </w:pPr>
            <w:r>
              <w:t>3</w:t>
            </w:r>
          </w:p>
        </w:tc>
        <w:tc>
          <w:tcPr>
            <w:tcW w:w="1064" w:type="dxa"/>
            <w:vAlign w:val="bottom"/>
          </w:tcPr>
          <w:p w14:paraId="312696EB" w14:textId="2ECB5957" w:rsidR="00A95C32" w:rsidRDefault="00A95C32">
            <w:pPr>
              <w:pStyle w:val="Tabletext"/>
              <w:jc w:val="right"/>
            </w:pPr>
            <w:r>
              <w:t>3</w:t>
            </w:r>
          </w:p>
        </w:tc>
        <w:tc>
          <w:tcPr>
            <w:tcW w:w="1984" w:type="dxa"/>
            <w:vAlign w:val="bottom"/>
          </w:tcPr>
          <w:p w14:paraId="6AA1766D" w14:textId="430C5ABB" w:rsidR="00A95C32" w:rsidRDefault="00A95C32" w:rsidP="00D40D39">
            <w:pPr>
              <w:pStyle w:val="Tabletext"/>
              <w:jc w:val="right"/>
            </w:pPr>
            <w:r>
              <w:t>Negative</w:t>
            </w:r>
          </w:p>
        </w:tc>
      </w:tr>
      <w:tr w:rsidR="004D4BB7" w14:paraId="19FBDFDB" w14:textId="77777777" w:rsidTr="004D4BB7">
        <w:tc>
          <w:tcPr>
            <w:tcW w:w="3686" w:type="dxa"/>
            <w:vAlign w:val="bottom"/>
          </w:tcPr>
          <w:p w14:paraId="753F450B" w14:textId="77777777" w:rsidR="00A95C32" w:rsidRDefault="00A95C32" w:rsidP="00DF238A">
            <w:pPr>
              <w:pStyle w:val="Tabletext"/>
            </w:pPr>
            <w:r>
              <w:t>Pine River (commercial)</w:t>
            </w:r>
          </w:p>
        </w:tc>
        <w:tc>
          <w:tcPr>
            <w:tcW w:w="1097" w:type="dxa"/>
            <w:vAlign w:val="bottom"/>
          </w:tcPr>
          <w:p w14:paraId="1748B122" w14:textId="77777777" w:rsidR="00A95C32" w:rsidRDefault="00A95C32">
            <w:pPr>
              <w:pStyle w:val="Tabletext"/>
              <w:jc w:val="right"/>
            </w:pPr>
            <w:r>
              <w:t>526</w:t>
            </w:r>
          </w:p>
        </w:tc>
        <w:tc>
          <w:tcPr>
            <w:tcW w:w="1524" w:type="dxa"/>
            <w:vAlign w:val="bottom"/>
          </w:tcPr>
          <w:p w14:paraId="5AC01BD3" w14:textId="77777777" w:rsidR="00A95C32" w:rsidRDefault="00A95C32">
            <w:pPr>
              <w:pStyle w:val="Tabletext"/>
              <w:jc w:val="right"/>
            </w:pPr>
            <w:r>
              <w:t>0</w:t>
            </w:r>
          </w:p>
        </w:tc>
        <w:tc>
          <w:tcPr>
            <w:tcW w:w="1064" w:type="dxa"/>
            <w:vAlign w:val="bottom"/>
          </w:tcPr>
          <w:p w14:paraId="16F84984" w14:textId="4A2F3932" w:rsidR="00A95C32" w:rsidRDefault="00A95C32">
            <w:pPr>
              <w:pStyle w:val="Tabletext"/>
              <w:jc w:val="right"/>
            </w:pPr>
            <w:r>
              <w:t>526</w:t>
            </w:r>
          </w:p>
        </w:tc>
        <w:tc>
          <w:tcPr>
            <w:tcW w:w="1984" w:type="dxa"/>
            <w:vAlign w:val="bottom"/>
          </w:tcPr>
          <w:p w14:paraId="4183E8A0" w14:textId="798C4254" w:rsidR="00A95C32" w:rsidRDefault="00A95C32" w:rsidP="00D40D39">
            <w:pPr>
              <w:pStyle w:val="Tabletext"/>
              <w:jc w:val="right"/>
            </w:pPr>
            <w:r>
              <w:t>Negative</w:t>
            </w:r>
          </w:p>
        </w:tc>
      </w:tr>
      <w:tr w:rsidR="004D4BB7" w14:paraId="7FFB5180" w14:textId="77777777" w:rsidTr="004D4BB7">
        <w:tc>
          <w:tcPr>
            <w:tcW w:w="3686" w:type="dxa"/>
            <w:vAlign w:val="bottom"/>
          </w:tcPr>
          <w:p w14:paraId="6EC78689" w14:textId="10C9C918" w:rsidR="00A95C32" w:rsidRDefault="00A95C32" w:rsidP="00DF238A">
            <w:pPr>
              <w:pStyle w:val="Tabletext"/>
            </w:pPr>
            <w:r>
              <w:t>Brisbane River (commercial)</w:t>
            </w:r>
            <w:r w:rsidRPr="00A81D4B">
              <w:rPr>
                <w:vertAlign w:val="superscript"/>
              </w:rPr>
              <w:t>b</w:t>
            </w:r>
          </w:p>
        </w:tc>
        <w:tc>
          <w:tcPr>
            <w:tcW w:w="1097" w:type="dxa"/>
            <w:vAlign w:val="bottom"/>
          </w:tcPr>
          <w:p w14:paraId="77811586" w14:textId="5FC915F5" w:rsidR="00A95C32" w:rsidRDefault="00A95C32">
            <w:pPr>
              <w:pStyle w:val="Tabletext"/>
              <w:jc w:val="right"/>
            </w:pPr>
            <w:r>
              <w:t>1,320</w:t>
            </w:r>
          </w:p>
        </w:tc>
        <w:tc>
          <w:tcPr>
            <w:tcW w:w="1524" w:type="dxa"/>
            <w:vAlign w:val="bottom"/>
          </w:tcPr>
          <w:p w14:paraId="2E23BB47" w14:textId="77777777" w:rsidR="00A95C32" w:rsidRDefault="00A95C32">
            <w:pPr>
              <w:pStyle w:val="Tabletext"/>
              <w:jc w:val="right"/>
            </w:pPr>
            <w:r>
              <w:t>3</w:t>
            </w:r>
          </w:p>
        </w:tc>
        <w:tc>
          <w:tcPr>
            <w:tcW w:w="1064" w:type="dxa"/>
            <w:vAlign w:val="bottom"/>
          </w:tcPr>
          <w:p w14:paraId="2BD4678A" w14:textId="10B1FDCC" w:rsidR="00A95C32" w:rsidRDefault="00A95C32">
            <w:pPr>
              <w:pStyle w:val="Tabletext"/>
              <w:jc w:val="right"/>
            </w:pPr>
            <w:r>
              <w:t>1,323</w:t>
            </w:r>
          </w:p>
        </w:tc>
        <w:tc>
          <w:tcPr>
            <w:tcW w:w="1984" w:type="dxa"/>
            <w:vAlign w:val="bottom"/>
          </w:tcPr>
          <w:p w14:paraId="5A27FF9E" w14:textId="14D997B0" w:rsidR="00A95C32" w:rsidRDefault="00A95C32" w:rsidP="00D40D39">
            <w:pPr>
              <w:pStyle w:val="Tabletext"/>
              <w:jc w:val="right"/>
            </w:pPr>
            <w:r>
              <w:t>Positive</w:t>
            </w:r>
          </w:p>
        </w:tc>
      </w:tr>
      <w:tr w:rsidR="004D4BB7" w14:paraId="23F0BC0F" w14:textId="77777777" w:rsidTr="004D4BB7">
        <w:tc>
          <w:tcPr>
            <w:tcW w:w="3686" w:type="dxa"/>
            <w:vAlign w:val="bottom"/>
          </w:tcPr>
          <w:p w14:paraId="67729CF9" w14:textId="28345FE2" w:rsidR="00A95C32" w:rsidRDefault="00A95C32" w:rsidP="00DF238A">
            <w:pPr>
              <w:pStyle w:val="Tabletext"/>
            </w:pPr>
            <w:r>
              <w:t>Moreton Bay (commercial)</w:t>
            </w:r>
            <w:r w:rsidRPr="00A81D4B">
              <w:rPr>
                <w:vertAlign w:val="superscript"/>
              </w:rPr>
              <w:t>b</w:t>
            </w:r>
          </w:p>
        </w:tc>
        <w:tc>
          <w:tcPr>
            <w:tcW w:w="1097" w:type="dxa"/>
            <w:vAlign w:val="bottom"/>
          </w:tcPr>
          <w:p w14:paraId="32FCF7DD" w14:textId="2F7D5446" w:rsidR="00A95C32" w:rsidRDefault="00A95C32">
            <w:pPr>
              <w:pStyle w:val="Tabletext"/>
              <w:jc w:val="right"/>
            </w:pPr>
            <w:r>
              <w:t>1,135</w:t>
            </w:r>
          </w:p>
        </w:tc>
        <w:tc>
          <w:tcPr>
            <w:tcW w:w="1524" w:type="dxa"/>
            <w:vAlign w:val="bottom"/>
          </w:tcPr>
          <w:p w14:paraId="2DBDB958" w14:textId="77777777" w:rsidR="00A95C32" w:rsidRDefault="00A95C32">
            <w:pPr>
              <w:pStyle w:val="Tabletext"/>
              <w:jc w:val="right"/>
            </w:pPr>
            <w:r>
              <w:t>29</w:t>
            </w:r>
          </w:p>
        </w:tc>
        <w:tc>
          <w:tcPr>
            <w:tcW w:w="1064" w:type="dxa"/>
            <w:vAlign w:val="bottom"/>
          </w:tcPr>
          <w:p w14:paraId="627C3990" w14:textId="17622B4B" w:rsidR="00A95C32" w:rsidRDefault="00A95C32">
            <w:pPr>
              <w:pStyle w:val="Tabletext"/>
              <w:jc w:val="right"/>
            </w:pPr>
            <w:r>
              <w:t>1,164</w:t>
            </w:r>
          </w:p>
        </w:tc>
        <w:tc>
          <w:tcPr>
            <w:tcW w:w="1984" w:type="dxa"/>
            <w:vAlign w:val="bottom"/>
          </w:tcPr>
          <w:p w14:paraId="752636CB" w14:textId="7A9D087C" w:rsidR="00A95C32" w:rsidRDefault="00A95C32" w:rsidP="00D40D39">
            <w:pPr>
              <w:pStyle w:val="Tabletext"/>
              <w:jc w:val="right"/>
            </w:pPr>
            <w:r>
              <w:t>Positive</w:t>
            </w:r>
          </w:p>
        </w:tc>
      </w:tr>
      <w:tr w:rsidR="004D4BB7" w14:paraId="70BD16C2" w14:textId="77777777" w:rsidTr="004D4BB7">
        <w:tc>
          <w:tcPr>
            <w:tcW w:w="3686" w:type="dxa"/>
            <w:vAlign w:val="bottom"/>
          </w:tcPr>
          <w:p w14:paraId="656B3F73" w14:textId="7C4F237C" w:rsidR="00A95C32" w:rsidRDefault="00A95C32" w:rsidP="00DF238A">
            <w:pPr>
              <w:pStyle w:val="Tabletext"/>
            </w:pPr>
            <w:r>
              <w:t>Deception Bay (commercial)</w:t>
            </w:r>
            <w:r w:rsidRPr="00A81D4B">
              <w:rPr>
                <w:vertAlign w:val="superscript"/>
              </w:rPr>
              <w:t>b</w:t>
            </w:r>
          </w:p>
        </w:tc>
        <w:tc>
          <w:tcPr>
            <w:tcW w:w="1097" w:type="dxa"/>
            <w:vAlign w:val="bottom"/>
          </w:tcPr>
          <w:p w14:paraId="5E6DFADD" w14:textId="77777777" w:rsidR="00A95C32" w:rsidRDefault="00A95C32">
            <w:pPr>
              <w:pStyle w:val="Tabletext"/>
              <w:jc w:val="right"/>
            </w:pPr>
            <w:r>
              <w:t>812</w:t>
            </w:r>
          </w:p>
        </w:tc>
        <w:tc>
          <w:tcPr>
            <w:tcW w:w="1524" w:type="dxa"/>
            <w:vAlign w:val="bottom"/>
          </w:tcPr>
          <w:p w14:paraId="3C3DD331" w14:textId="77777777" w:rsidR="00A95C32" w:rsidRDefault="00A95C32">
            <w:pPr>
              <w:pStyle w:val="Tabletext"/>
              <w:jc w:val="right"/>
            </w:pPr>
            <w:r>
              <w:t>3</w:t>
            </w:r>
          </w:p>
        </w:tc>
        <w:tc>
          <w:tcPr>
            <w:tcW w:w="1064" w:type="dxa"/>
            <w:vAlign w:val="bottom"/>
          </w:tcPr>
          <w:p w14:paraId="2ADBCFA6" w14:textId="2C2387DB" w:rsidR="00A95C32" w:rsidRDefault="00A95C32">
            <w:pPr>
              <w:pStyle w:val="Tabletext"/>
              <w:jc w:val="right"/>
            </w:pPr>
            <w:r>
              <w:t>815</w:t>
            </w:r>
          </w:p>
        </w:tc>
        <w:tc>
          <w:tcPr>
            <w:tcW w:w="1984" w:type="dxa"/>
            <w:vAlign w:val="bottom"/>
          </w:tcPr>
          <w:p w14:paraId="6775387D" w14:textId="755B7D2C" w:rsidR="00A95C32" w:rsidRDefault="00A95C32" w:rsidP="00D40D39">
            <w:pPr>
              <w:pStyle w:val="Tabletext"/>
              <w:jc w:val="right"/>
            </w:pPr>
            <w:r>
              <w:t>Positive</w:t>
            </w:r>
          </w:p>
        </w:tc>
      </w:tr>
      <w:tr w:rsidR="00A95C32" w14:paraId="3D15344F" w14:textId="77777777" w:rsidTr="00A81D4B">
        <w:tc>
          <w:tcPr>
            <w:tcW w:w="3686" w:type="dxa"/>
          </w:tcPr>
          <w:p w14:paraId="33845C9F" w14:textId="4E5C330B" w:rsidR="00A95C32" w:rsidRDefault="00A95C32" w:rsidP="00DF238A">
            <w:pPr>
              <w:pStyle w:val="Tabletext"/>
              <w:rPr>
                <w:b/>
              </w:rPr>
            </w:pPr>
            <w:r>
              <w:rPr>
                <w:b/>
              </w:rPr>
              <w:t>Extended east coast wild surveillance</w:t>
            </w:r>
          </w:p>
        </w:tc>
        <w:tc>
          <w:tcPr>
            <w:tcW w:w="5669" w:type="dxa"/>
            <w:gridSpan w:val="4"/>
            <w:vAlign w:val="bottom"/>
          </w:tcPr>
          <w:p w14:paraId="211EFE79" w14:textId="6A1FAB75" w:rsidR="00A95C32" w:rsidRDefault="00A95C32" w:rsidP="00D40D39">
            <w:pPr>
              <w:pStyle w:val="Tabletext"/>
              <w:jc w:val="right"/>
              <w:rPr>
                <w:b/>
              </w:rPr>
            </w:pPr>
          </w:p>
        </w:tc>
      </w:tr>
      <w:tr w:rsidR="004D4BB7" w14:paraId="200D6992" w14:textId="77777777" w:rsidTr="004D4BB7">
        <w:tc>
          <w:tcPr>
            <w:tcW w:w="3686" w:type="dxa"/>
            <w:vAlign w:val="bottom"/>
          </w:tcPr>
          <w:p w14:paraId="7184980F" w14:textId="77777777" w:rsidR="00A95C32" w:rsidRDefault="00A95C32" w:rsidP="00DF238A">
            <w:pPr>
              <w:pStyle w:val="Tabletext"/>
            </w:pPr>
            <w:r>
              <w:t>Bundaberg (commercial)</w:t>
            </w:r>
          </w:p>
        </w:tc>
        <w:tc>
          <w:tcPr>
            <w:tcW w:w="1097" w:type="dxa"/>
            <w:vAlign w:val="bottom"/>
          </w:tcPr>
          <w:p w14:paraId="06CA5DBB" w14:textId="77777777" w:rsidR="00A95C32" w:rsidRDefault="00A95C32">
            <w:pPr>
              <w:pStyle w:val="Tabletext"/>
              <w:jc w:val="right"/>
            </w:pPr>
            <w:r>
              <w:t>490</w:t>
            </w:r>
          </w:p>
        </w:tc>
        <w:tc>
          <w:tcPr>
            <w:tcW w:w="1524" w:type="dxa"/>
            <w:vAlign w:val="bottom"/>
          </w:tcPr>
          <w:p w14:paraId="1C7A802A" w14:textId="77777777" w:rsidR="00A95C32" w:rsidRDefault="00A95C32">
            <w:pPr>
              <w:pStyle w:val="Tabletext"/>
              <w:jc w:val="right"/>
            </w:pPr>
            <w:r>
              <w:t>0</w:t>
            </w:r>
          </w:p>
        </w:tc>
        <w:tc>
          <w:tcPr>
            <w:tcW w:w="1064" w:type="dxa"/>
            <w:vAlign w:val="bottom"/>
          </w:tcPr>
          <w:p w14:paraId="22938BB3" w14:textId="5C018B9B" w:rsidR="00A95C32" w:rsidRDefault="00A95C32">
            <w:pPr>
              <w:pStyle w:val="Tabletext"/>
              <w:jc w:val="right"/>
            </w:pPr>
            <w:r>
              <w:t>490</w:t>
            </w:r>
          </w:p>
        </w:tc>
        <w:tc>
          <w:tcPr>
            <w:tcW w:w="1984" w:type="dxa"/>
          </w:tcPr>
          <w:p w14:paraId="3598B62A" w14:textId="4ED4999F" w:rsidR="00A95C32" w:rsidRDefault="00A95C32" w:rsidP="00D40D39">
            <w:pPr>
              <w:pStyle w:val="Tabletext"/>
              <w:jc w:val="right"/>
            </w:pPr>
            <w:r>
              <w:t>Negative</w:t>
            </w:r>
          </w:p>
        </w:tc>
      </w:tr>
      <w:tr w:rsidR="004D4BB7" w14:paraId="6D54BBD9" w14:textId="77777777" w:rsidTr="004D4BB7">
        <w:tc>
          <w:tcPr>
            <w:tcW w:w="3686" w:type="dxa"/>
            <w:vAlign w:val="bottom"/>
          </w:tcPr>
          <w:p w14:paraId="3D97C85A" w14:textId="77777777" w:rsidR="00A95C32" w:rsidRDefault="00A95C32" w:rsidP="00DF238A">
            <w:pPr>
              <w:pStyle w:val="Tabletext"/>
            </w:pPr>
            <w:r>
              <w:t>Cairns (commercial and recreational)</w:t>
            </w:r>
          </w:p>
        </w:tc>
        <w:tc>
          <w:tcPr>
            <w:tcW w:w="1097" w:type="dxa"/>
            <w:vAlign w:val="bottom"/>
          </w:tcPr>
          <w:p w14:paraId="02EDF506" w14:textId="77777777" w:rsidR="00A95C32" w:rsidRDefault="00A95C32">
            <w:pPr>
              <w:pStyle w:val="Tabletext"/>
              <w:jc w:val="right"/>
            </w:pPr>
            <w:r>
              <w:t>399</w:t>
            </w:r>
          </w:p>
        </w:tc>
        <w:tc>
          <w:tcPr>
            <w:tcW w:w="1524" w:type="dxa"/>
            <w:vAlign w:val="bottom"/>
          </w:tcPr>
          <w:p w14:paraId="7DDD8FDD" w14:textId="77777777" w:rsidR="00A95C32" w:rsidRDefault="00A95C32">
            <w:pPr>
              <w:pStyle w:val="Tabletext"/>
              <w:jc w:val="right"/>
            </w:pPr>
            <w:r>
              <w:t>0</w:t>
            </w:r>
          </w:p>
        </w:tc>
        <w:tc>
          <w:tcPr>
            <w:tcW w:w="1064" w:type="dxa"/>
            <w:vAlign w:val="bottom"/>
          </w:tcPr>
          <w:p w14:paraId="37E50354" w14:textId="4255ACEC" w:rsidR="00A95C32" w:rsidRDefault="00A95C32">
            <w:pPr>
              <w:pStyle w:val="Tabletext"/>
              <w:jc w:val="right"/>
            </w:pPr>
            <w:r>
              <w:t>399</w:t>
            </w:r>
          </w:p>
        </w:tc>
        <w:tc>
          <w:tcPr>
            <w:tcW w:w="1984" w:type="dxa"/>
          </w:tcPr>
          <w:p w14:paraId="650A304A" w14:textId="4D16552F" w:rsidR="00A95C32" w:rsidRDefault="00A95C32" w:rsidP="00D40D39">
            <w:pPr>
              <w:pStyle w:val="Tabletext"/>
              <w:jc w:val="right"/>
            </w:pPr>
            <w:r>
              <w:t>Negative</w:t>
            </w:r>
          </w:p>
        </w:tc>
      </w:tr>
      <w:tr w:rsidR="004D4BB7" w14:paraId="6C3B57CD" w14:textId="77777777" w:rsidTr="004D4BB7">
        <w:tc>
          <w:tcPr>
            <w:tcW w:w="3686" w:type="dxa"/>
            <w:vAlign w:val="bottom"/>
          </w:tcPr>
          <w:p w14:paraId="66B76B0A" w14:textId="77777777" w:rsidR="00A95C32" w:rsidRDefault="00A95C32" w:rsidP="00DF238A">
            <w:pPr>
              <w:pStyle w:val="Tabletext"/>
            </w:pPr>
            <w:r>
              <w:t>Tin Can Bay (commercial)</w:t>
            </w:r>
          </w:p>
        </w:tc>
        <w:tc>
          <w:tcPr>
            <w:tcW w:w="1097" w:type="dxa"/>
            <w:vAlign w:val="bottom"/>
          </w:tcPr>
          <w:p w14:paraId="25925E8A" w14:textId="77777777" w:rsidR="00A95C32" w:rsidRDefault="00A95C32">
            <w:pPr>
              <w:pStyle w:val="Tabletext"/>
              <w:jc w:val="right"/>
            </w:pPr>
            <w:r>
              <w:t>554</w:t>
            </w:r>
          </w:p>
        </w:tc>
        <w:tc>
          <w:tcPr>
            <w:tcW w:w="1524" w:type="dxa"/>
            <w:vAlign w:val="bottom"/>
          </w:tcPr>
          <w:p w14:paraId="7B4189EE" w14:textId="77777777" w:rsidR="00A95C32" w:rsidRDefault="00A95C32">
            <w:pPr>
              <w:pStyle w:val="Tabletext"/>
              <w:jc w:val="right"/>
            </w:pPr>
            <w:r>
              <w:t>1</w:t>
            </w:r>
          </w:p>
        </w:tc>
        <w:tc>
          <w:tcPr>
            <w:tcW w:w="1064" w:type="dxa"/>
            <w:vAlign w:val="bottom"/>
          </w:tcPr>
          <w:p w14:paraId="1C555956" w14:textId="6BD7BDFC" w:rsidR="00A95C32" w:rsidRDefault="00A95C32">
            <w:pPr>
              <w:pStyle w:val="Tabletext"/>
              <w:jc w:val="right"/>
            </w:pPr>
            <w:r>
              <w:t>555</w:t>
            </w:r>
          </w:p>
        </w:tc>
        <w:tc>
          <w:tcPr>
            <w:tcW w:w="1984" w:type="dxa"/>
          </w:tcPr>
          <w:p w14:paraId="2B5D65B5" w14:textId="6CCEBF8B" w:rsidR="00A95C32" w:rsidRDefault="00A95C32" w:rsidP="00D40D39">
            <w:pPr>
              <w:pStyle w:val="Tabletext"/>
              <w:jc w:val="right"/>
            </w:pPr>
            <w:r>
              <w:t>Negative</w:t>
            </w:r>
          </w:p>
        </w:tc>
      </w:tr>
      <w:tr w:rsidR="004D4BB7" w14:paraId="33A472E1" w14:textId="77777777" w:rsidTr="004D4BB7">
        <w:tc>
          <w:tcPr>
            <w:tcW w:w="3686" w:type="dxa"/>
            <w:vAlign w:val="bottom"/>
          </w:tcPr>
          <w:p w14:paraId="3BA44763" w14:textId="77777777" w:rsidR="00A95C32" w:rsidRDefault="00A95C32" w:rsidP="00DF238A">
            <w:pPr>
              <w:pStyle w:val="Tabletext"/>
            </w:pPr>
            <w:r>
              <w:t>Gladstone (commercial)</w:t>
            </w:r>
          </w:p>
        </w:tc>
        <w:tc>
          <w:tcPr>
            <w:tcW w:w="1097" w:type="dxa"/>
            <w:vAlign w:val="bottom"/>
          </w:tcPr>
          <w:p w14:paraId="28537ACE" w14:textId="77777777" w:rsidR="00A95C32" w:rsidRDefault="00A95C32">
            <w:pPr>
              <w:pStyle w:val="Tabletext"/>
              <w:jc w:val="right"/>
            </w:pPr>
            <w:r>
              <w:t>262</w:t>
            </w:r>
          </w:p>
        </w:tc>
        <w:tc>
          <w:tcPr>
            <w:tcW w:w="1524" w:type="dxa"/>
            <w:vAlign w:val="bottom"/>
          </w:tcPr>
          <w:p w14:paraId="259B0282" w14:textId="77777777" w:rsidR="00A95C32" w:rsidRDefault="00A95C32">
            <w:pPr>
              <w:pStyle w:val="Tabletext"/>
              <w:jc w:val="right"/>
            </w:pPr>
            <w:r>
              <w:t>0</w:t>
            </w:r>
          </w:p>
        </w:tc>
        <w:tc>
          <w:tcPr>
            <w:tcW w:w="1064" w:type="dxa"/>
            <w:vAlign w:val="bottom"/>
          </w:tcPr>
          <w:p w14:paraId="46BC0E9E" w14:textId="4EA06E19" w:rsidR="00A95C32" w:rsidRDefault="00A95C32">
            <w:pPr>
              <w:pStyle w:val="Tabletext"/>
              <w:jc w:val="right"/>
            </w:pPr>
            <w:r>
              <w:t>262</w:t>
            </w:r>
          </w:p>
        </w:tc>
        <w:tc>
          <w:tcPr>
            <w:tcW w:w="1984" w:type="dxa"/>
          </w:tcPr>
          <w:p w14:paraId="40BE2F53" w14:textId="52971EAC" w:rsidR="00A95C32" w:rsidRDefault="00A95C32" w:rsidP="00D40D39">
            <w:pPr>
              <w:pStyle w:val="Tabletext"/>
              <w:jc w:val="right"/>
            </w:pPr>
            <w:r>
              <w:t>Negative</w:t>
            </w:r>
          </w:p>
        </w:tc>
      </w:tr>
      <w:tr w:rsidR="004D4BB7" w14:paraId="50C23354" w14:textId="77777777" w:rsidTr="004D4BB7">
        <w:tc>
          <w:tcPr>
            <w:tcW w:w="3686" w:type="dxa"/>
            <w:vAlign w:val="bottom"/>
          </w:tcPr>
          <w:p w14:paraId="46D7EDB7" w14:textId="77777777" w:rsidR="00A95C32" w:rsidRDefault="00A95C32" w:rsidP="00DF238A">
            <w:pPr>
              <w:pStyle w:val="Tabletext"/>
            </w:pPr>
            <w:r>
              <w:t>Bowen</w:t>
            </w:r>
          </w:p>
        </w:tc>
        <w:tc>
          <w:tcPr>
            <w:tcW w:w="1097" w:type="dxa"/>
            <w:vAlign w:val="bottom"/>
          </w:tcPr>
          <w:p w14:paraId="64C7665C" w14:textId="77777777" w:rsidR="00A95C32" w:rsidRDefault="00A95C32">
            <w:pPr>
              <w:pStyle w:val="Tabletext"/>
              <w:jc w:val="right"/>
            </w:pPr>
            <w:r>
              <w:t>73</w:t>
            </w:r>
          </w:p>
        </w:tc>
        <w:tc>
          <w:tcPr>
            <w:tcW w:w="1524" w:type="dxa"/>
            <w:vAlign w:val="bottom"/>
          </w:tcPr>
          <w:p w14:paraId="50AED24E" w14:textId="77777777" w:rsidR="00A95C32" w:rsidRDefault="00A95C32">
            <w:pPr>
              <w:pStyle w:val="Tabletext"/>
              <w:jc w:val="right"/>
            </w:pPr>
            <w:r>
              <w:t>0</w:t>
            </w:r>
          </w:p>
        </w:tc>
        <w:tc>
          <w:tcPr>
            <w:tcW w:w="1064" w:type="dxa"/>
            <w:vAlign w:val="bottom"/>
          </w:tcPr>
          <w:p w14:paraId="5DC6CFFA" w14:textId="7BAC912A" w:rsidR="00A95C32" w:rsidRDefault="00A95C32">
            <w:pPr>
              <w:pStyle w:val="Tabletext"/>
              <w:jc w:val="right"/>
            </w:pPr>
            <w:r>
              <w:t>73</w:t>
            </w:r>
          </w:p>
        </w:tc>
        <w:tc>
          <w:tcPr>
            <w:tcW w:w="1984" w:type="dxa"/>
          </w:tcPr>
          <w:p w14:paraId="0304D089" w14:textId="0A808AF9" w:rsidR="00A95C32" w:rsidRDefault="00A95C32" w:rsidP="00D40D39">
            <w:pPr>
              <w:pStyle w:val="Tabletext"/>
              <w:jc w:val="right"/>
            </w:pPr>
            <w:r>
              <w:t>Negative</w:t>
            </w:r>
          </w:p>
        </w:tc>
      </w:tr>
      <w:tr w:rsidR="004D4BB7" w14:paraId="0D71C7EC" w14:textId="77777777" w:rsidTr="004D4BB7">
        <w:tc>
          <w:tcPr>
            <w:tcW w:w="3686" w:type="dxa"/>
            <w:vAlign w:val="bottom"/>
          </w:tcPr>
          <w:p w14:paraId="4537FD20" w14:textId="77777777" w:rsidR="00A95C32" w:rsidRDefault="00A95C32" w:rsidP="00DF238A">
            <w:pPr>
              <w:pStyle w:val="Tabletext"/>
            </w:pPr>
            <w:r>
              <w:t>Mackay</w:t>
            </w:r>
          </w:p>
        </w:tc>
        <w:tc>
          <w:tcPr>
            <w:tcW w:w="1097" w:type="dxa"/>
            <w:vAlign w:val="bottom"/>
          </w:tcPr>
          <w:p w14:paraId="0FF685C7" w14:textId="77777777" w:rsidR="00A95C32" w:rsidRDefault="00A95C32">
            <w:pPr>
              <w:pStyle w:val="Tabletext"/>
              <w:jc w:val="right"/>
            </w:pPr>
            <w:r>
              <w:t>194</w:t>
            </w:r>
          </w:p>
        </w:tc>
        <w:tc>
          <w:tcPr>
            <w:tcW w:w="1524" w:type="dxa"/>
            <w:vAlign w:val="bottom"/>
          </w:tcPr>
          <w:p w14:paraId="7F76CBE7" w14:textId="77777777" w:rsidR="00A95C32" w:rsidRDefault="00A95C32">
            <w:pPr>
              <w:pStyle w:val="Tabletext"/>
              <w:jc w:val="right"/>
            </w:pPr>
            <w:r>
              <w:t>0</w:t>
            </w:r>
          </w:p>
        </w:tc>
        <w:tc>
          <w:tcPr>
            <w:tcW w:w="1064" w:type="dxa"/>
            <w:vAlign w:val="bottom"/>
          </w:tcPr>
          <w:p w14:paraId="0B7947FE" w14:textId="264A0187" w:rsidR="00A95C32" w:rsidRDefault="00A95C32">
            <w:pPr>
              <w:pStyle w:val="Tabletext"/>
              <w:jc w:val="right"/>
            </w:pPr>
            <w:r>
              <w:t>194</w:t>
            </w:r>
          </w:p>
        </w:tc>
        <w:tc>
          <w:tcPr>
            <w:tcW w:w="1984" w:type="dxa"/>
          </w:tcPr>
          <w:p w14:paraId="020B3883" w14:textId="006027CF" w:rsidR="00A95C32" w:rsidRDefault="00A95C32" w:rsidP="00D40D39">
            <w:pPr>
              <w:pStyle w:val="Tabletext"/>
              <w:jc w:val="right"/>
            </w:pPr>
            <w:r>
              <w:t>Negative</w:t>
            </w:r>
          </w:p>
        </w:tc>
      </w:tr>
      <w:tr w:rsidR="004D4BB7" w14:paraId="217206DC" w14:textId="77777777" w:rsidTr="004D4BB7">
        <w:tc>
          <w:tcPr>
            <w:tcW w:w="3686" w:type="dxa"/>
            <w:vAlign w:val="bottom"/>
          </w:tcPr>
          <w:p w14:paraId="610F55EA" w14:textId="77777777" w:rsidR="00A95C32" w:rsidRDefault="00A95C32" w:rsidP="00DF238A">
            <w:pPr>
              <w:pStyle w:val="Tabletext"/>
            </w:pPr>
            <w:r>
              <w:t>Mooloolaba</w:t>
            </w:r>
          </w:p>
        </w:tc>
        <w:tc>
          <w:tcPr>
            <w:tcW w:w="1097" w:type="dxa"/>
            <w:vAlign w:val="bottom"/>
          </w:tcPr>
          <w:p w14:paraId="245FE028" w14:textId="77777777" w:rsidR="00A95C32" w:rsidRDefault="00A95C32">
            <w:pPr>
              <w:pStyle w:val="Tabletext"/>
              <w:jc w:val="right"/>
            </w:pPr>
            <w:r>
              <w:t>104</w:t>
            </w:r>
          </w:p>
        </w:tc>
        <w:tc>
          <w:tcPr>
            <w:tcW w:w="1524" w:type="dxa"/>
            <w:vAlign w:val="bottom"/>
          </w:tcPr>
          <w:p w14:paraId="0D271276" w14:textId="77777777" w:rsidR="00A95C32" w:rsidRDefault="00A95C32">
            <w:pPr>
              <w:pStyle w:val="Tabletext"/>
              <w:jc w:val="right"/>
            </w:pPr>
            <w:r>
              <w:t>0</w:t>
            </w:r>
          </w:p>
        </w:tc>
        <w:tc>
          <w:tcPr>
            <w:tcW w:w="1064" w:type="dxa"/>
            <w:vAlign w:val="bottom"/>
          </w:tcPr>
          <w:p w14:paraId="2EFBE7A0" w14:textId="002968E5" w:rsidR="00A95C32" w:rsidRDefault="00A95C32">
            <w:pPr>
              <w:pStyle w:val="Tabletext"/>
              <w:jc w:val="right"/>
            </w:pPr>
            <w:r>
              <w:t>104</w:t>
            </w:r>
          </w:p>
        </w:tc>
        <w:tc>
          <w:tcPr>
            <w:tcW w:w="1984" w:type="dxa"/>
          </w:tcPr>
          <w:p w14:paraId="6DF7D252" w14:textId="03E3F044" w:rsidR="00A95C32" w:rsidRDefault="00A95C32" w:rsidP="00D40D39">
            <w:pPr>
              <w:pStyle w:val="Tabletext"/>
              <w:jc w:val="right"/>
            </w:pPr>
            <w:r>
              <w:t>Negative</w:t>
            </w:r>
          </w:p>
        </w:tc>
      </w:tr>
      <w:tr w:rsidR="004D4BB7" w14:paraId="5DA01A81" w14:textId="77777777" w:rsidTr="004D4BB7">
        <w:tc>
          <w:tcPr>
            <w:tcW w:w="3686" w:type="dxa"/>
            <w:vAlign w:val="bottom"/>
          </w:tcPr>
          <w:p w14:paraId="2E7DDC8C" w14:textId="77777777" w:rsidR="00A95C32" w:rsidRDefault="00A95C32" w:rsidP="00DF238A">
            <w:pPr>
              <w:pStyle w:val="Tabletext"/>
            </w:pPr>
            <w:r>
              <w:t>Townsville</w:t>
            </w:r>
          </w:p>
        </w:tc>
        <w:tc>
          <w:tcPr>
            <w:tcW w:w="1097" w:type="dxa"/>
            <w:vAlign w:val="bottom"/>
          </w:tcPr>
          <w:p w14:paraId="2D82AA4C" w14:textId="77777777" w:rsidR="00A95C32" w:rsidRDefault="00A95C32">
            <w:pPr>
              <w:pStyle w:val="Tabletext"/>
              <w:jc w:val="right"/>
            </w:pPr>
            <w:r>
              <w:t>221</w:t>
            </w:r>
          </w:p>
        </w:tc>
        <w:tc>
          <w:tcPr>
            <w:tcW w:w="1524" w:type="dxa"/>
            <w:vAlign w:val="bottom"/>
          </w:tcPr>
          <w:p w14:paraId="08CBEB5F" w14:textId="77777777" w:rsidR="00A95C32" w:rsidRDefault="00A95C32">
            <w:pPr>
              <w:pStyle w:val="Tabletext"/>
              <w:jc w:val="right"/>
            </w:pPr>
            <w:r>
              <w:t>0</w:t>
            </w:r>
          </w:p>
        </w:tc>
        <w:tc>
          <w:tcPr>
            <w:tcW w:w="1064" w:type="dxa"/>
            <w:vAlign w:val="bottom"/>
          </w:tcPr>
          <w:p w14:paraId="1211531D" w14:textId="4FA9CC4B" w:rsidR="00A95C32" w:rsidRDefault="00A95C32">
            <w:pPr>
              <w:pStyle w:val="Tabletext"/>
              <w:jc w:val="right"/>
            </w:pPr>
            <w:r>
              <w:t>221</w:t>
            </w:r>
          </w:p>
        </w:tc>
        <w:tc>
          <w:tcPr>
            <w:tcW w:w="1984" w:type="dxa"/>
          </w:tcPr>
          <w:p w14:paraId="2ED8F864" w14:textId="5A851FCB" w:rsidR="00A95C32" w:rsidRDefault="00A95C32" w:rsidP="00D40D39">
            <w:pPr>
              <w:pStyle w:val="Tabletext"/>
              <w:jc w:val="right"/>
            </w:pPr>
            <w:r>
              <w:t>Negative</w:t>
            </w:r>
          </w:p>
        </w:tc>
      </w:tr>
      <w:tr w:rsidR="004D4BB7" w14:paraId="3A7D486B" w14:textId="77777777" w:rsidTr="004D4BB7">
        <w:tc>
          <w:tcPr>
            <w:tcW w:w="3686" w:type="dxa"/>
            <w:vAlign w:val="bottom"/>
          </w:tcPr>
          <w:p w14:paraId="6225A9B1" w14:textId="77777777" w:rsidR="00A95C32" w:rsidRDefault="00A95C32" w:rsidP="00DF238A">
            <w:pPr>
              <w:pStyle w:val="Tabletext"/>
            </w:pPr>
            <w:r>
              <w:t>Noosa</w:t>
            </w:r>
          </w:p>
        </w:tc>
        <w:tc>
          <w:tcPr>
            <w:tcW w:w="1097" w:type="dxa"/>
            <w:vAlign w:val="bottom"/>
          </w:tcPr>
          <w:p w14:paraId="59EBDB8B" w14:textId="77777777" w:rsidR="00A95C32" w:rsidRDefault="00A95C32">
            <w:pPr>
              <w:pStyle w:val="Tabletext"/>
              <w:jc w:val="right"/>
            </w:pPr>
            <w:r>
              <w:t>143</w:t>
            </w:r>
          </w:p>
        </w:tc>
        <w:tc>
          <w:tcPr>
            <w:tcW w:w="1524" w:type="dxa"/>
            <w:vAlign w:val="bottom"/>
          </w:tcPr>
          <w:p w14:paraId="48524115" w14:textId="77777777" w:rsidR="00A95C32" w:rsidRDefault="00A95C32">
            <w:pPr>
              <w:pStyle w:val="Tabletext"/>
              <w:jc w:val="right"/>
            </w:pPr>
            <w:r>
              <w:t>0</w:t>
            </w:r>
          </w:p>
        </w:tc>
        <w:tc>
          <w:tcPr>
            <w:tcW w:w="1064" w:type="dxa"/>
            <w:vAlign w:val="bottom"/>
          </w:tcPr>
          <w:p w14:paraId="16979773" w14:textId="400F2E71" w:rsidR="00A95C32" w:rsidRDefault="00A95C32">
            <w:pPr>
              <w:pStyle w:val="Tabletext"/>
              <w:jc w:val="right"/>
            </w:pPr>
            <w:r>
              <w:t>143</w:t>
            </w:r>
          </w:p>
        </w:tc>
        <w:tc>
          <w:tcPr>
            <w:tcW w:w="1984" w:type="dxa"/>
          </w:tcPr>
          <w:p w14:paraId="12EB75E1" w14:textId="402194B6" w:rsidR="00A95C32" w:rsidRDefault="00A95C32" w:rsidP="00D40D39">
            <w:pPr>
              <w:pStyle w:val="Tabletext"/>
              <w:jc w:val="right"/>
            </w:pPr>
            <w:r>
              <w:t>Negative</w:t>
            </w:r>
          </w:p>
        </w:tc>
      </w:tr>
      <w:tr w:rsidR="004D4BB7" w14:paraId="1CD7072F" w14:textId="77777777" w:rsidTr="004D4BB7">
        <w:tc>
          <w:tcPr>
            <w:tcW w:w="3686" w:type="dxa"/>
            <w:vAlign w:val="bottom"/>
          </w:tcPr>
          <w:p w14:paraId="73500C5B" w14:textId="77777777" w:rsidR="00A95C32" w:rsidRDefault="00A95C32" w:rsidP="00DF238A">
            <w:pPr>
              <w:pStyle w:val="Tabletext"/>
            </w:pPr>
            <w:r>
              <w:t>Rockhampton</w:t>
            </w:r>
          </w:p>
        </w:tc>
        <w:tc>
          <w:tcPr>
            <w:tcW w:w="1097" w:type="dxa"/>
            <w:vAlign w:val="bottom"/>
          </w:tcPr>
          <w:p w14:paraId="60F6F6F1" w14:textId="77777777" w:rsidR="00A95C32" w:rsidRDefault="00A95C32">
            <w:pPr>
              <w:pStyle w:val="Tabletext"/>
              <w:jc w:val="right"/>
            </w:pPr>
            <w:r>
              <w:t>222</w:t>
            </w:r>
          </w:p>
        </w:tc>
        <w:tc>
          <w:tcPr>
            <w:tcW w:w="1524" w:type="dxa"/>
            <w:vAlign w:val="bottom"/>
          </w:tcPr>
          <w:p w14:paraId="7D6C6D5D" w14:textId="77777777" w:rsidR="00A95C32" w:rsidRDefault="00A95C32">
            <w:pPr>
              <w:pStyle w:val="Tabletext"/>
              <w:jc w:val="right"/>
            </w:pPr>
            <w:r>
              <w:t>0</w:t>
            </w:r>
          </w:p>
        </w:tc>
        <w:tc>
          <w:tcPr>
            <w:tcW w:w="1064" w:type="dxa"/>
            <w:vAlign w:val="bottom"/>
          </w:tcPr>
          <w:p w14:paraId="43AC859E" w14:textId="21757B12" w:rsidR="00A95C32" w:rsidRDefault="00A95C32">
            <w:pPr>
              <w:pStyle w:val="Tabletext"/>
              <w:jc w:val="right"/>
            </w:pPr>
            <w:r>
              <w:t>222</w:t>
            </w:r>
          </w:p>
        </w:tc>
        <w:tc>
          <w:tcPr>
            <w:tcW w:w="1984" w:type="dxa"/>
          </w:tcPr>
          <w:p w14:paraId="58843DA1" w14:textId="6352D545" w:rsidR="00A95C32" w:rsidRDefault="00A95C32" w:rsidP="00D40D39">
            <w:pPr>
              <w:pStyle w:val="Tabletext"/>
              <w:jc w:val="right"/>
            </w:pPr>
            <w:r>
              <w:t>Negative</w:t>
            </w:r>
          </w:p>
        </w:tc>
      </w:tr>
    </w:tbl>
    <w:p w14:paraId="003B4B34" w14:textId="6652DBB6" w:rsidR="00CC703E" w:rsidRDefault="00E37FDB">
      <w:pPr>
        <w:pStyle w:val="FigureTableNoteSource"/>
      </w:pPr>
      <w:r>
        <w:rPr>
          <w:vertAlign w:val="superscript"/>
        </w:rPr>
        <w:t>a</w:t>
      </w:r>
      <w:r>
        <w:rPr>
          <w:b/>
        </w:rPr>
        <w:t xml:space="preserve"> </w:t>
      </w:r>
      <w:r w:rsidR="00FB5C37">
        <w:fldChar w:fldCharType="begin"/>
      </w:r>
      <w:r w:rsidR="00FB5C37">
        <w:rPr>
          <w:b/>
        </w:rPr>
        <w:instrText xml:space="preserve"> REF _Ref499319296 \h </w:instrText>
      </w:r>
      <w:r w:rsidR="00FB5C37">
        <w:fldChar w:fldCharType="separate"/>
      </w:r>
      <w:r w:rsidR="00121BC1">
        <w:t xml:space="preserve">Map </w:t>
      </w:r>
      <w:r w:rsidR="00121BC1">
        <w:rPr>
          <w:noProof/>
        </w:rPr>
        <w:t>2</w:t>
      </w:r>
      <w:r w:rsidR="00FB5C37">
        <w:fldChar w:fldCharType="end"/>
      </w:r>
      <w:r>
        <w:t>.</w:t>
      </w:r>
      <w:r>
        <w:rPr>
          <w:b/>
        </w:rPr>
        <w:t xml:space="preserve"> </w:t>
      </w:r>
      <w:r w:rsidR="00332285">
        <w:rPr>
          <w:vertAlign w:val="superscript"/>
        </w:rPr>
        <w:t>b</w:t>
      </w:r>
      <w:r>
        <w:t xml:space="preserve"> </w:t>
      </w:r>
      <w:r w:rsidR="00FB5C37">
        <w:fldChar w:fldCharType="begin"/>
      </w:r>
      <w:r w:rsidR="00FB5C37">
        <w:instrText xml:space="preserve"> REF _Ref499319358 \h </w:instrText>
      </w:r>
      <w:r w:rsidR="00FB5C37">
        <w:fldChar w:fldCharType="separate"/>
      </w:r>
      <w:r w:rsidR="00121BC1">
        <w:t xml:space="preserve">Map </w:t>
      </w:r>
      <w:r w:rsidR="00121BC1">
        <w:rPr>
          <w:noProof/>
        </w:rPr>
        <w:t>3</w:t>
      </w:r>
      <w:r w:rsidR="00FB5C37">
        <w:fldChar w:fldCharType="end"/>
      </w:r>
      <w:r>
        <w:t>.</w:t>
      </w:r>
    </w:p>
    <w:p w14:paraId="7DC0B50C" w14:textId="34A6BB55" w:rsidR="00CC703E" w:rsidRDefault="00E37FDB">
      <w:pPr>
        <w:pStyle w:val="FigureTableNoteSource"/>
        <w:rPr>
          <w:lang w:eastAsia="ja-JP"/>
        </w:rPr>
      </w:pPr>
      <w:r>
        <w:rPr>
          <w:lang w:eastAsia="ja-JP"/>
        </w:rPr>
        <w:t xml:space="preserve">Source: </w:t>
      </w:r>
      <w:r w:rsidR="00EE4C2C">
        <w:rPr>
          <w:lang w:eastAsia="ja-JP"/>
        </w:rPr>
        <w:t xml:space="preserve">Queensland </w:t>
      </w:r>
      <w:r>
        <w:rPr>
          <w:lang w:eastAsia="ja-JP"/>
        </w:rPr>
        <w:t xml:space="preserve">Department of Agriculture and </w:t>
      </w:r>
      <w:r w:rsidR="00EE4C2C">
        <w:rPr>
          <w:lang w:eastAsia="ja-JP"/>
        </w:rPr>
        <w:t>Forestry</w:t>
      </w:r>
    </w:p>
    <w:p w14:paraId="64EE7F2D" w14:textId="78838697" w:rsidR="00CC703E" w:rsidRPr="0057513F" w:rsidRDefault="00E37FDB" w:rsidP="0057513F">
      <w:pPr>
        <w:pStyle w:val="Heading3"/>
        <w:rPr>
          <w:rStyle w:val="Heading3Char"/>
          <w:rFonts w:eastAsia="Calibri"/>
          <w:b/>
          <w:bCs/>
        </w:rPr>
      </w:pPr>
      <w:bookmarkStart w:id="55" w:name="_Toc500508382"/>
      <w:r w:rsidRPr="0057513F">
        <w:rPr>
          <w:rStyle w:val="Heading3Char"/>
          <w:rFonts w:eastAsia="Calibri"/>
          <w:b/>
          <w:bCs/>
        </w:rPr>
        <w:lastRenderedPageBreak/>
        <w:t>WSD outbreak</w:t>
      </w:r>
      <w:bookmarkEnd w:id="52"/>
      <w:r w:rsidRPr="0057513F">
        <w:rPr>
          <w:rStyle w:val="Heading3Char"/>
          <w:rFonts w:eastAsia="Calibri"/>
          <w:b/>
          <w:bCs/>
        </w:rPr>
        <w:t xml:space="preserve"> costs</w:t>
      </w:r>
      <w:bookmarkEnd w:id="55"/>
    </w:p>
    <w:p w14:paraId="2C91C647" w14:textId="093BA888" w:rsidR="00CC703E" w:rsidRDefault="00B74C92">
      <w:pPr>
        <w:spacing w:after="0"/>
      </w:pPr>
      <w:r w:rsidRPr="00B74C92">
        <w:t>The Australian Government provided $1.87 million in 2016–17 to help control the spread of WSD and will provide up to $20 million in 2017–18. During 2016–17 the Queensland Government spent more than $17 million on the WSD response and has committed up to $9 million over the two years to 2018–19. Logan River prawn farming industry production losses in 2016–17 were estimated to be $43 million (excluding their response costs). Of these costs, the Australian and Queensland governments reimbursed or would reimburse $21.5 million and pledged a further $30 million for concessional loans.</w:t>
      </w:r>
    </w:p>
    <w:p w14:paraId="44F82D61" w14:textId="100B5D75" w:rsidR="00CC703E" w:rsidRDefault="00E37FDB">
      <w:pPr>
        <w:tabs>
          <w:tab w:val="clear" w:pos="567"/>
        </w:tabs>
        <w:spacing w:after="0"/>
      </w:pPr>
      <w:r>
        <w:t xml:space="preserve">Commercial fishers also experienced significant business impacts as </w:t>
      </w:r>
      <w:r w:rsidR="00563C92">
        <w:t>did</w:t>
      </w:r>
      <w:r>
        <w:t xml:space="preserve"> other parties in the supply chain such as bait, feed and equipment suppliers, seafood processors and retailers. Recreational fishing activities </w:t>
      </w:r>
      <w:r w:rsidR="00563C92">
        <w:t>were</w:t>
      </w:r>
      <w:r>
        <w:t xml:space="preserve"> also affected throughout south-east Queensland</w:t>
      </w:r>
      <w:r w:rsidR="0024294F">
        <w:rPr>
          <w:vertAlign w:val="superscript"/>
        </w:rPr>
        <w:t>15</w:t>
      </w:r>
      <w:r>
        <w:t>.</w:t>
      </w:r>
    </w:p>
    <w:p w14:paraId="7D834102" w14:textId="433FA0B5" w:rsidR="00EE4C2C" w:rsidRDefault="00563C92" w:rsidP="00EE4C2C">
      <w:pPr>
        <w:tabs>
          <w:tab w:val="clear" w:pos="567"/>
        </w:tabs>
        <w:spacing w:after="0"/>
        <w:rPr>
          <w:rFonts w:cs="Calibri"/>
          <w:color w:val="000000"/>
          <w:szCs w:val="24"/>
          <w:lang w:eastAsia="en-AU"/>
        </w:rPr>
      </w:pPr>
      <w:r>
        <w:rPr>
          <w:rFonts w:cs="Calibri"/>
          <w:color w:val="000000"/>
          <w:szCs w:val="24"/>
          <w:lang w:eastAsia="en-AU"/>
        </w:rPr>
        <w:t xml:space="preserve">Between December 2016 and </w:t>
      </w:r>
      <w:r w:rsidR="001D45DD">
        <w:rPr>
          <w:rFonts w:cs="Calibri"/>
          <w:color w:val="000000"/>
          <w:szCs w:val="24"/>
          <w:lang w:eastAsia="en-AU"/>
        </w:rPr>
        <w:t xml:space="preserve">April </w:t>
      </w:r>
      <w:r>
        <w:rPr>
          <w:rFonts w:cs="Calibri"/>
          <w:color w:val="000000"/>
          <w:szCs w:val="24"/>
          <w:lang w:eastAsia="en-AU"/>
        </w:rPr>
        <w:t>2017, t</w:t>
      </w:r>
      <w:r w:rsidR="00EE4C2C" w:rsidRPr="00EE4C2C">
        <w:rPr>
          <w:rFonts w:cs="Calibri"/>
          <w:color w:val="000000"/>
          <w:szCs w:val="24"/>
          <w:lang w:eastAsia="en-AU"/>
        </w:rPr>
        <w:t>he economic impact of the movement</w:t>
      </w:r>
      <w:r w:rsidR="00EE4C2C">
        <w:rPr>
          <w:rFonts w:cs="Calibri"/>
          <w:color w:val="000000"/>
          <w:szCs w:val="24"/>
          <w:lang w:eastAsia="en-AU"/>
        </w:rPr>
        <w:t xml:space="preserve"> </w:t>
      </w:r>
      <w:r w:rsidR="00EE4C2C" w:rsidRPr="00EE4C2C">
        <w:rPr>
          <w:rFonts w:cs="Calibri"/>
          <w:color w:val="000000"/>
          <w:szCs w:val="24"/>
          <w:lang w:eastAsia="en-AU"/>
        </w:rPr>
        <w:t xml:space="preserve">control order </w:t>
      </w:r>
      <w:r w:rsidR="001D45DD" w:rsidRPr="001D45DD">
        <w:rPr>
          <w:rFonts w:cs="Calibri"/>
          <w:color w:val="000000"/>
          <w:szCs w:val="24"/>
          <w:lang w:eastAsia="en-AU"/>
        </w:rPr>
        <w:t>across the whole extended control zone</w:t>
      </w:r>
      <w:r w:rsidR="001D45DD">
        <w:rPr>
          <w:rFonts w:cs="Calibri"/>
          <w:color w:val="000000"/>
          <w:szCs w:val="24"/>
          <w:lang w:eastAsia="en-AU"/>
        </w:rPr>
        <w:t xml:space="preserve"> (</w:t>
      </w:r>
      <w:r w:rsidR="00EE4C2C" w:rsidRPr="00EE4C2C">
        <w:rPr>
          <w:rFonts w:cs="Calibri"/>
          <w:color w:val="000000"/>
          <w:szCs w:val="24"/>
          <w:lang w:eastAsia="en-AU"/>
        </w:rPr>
        <w:t>between Caloundra and the NSW border</w:t>
      </w:r>
      <w:r w:rsidR="001D45DD">
        <w:rPr>
          <w:rFonts w:cs="Calibri"/>
          <w:color w:val="000000"/>
          <w:szCs w:val="24"/>
          <w:lang w:eastAsia="en-AU"/>
        </w:rPr>
        <w:t>)</w:t>
      </w:r>
      <w:r w:rsidR="00EE4C2C" w:rsidRPr="00EE4C2C">
        <w:rPr>
          <w:rFonts w:cs="Calibri"/>
          <w:color w:val="000000"/>
          <w:szCs w:val="24"/>
          <w:lang w:eastAsia="en-AU"/>
        </w:rPr>
        <w:t xml:space="preserve"> on </w:t>
      </w:r>
      <w:r w:rsidRPr="00EE4C2C">
        <w:rPr>
          <w:rFonts w:cs="Calibri"/>
          <w:color w:val="000000"/>
          <w:szCs w:val="24"/>
          <w:lang w:eastAsia="en-AU"/>
        </w:rPr>
        <w:t xml:space="preserve">the gross value of production </w:t>
      </w:r>
      <w:r w:rsidR="001D45DD">
        <w:rPr>
          <w:rFonts w:cs="Calibri"/>
          <w:color w:val="000000"/>
          <w:szCs w:val="24"/>
          <w:lang w:eastAsia="en-AU"/>
        </w:rPr>
        <w:t xml:space="preserve">(‘impacted’ and ‘at risk’) </w:t>
      </w:r>
      <w:r>
        <w:rPr>
          <w:rFonts w:cs="Calibri"/>
          <w:color w:val="000000"/>
          <w:szCs w:val="24"/>
          <w:lang w:eastAsia="en-AU"/>
        </w:rPr>
        <w:t xml:space="preserve">of </w:t>
      </w:r>
      <w:r w:rsidR="00EE4C2C" w:rsidRPr="00EE4C2C">
        <w:rPr>
          <w:rFonts w:cs="Calibri"/>
          <w:color w:val="000000"/>
          <w:szCs w:val="24"/>
          <w:lang w:eastAsia="en-AU"/>
        </w:rPr>
        <w:t>commercial wild fisher</w:t>
      </w:r>
      <w:r w:rsidR="001D45DD">
        <w:rPr>
          <w:rFonts w:cs="Calibri"/>
          <w:color w:val="000000"/>
          <w:szCs w:val="24"/>
          <w:lang w:eastAsia="en-AU"/>
        </w:rPr>
        <w:t>y</w:t>
      </w:r>
      <w:r w:rsidR="00EE4C2C">
        <w:rPr>
          <w:rFonts w:cs="Calibri"/>
          <w:color w:val="000000"/>
          <w:szCs w:val="24"/>
          <w:lang w:eastAsia="en-AU"/>
        </w:rPr>
        <w:t xml:space="preserve"> (</w:t>
      </w:r>
      <w:r w:rsidR="001D45DD">
        <w:rPr>
          <w:rFonts w:cs="Calibri"/>
          <w:color w:val="000000"/>
          <w:szCs w:val="24"/>
          <w:lang w:eastAsia="en-AU"/>
        </w:rPr>
        <w:t>including</w:t>
      </w:r>
      <w:r w:rsidR="00EE4C2C">
        <w:rPr>
          <w:rFonts w:cs="Calibri"/>
          <w:color w:val="000000"/>
          <w:szCs w:val="24"/>
          <w:lang w:eastAsia="en-AU"/>
        </w:rPr>
        <w:t xml:space="preserve">, </w:t>
      </w:r>
      <w:r w:rsidR="001D45DD">
        <w:rPr>
          <w:rFonts w:cs="Calibri"/>
          <w:color w:val="000000"/>
          <w:szCs w:val="24"/>
          <w:lang w:eastAsia="en-AU"/>
        </w:rPr>
        <w:t xml:space="preserve">beachworms, </w:t>
      </w:r>
      <w:r w:rsidR="00EE4C2C" w:rsidRPr="00EE4C2C">
        <w:rPr>
          <w:rFonts w:cs="Calibri"/>
          <w:color w:val="000000"/>
          <w:szCs w:val="24"/>
          <w:lang w:eastAsia="en-AU"/>
        </w:rPr>
        <w:t>bloodworms, yabbies</w:t>
      </w:r>
      <w:r w:rsidR="001D45DD">
        <w:rPr>
          <w:rFonts w:cs="Calibri"/>
          <w:color w:val="000000"/>
          <w:szCs w:val="24"/>
          <w:lang w:eastAsia="en-AU"/>
        </w:rPr>
        <w:t>,</w:t>
      </w:r>
      <w:r w:rsidR="00EE4C2C" w:rsidRPr="00EE4C2C">
        <w:rPr>
          <w:rFonts w:cs="Calibri"/>
          <w:color w:val="000000"/>
          <w:szCs w:val="24"/>
          <w:lang w:eastAsia="en-AU"/>
        </w:rPr>
        <w:t xml:space="preserve"> mud </w:t>
      </w:r>
      <w:r w:rsidR="001D45DD">
        <w:rPr>
          <w:rFonts w:cs="Calibri"/>
          <w:color w:val="000000"/>
          <w:szCs w:val="24"/>
          <w:lang w:eastAsia="en-AU"/>
        </w:rPr>
        <w:t xml:space="preserve">and blue swimmer </w:t>
      </w:r>
      <w:r w:rsidR="00EE4C2C" w:rsidRPr="00EE4C2C">
        <w:rPr>
          <w:rFonts w:cs="Calibri"/>
          <w:color w:val="000000"/>
          <w:szCs w:val="24"/>
          <w:lang w:eastAsia="en-AU"/>
        </w:rPr>
        <w:t>crabs</w:t>
      </w:r>
      <w:r w:rsidR="009416D8">
        <w:rPr>
          <w:rFonts w:cs="Calibri"/>
          <w:color w:val="000000"/>
          <w:szCs w:val="24"/>
          <w:lang w:eastAsia="en-AU"/>
        </w:rPr>
        <w:t>,</w:t>
      </w:r>
      <w:r w:rsidR="001D45DD">
        <w:rPr>
          <w:rFonts w:cs="Calibri"/>
          <w:color w:val="000000"/>
          <w:szCs w:val="24"/>
          <w:lang w:eastAsia="en-AU"/>
        </w:rPr>
        <w:t xml:space="preserve"> and prawns</w:t>
      </w:r>
      <w:r w:rsidR="00EE4C2C">
        <w:rPr>
          <w:rFonts w:cs="Calibri"/>
          <w:color w:val="000000"/>
          <w:szCs w:val="24"/>
          <w:lang w:eastAsia="en-AU"/>
        </w:rPr>
        <w:t>)</w:t>
      </w:r>
      <w:r w:rsidR="00440268">
        <w:rPr>
          <w:rFonts w:cs="Calibri"/>
          <w:color w:val="000000"/>
          <w:szCs w:val="24"/>
          <w:lang w:eastAsia="en-AU"/>
        </w:rPr>
        <w:t xml:space="preserve"> </w:t>
      </w:r>
      <w:r>
        <w:rPr>
          <w:rFonts w:cs="Calibri"/>
          <w:color w:val="000000"/>
          <w:szCs w:val="24"/>
          <w:lang w:eastAsia="en-AU"/>
        </w:rPr>
        <w:t xml:space="preserve">was </w:t>
      </w:r>
      <w:r w:rsidR="00EE4C2C" w:rsidRPr="00EE4C2C">
        <w:rPr>
          <w:rFonts w:cs="Calibri"/>
          <w:color w:val="000000"/>
          <w:szCs w:val="24"/>
          <w:lang w:eastAsia="en-AU"/>
        </w:rPr>
        <w:t>estimated as $20.5</w:t>
      </w:r>
      <w:r w:rsidR="00951A56" w:rsidRPr="00951A56">
        <w:rPr>
          <w:rFonts w:cs="Calibri"/>
          <w:color w:val="000000"/>
          <w:szCs w:val="24"/>
          <w:lang w:eastAsia="en-AU"/>
        </w:rPr>
        <w:t> </w:t>
      </w:r>
      <w:r w:rsidR="00EE4C2C" w:rsidRPr="00EE4C2C">
        <w:rPr>
          <w:rFonts w:cs="Calibri"/>
          <w:color w:val="000000"/>
          <w:szCs w:val="24"/>
          <w:lang w:eastAsia="en-AU"/>
        </w:rPr>
        <w:t>million</w:t>
      </w:r>
      <w:r w:rsidR="0024294F">
        <w:rPr>
          <w:rFonts w:cs="Calibri"/>
          <w:color w:val="000000"/>
          <w:szCs w:val="24"/>
          <w:vertAlign w:val="superscript"/>
          <w:lang w:eastAsia="en-AU"/>
        </w:rPr>
        <w:t>16</w:t>
      </w:r>
      <w:r w:rsidR="00EE4C2C">
        <w:rPr>
          <w:rFonts w:cs="Calibri"/>
          <w:color w:val="000000"/>
          <w:szCs w:val="24"/>
          <w:lang w:eastAsia="en-AU"/>
        </w:rPr>
        <w:t>.</w:t>
      </w:r>
    </w:p>
    <w:p w14:paraId="657CE0DD" w14:textId="533F8EF0" w:rsidR="00BB6E04" w:rsidRDefault="00563C92" w:rsidP="00BB6E04">
      <w:pPr>
        <w:tabs>
          <w:tab w:val="clear" w:pos="567"/>
        </w:tabs>
        <w:spacing w:after="0"/>
        <w:rPr>
          <w:rFonts w:cs="Calibri"/>
          <w:color w:val="000000"/>
          <w:szCs w:val="24"/>
          <w:lang w:eastAsia="en-AU"/>
        </w:rPr>
      </w:pPr>
      <w:r w:rsidRPr="0094680E">
        <w:rPr>
          <w:rFonts w:cs="Calibri"/>
          <w:color w:val="000000"/>
          <w:szCs w:val="24"/>
          <w:lang w:eastAsia="en-AU"/>
        </w:rPr>
        <w:t xml:space="preserve">The </w:t>
      </w:r>
      <w:r w:rsidR="00BB6E04" w:rsidRPr="0094680E">
        <w:rPr>
          <w:rFonts w:cs="Calibri"/>
          <w:color w:val="000000"/>
          <w:szCs w:val="24"/>
          <w:lang w:eastAsia="en-AU"/>
        </w:rPr>
        <w:t>Seafood Importers Association of Australasia Inc.</w:t>
      </w:r>
      <w:r w:rsidR="00BB6E04" w:rsidRPr="00BB6E04">
        <w:rPr>
          <w:rFonts w:cs="Calibri"/>
          <w:color w:val="000000"/>
          <w:szCs w:val="24"/>
          <w:lang w:eastAsia="en-AU"/>
        </w:rPr>
        <w:t xml:space="preserve"> </w:t>
      </w:r>
      <w:r w:rsidR="00BB6E04">
        <w:rPr>
          <w:rFonts w:cs="Calibri"/>
          <w:color w:val="000000"/>
          <w:szCs w:val="24"/>
          <w:lang w:eastAsia="en-AU"/>
        </w:rPr>
        <w:t>estimated</w:t>
      </w:r>
      <w:r w:rsidR="00BB6E04" w:rsidRPr="00BB6E04">
        <w:rPr>
          <w:rFonts w:cs="Calibri"/>
          <w:color w:val="000000"/>
          <w:szCs w:val="24"/>
          <w:lang w:eastAsia="en-AU"/>
        </w:rPr>
        <w:t xml:space="preserve"> that the import suspension</w:t>
      </w:r>
      <w:r w:rsidR="0094680E">
        <w:rPr>
          <w:rFonts w:cs="Calibri"/>
          <w:color w:val="000000"/>
          <w:szCs w:val="24"/>
          <w:lang w:eastAsia="en-AU"/>
        </w:rPr>
        <w:t xml:space="preserve"> </w:t>
      </w:r>
      <w:r w:rsidR="00BB6E04" w:rsidRPr="00BB6E04">
        <w:rPr>
          <w:rFonts w:cs="Calibri"/>
          <w:color w:val="000000"/>
          <w:szCs w:val="24"/>
          <w:lang w:eastAsia="en-AU"/>
        </w:rPr>
        <w:t>resulted in the loss of several</w:t>
      </w:r>
      <w:r w:rsidR="00BB6E04">
        <w:rPr>
          <w:rFonts w:cs="Calibri"/>
          <w:color w:val="000000"/>
          <w:szCs w:val="24"/>
          <w:lang w:eastAsia="en-AU"/>
        </w:rPr>
        <w:t xml:space="preserve"> </w:t>
      </w:r>
      <w:r w:rsidR="00BB6E04" w:rsidRPr="00BB6E04">
        <w:rPr>
          <w:rFonts w:cs="Calibri"/>
          <w:color w:val="000000"/>
          <w:szCs w:val="24"/>
          <w:lang w:eastAsia="en-AU"/>
        </w:rPr>
        <w:t>thousand tonnes of seafood product that would otherwise have been sold in Australia.</w:t>
      </w:r>
      <w:r w:rsidR="00BB6E04">
        <w:rPr>
          <w:rFonts w:cs="Calibri"/>
          <w:color w:val="000000"/>
          <w:szCs w:val="24"/>
          <w:lang w:eastAsia="en-AU"/>
        </w:rPr>
        <w:t xml:space="preserve"> </w:t>
      </w:r>
      <w:r w:rsidR="00BB6E04" w:rsidRPr="00BB6E04">
        <w:rPr>
          <w:rFonts w:cs="Calibri"/>
          <w:color w:val="000000"/>
          <w:szCs w:val="24"/>
          <w:lang w:eastAsia="en-AU"/>
        </w:rPr>
        <w:t>The six-month suspension was estimated to cost $383 million to Australian</w:t>
      </w:r>
      <w:r w:rsidR="00BB6E04">
        <w:rPr>
          <w:rFonts w:cs="Calibri"/>
          <w:color w:val="000000"/>
          <w:szCs w:val="24"/>
          <w:lang w:eastAsia="en-AU"/>
        </w:rPr>
        <w:t xml:space="preserve"> </w:t>
      </w:r>
      <w:r w:rsidR="00BB6E04" w:rsidRPr="00BB6E04">
        <w:rPr>
          <w:rFonts w:cs="Calibri"/>
          <w:color w:val="000000"/>
          <w:szCs w:val="24"/>
          <w:lang w:eastAsia="en-AU"/>
        </w:rPr>
        <w:t>businesses, with consequent price rises for consumers</w:t>
      </w:r>
      <w:r w:rsidR="0024294F">
        <w:rPr>
          <w:rFonts w:cs="Calibri"/>
          <w:color w:val="000000"/>
          <w:szCs w:val="24"/>
          <w:vertAlign w:val="superscript"/>
          <w:lang w:eastAsia="en-AU"/>
        </w:rPr>
        <w:t>17</w:t>
      </w:r>
      <w:r w:rsidR="00BB6E04" w:rsidRPr="00BB6E04">
        <w:rPr>
          <w:rFonts w:cs="Calibri"/>
          <w:color w:val="000000"/>
          <w:szCs w:val="24"/>
          <w:lang w:eastAsia="en-AU"/>
        </w:rPr>
        <w:t>.</w:t>
      </w:r>
    </w:p>
    <w:p w14:paraId="7FF1C19E" w14:textId="118EFA95" w:rsidR="00CC703E" w:rsidRPr="0057513F" w:rsidRDefault="00E37FDB" w:rsidP="0057513F">
      <w:pPr>
        <w:pStyle w:val="Heading3"/>
        <w:rPr>
          <w:rStyle w:val="Heading3Char"/>
          <w:rFonts w:eastAsia="Calibri"/>
          <w:b/>
          <w:bCs/>
        </w:rPr>
      </w:pPr>
      <w:bookmarkStart w:id="56" w:name="_Toc490040466"/>
      <w:bookmarkStart w:id="57" w:name="_Toc500508383"/>
      <w:r w:rsidRPr="0057513F">
        <w:rPr>
          <w:rStyle w:val="Heading3Char"/>
          <w:rFonts w:eastAsia="Calibri"/>
          <w:b/>
          <w:bCs/>
        </w:rPr>
        <w:t xml:space="preserve">Source of infection </w:t>
      </w:r>
      <w:bookmarkEnd w:id="56"/>
      <w:r w:rsidRPr="0057513F">
        <w:rPr>
          <w:rStyle w:val="Heading3Char"/>
          <w:rFonts w:eastAsia="Calibri"/>
          <w:b/>
          <w:bCs/>
        </w:rPr>
        <w:t>of 1IP, Logan River</w:t>
      </w:r>
      <w:bookmarkEnd w:id="57"/>
    </w:p>
    <w:p w14:paraId="789DD35D" w14:textId="77777777" w:rsidR="00CC703E" w:rsidRDefault="00E37FDB">
      <w:pPr>
        <w:pStyle w:val="Heading4"/>
        <w:spacing w:after="120"/>
        <w:rPr>
          <w:lang w:val="en-AU"/>
        </w:rPr>
      </w:pPr>
      <w:r>
        <w:rPr>
          <w:lang w:val="en-AU"/>
        </w:rPr>
        <w:t>Diggles study</w:t>
      </w:r>
    </w:p>
    <w:p w14:paraId="59C2987C" w14:textId="781BABBA" w:rsidR="00CC703E" w:rsidRDefault="00E37FDB">
      <w:r>
        <w:t>The Australian Prawn Farmers Association, through the Fisheries Research and Development Corporation, commissioned Dr Ben Diggles to investigate the source of the outbreak. Dr Diggles concluded that retail prawns being used as bait were the most likely source of the infection</w:t>
      </w:r>
      <w:r w:rsidR="0024294F">
        <w:rPr>
          <w:vertAlign w:val="superscript"/>
        </w:rPr>
        <w:t>8</w:t>
      </w:r>
      <w:r>
        <w:t>. He based his findings on the epidemiology and chronology of the disease spread and evidence of significant recreational fishing in and adjacent to the intake canal of 1IP. He also noted that biosecurity breakdowns at the Australian border had resulted in 50 to 54 per cent of imported raw prawns sold in retail outlets being WSSV positive</w:t>
      </w:r>
      <w:r w:rsidR="0024294F">
        <w:rPr>
          <w:vertAlign w:val="superscript"/>
        </w:rPr>
        <w:t>8</w:t>
      </w:r>
      <w:r>
        <w:t>.</w:t>
      </w:r>
    </w:p>
    <w:p w14:paraId="1960B713" w14:textId="5897EB71" w:rsidR="00CC703E" w:rsidRDefault="00E37FDB">
      <w:r>
        <w:t>The first infected pond on 1IP was at the end of the inlet channel furthest from the Logan River and close to an adjacent road. From here, infected prawns could have been thrown into the channel. However, as Dr Diggles noted, on each new infected farm, the first infected pond was at the end of the inlet channel. This supported his theory that infected crustaceans from upstream were forced to the end of each inlet channel and into each index pond by incoming supply water</w:t>
      </w:r>
      <w:r w:rsidR="0024294F">
        <w:rPr>
          <w:vertAlign w:val="superscript"/>
        </w:rPr>
        <w:t>8</w:t>
      </w:r>
      <w:r>
        <w:t>.</w:t>
      </w:r>
    </w:p>
    <w:p w14:paraId="2E5C0834" w14:textId="77777777" w:rsidR="00CC703E" w:rsidRDefault="00E37FDB" w:rsidP="00AE4DAC">
      <w:pPr>
        <w:pStyle w:val="Heading4"/>
        <w:rPr>
          <w:b w:val="0"/>
          <w:szCs w:val="24"/>
          <w:lang w:val="en-AU"/>
        </w:rPr>
      </w:pPr>
      <w:r>
        <w:rPr>
          <w:lang w:val="en-AU"/>
        </w:rPr>
        <w:t>Government study</w:t>
      </w:r>
    </w:p>
    <w:p w14:paraId="1BB3847D" w14:textId="5730250B" w:rsidR="00CC703E" w:rsidRDefault="00E37FDB" w:rsidP="00D33113">
      <w:pPr>
        <w:rPr>
          <w:highlight w:val="yellow"/>
        </w:rPr>
      </w:pPr>
      <w:r>
        <w:lastRenderedPageBreak/>
        <w:t>The Department of Agriculture and Water Resources began investigating the outbreak</w:t>
      </w:r>
      <w:r w:rsidR="00D66E7E">
        <w:rPr>
          <w:vertAlign w:val="superscript"/>
        </w:rPr>
        <w:t>10</w:t>
      </w:r>
      <w:r>
        <w:t xml:space="preserve"> on 13 December 2016, identifying potential pathways for transmission of the virus. Departmental investigators visited the affected farms and made other detailed </w:t>
      </w:r>
      <w:r w:rsidR="00A73371">
        <w:t>inquiries</w:t>
      </w:r>
      <w:r>
        <w:t>, including purchasing prawns from nearby retail outlets and interviewing recreational fishers in the Logan River area.</w:t>
      </w:r>
    </w:p>
    <w:p w14:paraId="50EE81D5" w14:textId="77777777" w:rsidR="00CC703E" w:rsidRDefault="00E37FDB" w:rsidP="00D33113">
      <w:r>
        <w:t>Pathways they considered included:</w:t>
      </w:r>
    </w:p>
    <w:p w14:paraId="68F79AB9" w14:textId="20D8C8CA" w:rsidR="00CC703E" w:rsidRPr="00191C38" w:rsidRDefault="00E37FDB" w:rsidP="00D33113">
      <w:pPr>
        <w:pStyle w:val="ListBullet"/>
      </w:pPr>
      <w:r w:rsidRPr="00191C38">
        <w:t>diseased hatchery broodstock or their progeny</w:t>
      </w:r>
      <w:r w:rsidR="00E53EF9">
        <w:t>,</w:t>
      </w:r>
    </w:p>
    <w:p w14:paraId="7DF79CF2" w14:textId="379BA5E1" w:rsidR="00CC703E" w:rsidRPr="00191C38" w:rsidRDefault="00E37FDB" w:rsidP="00D33113">
      <w:pPr>
        <w:pStyle w:val="ListBullet"/>
      </w:pPr>
      <w:r w:rsidRPr="00191C38">
        <w:t>imported aquatic feed or feed supplements</w:t>
      </w:r>
      <w:r w:rsidR="00E53EF9">
        <w:t>,</w:t>
      </w:r>
    </w:p>
    <w:p w14:paraId="2563565A" w14:textId="693780ED" w:rsidR="00191C38" w:rsidRDefault="00E37FDB" w:rsidP="00D33113">
      <w:pPr>
        <w:pStyle w:val="ListBullet"/>
      </w:pPr>
      <w:r w:rsidRPr="00191C38">
        <w:t>uncooked imported prawns being used as bait</w:t>
      </w:r>
      <w:r w:rsidR="00E53EF9">
        <w:t>,</w:t>
      </w:r>
    </w:p>
    <w:p w14:paraId="4CB21FD2" w14:textId="1159FC49" w:rsidR="00191C38" w:rsidRPr="00191C38" w:rsidRDefault="00E37FDB" w:rsidP="00D33113">
      <w:pPr>
        <w:pStyle w:val="ListBullet"/>
      </w:pPr>
      <w:r w:rsidRPr="00191C38">
        <w:t>illegal human activity, including the importation of aquaculture equipment or deliberate sabotage</w:t>
      </w:r>
      <w:r w:rsidR="00E53EF9">
        <w:t>,</w:t>
      </w:r>
    </w:p>
    <w:p w14:paraId="7618A078" w14:textId="7B051B3D" w:rsidR="00CC703E" w:rsidRPr="00D33113" w:rsidRDefault="00E37FDB" w:rsidP="00D33113">
      <w:pPr>
        <w:pStyle w:val="ListBullet"/>
      </w:pPr>
      <w:r w:rsidRPr="00D33113">
        <w:t>that the virus was previously present in Australian wild crustaceans at very low levels</w:t>
      </w:r>
      <w:r w:rsidR="000851C9">
        <w:t xml:space="preserve">, </w:t>
      </w:r>
      <w:r w:rsidRPr="00D33113">
        <w:t>or</w:t>
      </w:r>
    </w:p>
    <w:p w14:paraId="29D11A8F" w14:textId="6D09EC69" w:rsidR="00CC703E" w:rsidRPr="00191C38" w:rsidRDefault="00E37FDB" w:rsidP="00D33113">
      <w:pPr>
        <w:pStyle w:val="ListBullet"/>
      </w:pPr>
      <w:r w:rsidRPr="00191C38">
        <w:t>via ballast water</w:t>
      </w:r>
      <w:r w:rsidR="00D66E7E">
        <w:rPr>
          <w:vertAlign w:val="superscript"/>
        </w:rPr>
        <w:t>10</w:t>
      </w:r>
      <w:r w:rsidRPr="00191C38">
        <w:t>.</w:t>
      </w:r>
    </w:p>
    <w:p w14:paraId="55F49705" w14:textId="0DF2EB0C" w:rsidR="00CC703E" w:rsidRDefault="00E37FDB">
      <w:pPr>
        <w:rPr>
          <w:lang w:val="x-none" w:eastAsia="x-none" w:bidi="hi-IN"/>
        </w:rPr>
      </w:pPr>
      <w:r>
        <w:rPr>
          <w:szCs w:val="24"/>
        </w:rPr>
        <w:t xml:space="preserve">On 13 April 2017 the department’s final report on this investigation </w:t>
      </w:r>
      <w:r w:rsidR="000851C9">
        <w:rPr>
          <w:szCs w:val="24"/>
        </w:rPr>
        <w:t>sta</w:t>
      </w:r>
      <w:r>
        <w:rPr>
          <w:szCs w:val="24"/>
        </w:rPr>
        <w:t>ted that the true source of the outbreak might never be known</w:t>
      </w:r>
      <w:r w:rsidR="00D66E7E">
        <w:rPr>
          <w:szCs w:val="24"/>
          <w:vertAlign w:val="superscript"/>
        </w:rPr>
        <w:t>10</w:t>
      </w:r>
      <w:r>
        <w:rPr>
          <w:szCs w:val="24"/>
        </w:rPr>
        <w:t>.</w:t>
      </w:r>
    </w:p>
    <w:p w14:paraId="23528810" w14:textId="77777777" w:rsidR="00CC703E" w:rsidRDefault="00E37FDB">
      <w:pPr>
        <w:pStyle w:val="Heading4"/>
        <w:spacing w:after="120"/>
      </w:pPr>
      <w:r>
        <w:t xml:space="preserve">Likelihood </w:t>
      </w:r>
      <w:r>
        <w:rPr>
          <w:lang w:val="en-AU"/>
        </w:rPr>
        <w:t>of</w:t>
      </w:r>
      <w:r>
        <w:t xml:space="preserve"> each pathway being the source of infection for 1IP</w:t>
      </w:r>
    </w:p>
    <w:p w14:paraId="303AA135" w14:textId="77777777" w:rsidR="00CC703E" w:rsidRDefault="00E37FDB" w:rsidP="00D33113">
      <w:pPr>
        <w:pStyle w:val="Heading5"/>
        <w:rPr>
          <w:lang w:val="en-AU"/>
        </w:rPr>
      </w:pPr>
      <w:r>
        <w:rPr>
          <w:lang w:val="en-AU"/>
        </w:rPr>
        <w:t xml:space="preserve">Hatchery </w:t>
      </w:r>
      <w:r w:rsidRPr="00A73371">
        <w:t>broodstock</w:t>
      </w:r>
    </w:p>
    <w:p w14:paraId="54474E76" w14:textId="33CAF9EF" w:rsidR="00CC703E" w:rsidRDefault="00E37FDB">
      <w:pPr>
        <w:spacing w:after="0"/>
        <w:rPr>
          <w:lang w:eastAsia="x-none" w:bidi="hi-IN"/>
        </w:rPr>
      </w:pPr>
      <w:r>
        <w:rPr>
          <w:szCs w:val="24"/>
        </w:rPr>
        <w:t>Hatchery broodstock are considered an unlikely source of infection for 1IP because the hatchery supplying 1IP with stock also supplied other prawn farms that did not become infected.</w:t>
      </w:r>
    </w:p>
    <w:p w14:paraId="4E99E766" w14:textId="3CE03B6C" w:rsidR="00CC703E" w:rsidRDefault="00E37FDB">
      <w:pPr>
        <w:spacing w:after="0"/>
        <w:rPr>
          <w:szCs w:val="24"/>
        </w:rPr>
      </w:pPr>
      <w:r>
        <w:rPr>
          <w:szCs w:val="24"/>
        </w:rPr>
        <w:t xml:space="preserve">Before the WSD outbreak, wild-caught broodstock were already known to have introduced diseases into prawn aquaculture systems, overseas and in Australia. Consequently, in 2005 Queensland required </w:t>
      </w:r>
      <w:r w:rsidRPr="00A73371">
        <w:rPr>
          <w:szCs w:val="24"/>
        </w:rPr>
        <w:t xml:space="preserve">that </w:t>
      </w:r>
      <w:r>
        <w:rPr>
          <w:szCs w:val="24"/>
        </w:rPr>
        <w:t>a health certificate accompany broodstock prawns sourced from interstate. This was strengthened in April 2016 when a screening protocol was developed to test each batch of broodstock for key diseases before they were introduced to Queensland hatcheries, with faecal samples from 20 broodstock prawns and the pleopods (swimming legs) of 20 broodstock prawns submitted for testing. From April 2016 each batch of wild-caught prawns imported from northern Australian waters to Queensland</w:t>
      </w:r>
      <w:r w:rsidR="00D66E7E">
        <w:rPr>
          <w:szCs w:val="24"/>
          <w:vertAlign w:val="superscript"/>
        </w:rPr>
        <w:t>18</w:t>
      </w:r>
      <w:r w:rsidR="00F307A5">
        <w:rPr>
          <w:szCs w:val="24"/>
        </w:rPr>
        <w:t xml:space="preserve"> </w:t>
      </w:r>
      <w:r>
        <w:rPr>
          <w:szCs w:val="24"/>
        </w:rPr>
        <w:t>for hatchery broodstock was tested for WSSV and YHD—all returned negative results.</w:t>
      </w:r>
    </w:p>
    <w:p w14:paraId="014F086E" w14:textId="015483B1" w:rsidR="00CC703E" w:rsidRDefault="00E37FDB">
      <w:pPr>
        <w:spacing w:after="0"/>
        <w:rPr>
          <w:szCs w:val="24"/>
        </w:rPr>
      </w:pPr>
      <w:r>
        <w:rPr>
          <w:szCs w:val="24"/>
        </w:rPr>
        <w:t>When wild-caught prawns are being prepared for breeding—a process known as ‘conditioning broodstock’—they need to be fed a high protein, lipid and cholesterol diet. Formerly crustacean heads and polychaetes (marine worms) were used successfully as supplements. However, these are known to carry a high risk of infection with viruses such as WSSV</w:t>
      </w:r>
      <w:r w:rsidR="00D66E7E">
        <w:rPr>
          <w:szCs w:val="24"/>
          <w:vertAlign w:val="superscript"/>
        </w:rPr>
        <w:t>19</w:t>
      </w:r>
      <w:r>
        <w:rPr>
          <w:szCs w:val="24"/>
        </w:rPr>
        <w:t>, so most hatchery supplements are now specially formulated mixes of squid, mussels and bloodworms.</w:t>
      </w:r>
    </w:p>
    <w:p w14:paraId="5003054E" w14:textId="77777777" w:rsidR="00CC703E" w:rsidRDefault="00E37FDB" w:rsidP="00A73371">
      <w:pPr>
        <w:pStyle w:val="Heading5"/>
        <w:rPr>
          <w:lang w:val="en-AU"/>
        </w:rPr>
      </w:pPr>
      <w:r>
        <w:rPr>
          <w:lang w:val="en-AU"/>
        </w:rPr>
        <w:t xml:space="preserve">Prawn feed or feed </w:t>
      </w:r>
      <w:r w:rsidRPr="00A73371">
        <w:t>supplements</w:t>
      </w:r>
    </w:p>
    <w:p w14:paraId="1EEF54A9" w14:textId="224CCE88" w:rsidR="00CC703E" w:rsidRDefault="00E37FDB">
      <w:pPr>
        <w:spacing w:after="0"/>
        <w:rPr>
          <w:color w:val="000000"/>
          <w:szCs w:val="24"/>
          <w:lang w:eastAsia="en-AU"/>
        </w:rPr>
      </w:pPr>
      <w:r>
        <w:rPr>
          <w:szCs w:val="24"/>
        </w:rPr>
        <w:lastRenderedPageBreak/>
        <w:t>Prawn feed is also considered an unlikely source of the infection because the company supplying 1IP had also supplied several other prawn farms that remained uninfected. Their imported marine raw materials are heat treated to between 85 and 110 °C for 45 minutes, which destroys active viruses</w:t>
      </w:r>
      <w:r w:rsidR="00D66E7E">
        <w:rPr>
          <w:szCs w:val="24"/>
          <w:vertAlign w:val="superscript"/>
        </w:rPr>
        <w:t>20</w:t>
      </w:r>
      <w:r>
        <w:rPr>
          <w:szCs w:val="24"/>
        </w:rPr>
        <w:t>, and the company does not use farmed crustacean material in their feeds.</w:t>
      </w:r>
    </w:p>
    <w:p w14:paraId="5E8F95BC" w14:textId="05CE631F" w:rsidR="00CC703E" w:rsidRDefault="00E37FDB">
      <w:pPr>
        <w:spacing w:after="0"/>
      </w:pPr>
      <w:r>
        <w:rPr>
          <w:color w:val="000000"/>
          <w:szCs w:val="24"/>
          <w:lang w:eastAsia="en-AU"/>
        </w:rPr>
        <w:t>Prawn meals, even when made with infected prawn material, are not infective if subjected to heat treatment</w:t>
      </w:r>
      <w:r w:rsidR="00D66E7E">
        <w:rPr>
          <w:color w:val="000000"/>
          <w:szCs w:val="24"/>
          <w:vertAlign w:val="superscript"/>
          <w:lang w:eastAsia="en-AU"/>
        </w:rPr>
        <w:t>21</w:t>
      </w:r>
      <w:r w:rsidR="00467B8B">
        <w:rPr>
          <w:color w:val="000000"/>
          <w:szCs w:val="24"/>
          <w:vertAlign w:val="superscript"/>
          <w:lang w:eastAsia="en-AU"/>
        </w:rPr>
        <w:t>,</w:t>
      </w:r>
      <w:r w:rsidR="00552EC6">
        <w:rPr>
          <w:color w:val="000000"/>
          <w:szCs w:val="24"/>
          <w:vertAlign w:val="superscript"/>
          <w:lang w:eastAsia="en-AU"/>
        </w:rPr>
        <w:t xml:space="preserve"> </w:t>
      </w:r>
      <w:r w:rsidR="00D66E7E">
        <w:rPr>
          <w:color w:val="000000"/>
          <w:szCs w:val="24"/>
          <w:vertAlign w:val="superscript"/>
          <w:lang w:eastAsia="en-AU"/>
        </w:rPr>
        <w:t>22</w:t>
      </w:r>
      <w:r>
        <w:rPr>
          <w:color w:val="000000"/>
          <w:szCs w:val="24"/>
          <w:lang w:eastAsia="en-AU"/>
        </w:rPr>
        <w:t xml:space="preserve">. However, they may contain traces of viral DNA, which is no longer infective. Modern heat-treated prawn feeds have never been associated with outbreaks of WSSV disease. </w:t>
      </w:r>
      <w:r w:rsidR="00FB5C37" w:rsidRPr="00FB5C37">
        <w:rPr>
          <w:color w:val="000000"/>
          <w:szCs w:val="24"/>
          <w:lang w:eastAsia="en-AU"/>
        </w:rPr>
        <w:t xml:space="preserve"> </w:t>
      </w:r>
      <w:r w:rsidR="00FB5C37" w:rsidRPr="00254F7B">
        <w:rPr>
          <w:color w:val="000000"/>
          <w:szCs w:val="24"/>
          <w:lang w:eastAsia="en-AU"/>
        </w:rPr>
        <w:t>Article 9.8.3</w:t>
      </w:r>
      <w:r w:rsidR="00FB5C37" w:rsidRPr="00254F7B">
        <w:rPr>
          <w:color w:val="000000"/>
        </w:rPr>
        <w:t xml:space="preserve"> </w:t>
      </w:r>
      <w:r w:rsidR="00FB5C37" w:rsidRPr="00254F7B">
        <w:rPr>
          <w:color w:val="000000"/>
          <w:szCs w:val="24"/>
          <w:lang w:eastAsia="en-AU"/>
        </w:rPr>
        <w:t xml:space="preserve">of the </w:t>
      </w:r>
      <w:r w:rsidR="00FB5C37" w:rsidRPr="00A746F0">
        <w:rPr>
          <w:szCs w:val="24"/>
          <w:lang w:eastAsia="en-AU"/>
        </w:rPr>
        <w:t>Aquatic Animal Health Code</w:t>
      </w:r>
      <w:r w:rsidR="00C04637" w:rsidRPr="0087638C">
        <w:rPr>
          <w:szCs w:val="24"/>
          <w:vertAlign w:val="superscript"/>
          <w:lang w:eastAsia="en-AU"/>
        </w:rPr>
        <w:t>23</w:t>
      </w:r>
      <w:r w:rsidR="00FB5C37" w:rsidRPr="00FB5C37">
        <w:rPr>
          <w:szCs w:val="24"/>
          <w:lang w:eastAsia="en-AU"/>
        </w:rPr>
        <w:t xml:space="preserve"> </w:t>
      </w:r>
      <w:r>
        <w:rPr>
          <w:color w:val="000000"/>
          <w:szCs w:val="24"/>
          <w:lang w:eastAsia="en-AU"/>
        </w:rPr>
        <w:t xml:space="preserve">states that import conditions are not required for crustacean meal, crustacean oil and sufficiently </w:t>
      </w:r>
      <w:r>
        <w:rPr>
          <w:rFonts w:eastAsia="Times New Roman"/>
          <w:color w:val="000000"/>
          <w:szCs w:val="24"/>
          <w:lang w:val="en" w:eastAsia="en-AU"/>
        </w:rPr>
        <w:t>cooked crustaceans, irrespective of their prior WSSV status</w:t>
      </w:r>
      <w:r>
        <w:rPr>
          <w:rFonts w:cs="TradeGothic"/>
          <w:szCs w:val="24"/>
          <w:lang w:eastAsia="en-AU"/>
        </w:rPr>
        <w:t>.</w:t>
      </w:r>
    </w:p>
    <w:p w14:paraId="45702BEE" w14:textId="4C4D327D" w:rsidR="00CC703E" w:rsidRDefault="00E37FDB">
      <w:pPr>
        <w:tabs>
          <w:tab w:val="clear" w:pos="567"/>
        </w:tabs>
        <w:spacing w:after="0"/>
        <w:rPr>
          <w:color w:val="000000"/>
          <w:szCs w:val="24"/>
          <w:lang w:eastAsia="en-AU"/>
        </w:rPr>
      </w:pPr>
      <w:r>
        <w:rPr>
          <w:szCs w:val="24"/>
        </w:rPr>
        <w:t xml:space="preserve">Some feed samples from 1IP sent to AAHL by department staff investigating the source of the outbreak were reported to be positive for WSSV. According to the feed company, this was likely to be due to cross-contamination of feed at the farm; the same feed had been sent to other prawn farms and they had not been infected. Furthermore, prepared feed and feed ingredient samples taken from the feed mill were tested at both AAHL and EMAI. All of the feed samples and one of the raw materials tested by AAHL were positive, albeit at very high cut-off levels right on the limit of detection. In contrast, </w:t>
      </w:r>
      <w:r>
        <w:rPr>
          <w:color w:val="000000"/>
          <w:szCs w:val="24"/>
          <w:lang w:eastAsia="en-AU"/>
        </w:rPr>
        <w:t>EMAI picked up a positive result for only one sample and at a very high cut-off, indicating an indeterminate result (very low level of DNA or none at all). During six retests, EMAI got positive, negative, positive, negative, negative and negative results—effectively a negative score</w:t>
      </w:r>
      <w:r w:rsidR="00C04637">
        <w:rPr>
          <w:color w:val="000000"/>
          <w:szCs w:val="24"/>
          <w:vertAlign w:val="superscript"/>
          <w:lang w:eastAsia="en-AU"/>
        </w:rPr>
        <w:t>24</w:t>
      </w:r>
      <w:r w:rsidR="00467B8B">
        <w:rPr>
          <w:color w:val="000000"/>
          <w:szCs w:val="24"/>
          <w:vertAlign w:val="superscript"/>
          <w:lang w:eastAsia="en-AU"/>
        </w:rPr>
        <w:t>,</w:t>
      </w:r>
      <w:r w:rsidR="00552EC6">
        <w:rPr>
          <w:color w:val="000000"/>
          <w:szCs w:val="24"/>
          <w:vertAlign w:val="superscript"/>
          <w:lang w:eastAsia="en-AU"/>
        </w:rPr>
        <w:t xml:space="preserve"> </w:t>
      </w:r>
      <w:r w:rsidR="00C04637">
        <w:rPr>
          <w:color w:val="000000"/>
          <w:szCs w:val="24"/>
          <w:vertAlign w:val="superscript"/>
          <w:lang w:eastAsia="en-AU"/>
        </w:rPr>
        <w:t>25</w:t>
      </w:r>
      <w:r>
        <w:rPr>
          <w:color w:val="000000"/>
          <w:szCs w:val="24"/>
          <w:lang w:eastAsia="en-AU"/>
        </w:rPr>
        <w:t>.</w:t>
      </w:r>
    </w:p>
    <w:p w14:paraId="7B52331B" w14:textId="0D36B43C" w:rsidR="00CC703E" w:rsidRPr="00A73371" w:rsidRDefault="00E37FDB" w:rsidP="00A73371">
      <w:pPr>
        <w:pStyle w:val="Heading5"/>
      </w:pPr>
      <w:r w:rsidRPr="00A73371">
        <w:t>Previous undetected infection in wild Australian crustaceans</w:t>
      </w:r>
    </w:p>
    <w:p w14:paraId="1B7F975C" w14:textId="2D26C783" w:rsidR="00CC703E" w:rsidRDefault="00E37FDB">
      <w:pPr>
        <w:keepNext/>
        <w:widowControl w:val="0"/>
        <w:rPr>
          <w:szCs w:val="24"/>
        </w:rPr>
      </w:pPr>
      <w:r>
        <w:rPr>
          <w:szCs w:val="24"/>
        </w:rPr>
        <w:t xml:space="preserve">A </w:t>
      </w:r>
      <w:r w:rsidR="00EF2FB4">
        <w:rPr>
          <w:szCs w:val="24"/>
        </w:rPr>
        <w:t xml:space="preserve">longstanding </w:t>
      </w:r>
      <w:r>
        <w:rPr>
          <w:szCs w:val="24"/>
        </w:rPr>
        <w:t>wild source for the WSD outbreak is considered highly unlikely. Surveys of Australian wild-caught prawns have consistently proved negative for WSSV</w:t>
      </w:r>
      <w:r w:rsidR="008D2014">
        <w:rPr>
          <w:szCs w:val="24"/>
          <w:vertAlign w:val="superscript"/>
        </w:rPr>
        <w:t>26</w:t>
      </w:r>
      <w:r w:rsidR="00467B8B">
        <w:rPr>
          <w:szCs w:val="24"/>
          <w:vertAlign w:val="superscript"/>
        </w:rPr>
        <w:t>,</w:t>
      </w:r>
      <w:r w:rsidR="00552EC6">
        <w:rPr>
          <w:szCs w:val="24"/>
          <w:vertAlign w:val="superscript"/>
        </w:rPr>
        <w:t xml:space="preserve"> </w:t>
      </w:r>
      <w:r w:rsidR="008D2014">
        <w:rPr>
          <w:szCs w:val="24"/>
          <w:vertAlign w:val="superscript"/>
        </w:rPr>
        <w:t>27</w:t>
      </w:r>
      <w:r w:rsidR="0034395F">
        <w:rPr>
          <w:szCs w:val="24"/>
        </w:rPr>
        <w:t xml:space="preserve"> </w:t>
      </w:r>
      <w:r>
        <w:rPr>
          <w:szCs w:val="24"/>
        </w:rPr>
        <w:t>and ongoing testing of Australian prawns re-entering Australia from overseas processing has always been negative</w:t>
      </w:r>
      <w:r w:rsidR="008D2014">
        <w:rPr>
          <w:szCs w:val="24"/>
          <w:vertAlign w:val="superscript"/>
        </w:rPr>
        <w:t>28</w:t>
      </w:r>
      <w:r>
        <w:rPr>
          <w:szCs w:val="24"/>
        </w:rPr>
        <w:t>.</w:t>
      </w:r>
    </w:p>
    <w:p w14:paraId="08DE6457" w14:textId="77777777" w:rsidR="00CC703E" w:rsidRDefault="00E37FDB">
      <w:pPr>
        <w:keepNext/>
        <w:widowControl w:val="0"/>
        <w:rPr>
          <w:szCs w:val="24"/>
        </w:rPr>
      </w:pPr>
      <w:r>
        <w:rPr>
          <w:szCs w:val="24"/>
        </w:rPr>
        <w:t>In addition, 1IP was far from the river mouth, implying that a wild-sourced disease, if it came from the sea, bypassed farms closer to the marine environment.</w:t>
      </w:r>
    </w:p>
    <w:p w14:paraId="56BC0EC2" w14:textId="77777777" w:rsidR="00CC703E" w:rsidRDefault="00E37FDB">
      <w:pPr>
        <w:rPr>
          <w:szCs w:val="24"/>
        </w:rPr>
      </w:pPr>
      <w:r>
        <w:rPr>
          <w:szCs w:val="24"/>
        </w:rPr>
        <w:t>Finally, if there is an Australian wild strain of WSSV, why has it taken over 40 years to appear in Australian prawn farms that use wild-sourced broodstock? And why has it not appeared in farms with no effective biosecurity, when other Australian native viruses struck aquaculture ventures last century?</w:t>
      </w:r>
    </w:p>
    <w:p w14:paraId="6ADD731E" w14:textId="3B2FF6D0" w:rsidR="00EF2FB4" w:rsidRDefault="00E37FDB">
      <w:pPr>
        <w:rPr>
          <w:szCs w:val="24"/>
        </w:rPr>
      </w:pPr>
      <w:r>
        <w:rPr>
          <w:szCs w:val="24"/>
        </w:rPr>
        <w:t xml:space="preserve">Although various geographical isolates of WSSV with genotypic variability have been identified, they are all classified as a single WSSV species within the genus </w:t>
      </w:r>
      <w:r>
        <w:rPr>
          <w:i/>
          <w:iCs/>
          <w:szCs w:val="24"/>
        </w:rPr>
        <w:t>Whispovirus</w:t>
      </w:r>
      <w:r w:rsidR="00224377">
        <w:rPr>
          <w:iCs/>
          <w:szCs w:val="24"/>
          <w:vertAlign w:val="superscript"/>
        </w:rPr>
        <w:t>29</w:t>
      </w:r>
      <w:r>
        <w:rPr>
          <w:szCs w:val="24"/>
        </w:rPr>
        <w:t xml:space="preserve">. </w:t>
      </w:r>
      <w:r>
        <w:rPr>
          <w:bCs/>
        </w:rPr>
        <w:t xml:space="preserve">When this report was being prepared, </w:t>
      </w:r>
      <w:r w:rsidR="00EF2FB4">
        <w:rPr>
          <w:bCs/>
          <w:szCs w:val="24"/>
        </w:rPr>
        <w:t xml:space="preserve">QDAF was undertaking </w:t>
      </w:r>
      <w:r>
        <w:rPr>
          <w:bCs/>
        </w:rPr>
        <w:t>genotyping on the WSSV strains isolated from farmed and wild crustaceans during the outbreak investigations</w:t>
      </w:r>
      <w:r w:rsidR="00EF2FB4" w:rsidRPr="00F622FA">
        <w:rPr>
          <w:bCs/>
          <w:szCs w:val="24"/>
        </w:rPr>
        <w:t>, as well as on WSSV strains found in imported prawn products</w:t>
      </w:r>
      <w:r>
        <w:rPr>
          <w:bCs/>
        </w:rPr>
        <w:t>.</w:t>
      </w:r>
      <w:r>
        <w:t xml:space="preserve"> </w:t>
      </w:r>
      <w:r w:rsidR="00EF2FB4">
        <w:rPr>
          <w:szCs w:val="24"/>
        </w:rPr>
        <w:t>By November 2017</w:t>
      </w:r>
      <w:r w:rsidR="00EF2FB4" w:rsidRPr="00F622FA">
        <w:rPr>
          <w:szCs w:val="24"/>
        </w:rPr>
        <w:t xml:space="preserve"> results confirm</w:t>
      </w:r>
      <w:r w:rsidR="00EF2FB4">
        <w:rPr>
          <w:szCs w:val="24"/>
        </w:rPr>
        <w:t>ed</w:t>
      </w:r>
      <w:r w:rsidR="00EF2FB4" w:rsidRPr="00F622FA">
        <w:rPr>
          <w:szCs w:val="24"/>
        </w:rPr>
        <w:t xml:space="preserve"> that the outbreaks in farms </w:t>
      </w:r>
      <w:r w:rsidR="00EF2FB4">
        <w:rPr>
          <w:szCs w:val="24"/>
        </w:rPr>
        <w:t>along</w:t>
      </w:r>
      <w:r w:rsidR="00EF2FB4" w:rsidRPr="00F622FA">
        <w:rPr>
          <w:szCs w:val="24"/>
        </w:rPr>
        <w:t xml:space="preserve"> the Logan River likely originated from the same source, and that the WSSV in Morton Bay was not a result of spread from Logan </w:t>
      </w:r>
      <w:r w:rsidR="00943D0A" w:rsidRPr="00F622FA">
        <w:rPr>
          <w:szCs w:val="24"/>
        </w:rPr>
        <w:t>River</w:t>
      </w:r>
      <w:r w:rsidR="00EF2FB4" w:rsidRPr="00F622FA">
        <w:rPr>
          <w:szCs w:val="24"/>
        </w:rPr>
        <w:t xml:space="preserve"> (</w:t>
      </w:r>
      <w:r w:rsidR="00573B69">
        <w:rPr>
          <w:szCs w:val="24"/>
        </w:rPr>
        <w:t>or</w:t>
      </w:r>
      <w:r w:rsidR="00573B69" w:rsidRPr="00F622FA">
        <w:rPr>
          <w:szCs w:val="24"/>
        </w:rPr>
        <w:t xml:space="preserve"> </w:t>
      </w:r>
      <w:r w:rsidR="00EF2FB4" w:rsidRPr="00F622FA">
        <w:rPr>
          <w:szCs w:val="24"/>
        </w:rPr>
        <w:t>vice versa) but had a different</w:t>
      </w:r>
      <w:r w:rsidR="00EF2FB4">
        <w:rPr>
          <w:szCs w:val="24"/>
        </w:rPr>
        <w:t xml:space="preserve"> albeit closely related</w:t>
      </w:r>
      <w:r w:rsidR="00EF2FB4" w:rsidRPr="00F622FA">
        <w:rPr>
          <w:szCs w:val="24"/>
        </w:rPr>
        <w:t xml:space="preserve"> genotype</w:t>
      </w:r>
      <w:r w:rsidR="00224377">
        <w:rPr>
          <w:szCs w:val="24"/>
          <w:vertAlign w:val="superscript"/>
        </w:rPr>
        <w:t>30</w:t>
      </w:r>
      <w:r w:rsidR="00EF2FB4" w:rsidRPr="00F622FA">
        <w:rPr>
          <w:szCs w:val="24"/>
        </w:rPr>
        <w:t>. The origin of the WSSV g</w:t>
      </w:r>
      <w:r w:rsidR="00EF2FB4" w:rsidRPr="00450131">
        <w:rPr>
          <w:szCs w:val="24"/>
        </w:rPr>
        <w:t>enotypes from Queensland remain</w:t>
      </w:r>
      <w:r w:rsidR="00EF2FB4">
        <w:rPr>
          <w:szCs w:val="24"/>
        </w:rPr>
        <w:t xml:space="preserve">s </w:t>
      </w:r>
      <w:r w:rsidR="00EF2FB4" w:rsidRPr="00F622FA">
        <w:rPr>
          <w:szCs w:val="24"/>
        </w:rPr>
        <w:t>unc</w:t>
      </w:r>
      <w:r w:rsidR="00847913">
        <w:rPr>
          <w:szCs w:val="24"/>
        </w:rPr>
        <w:t>lear</w:t>
      </w:r>
      <w:r w:rsidR="00EF2FB4" w:rsidRPr="00F622FA">
        <w:rPr>
          <w:szCs w:val="24"/>
        </w:rPr>
        <w:t>.</w:t>
      </w:r>
    </w:p>
    <w:p w14:paraId="078F0850" w14:textId="3A1C6008" w:rsidR="00CC703E" w:rsidRDefault="00EF2FB4">
      <w:pPr>
        <w:rPr>
          <w:lang w:eastAsia="x-none" w:bidi="hi-IN"/>
        </w:rPr>
      </w:pPr>
      <w:r>
        <w:lastRenderedPageBreak/>
        <w:t xml:space="preserve">Further genotyping of WSSV </w:t>
      </w:r>
      <w:r w:rsidR="00E37FDB">
        <w:t xml:space="preserve">may assist in identifying the potential country of origin of the virus, but not how it entered the affected farms. A close similarity between the Australian WSSV sequences and </w:t>
      </w:r>
      <w:r w:rsidR="00847913">
        <w:t>any</w:t>
      </w:r>
      <w:r w:rsidR="00E37FDB">
        <w:t xml:space="preserve"> reported from overseas would support a very recent introduction rather than a longstanding endemic WSSV infection in Australian crustaceans.</w:t>
      </w:r>
    </w:p>
    <w:p w14:paraId="153EA4C1" w14:textId="77777777" w:rsidR="00CC703E" w:rsidRDefault="00E37FDB" w:rsidP="00A73371">
      <w:pPr>
        <w:pStyle w:val="Heading5"/>
        <w:rPr>
          <w:lang w:val="en-AU"/>
        </w:rPr>
      </w:pPr>
      <w:r>
        <w:rPr>
          <w:lang w:val="en-AU"/>
        </w:rPr>
        <w:t xml:space="preserve">Ballast </w:t>
      </w:r>
      <w:r w:rsidRPr="00A73371">
        <w:t>water</w:t>
      </w:r>
    </w:p>
    <w:p w14:paraId="1F4342BA" w14:textId="416F5C0A" w:rsidR="00CC703E" w:rsidRDefault="00E37FDB">
      <w:pPr>
        <w:rPr>
          <w:szCs w:val="24"/>
        </w:rPr>
      </w:pPr>
      <w:r>
        <w:rPr>
          <w:szCs w:val="24"/>
        </w:rPr>
        <w:t xml:space="preserve">Ballast water is considered an unlikely source of the WSD outbreak. The OIE states that </w:t>
      </w:r>
      <w:r>
        <w:rPr>
          <w:rFonts w:cs="Arial"/>
          <w:szCs w:val="24"/>
          <w:lang w:eastAsia="en-AU"/>
        </w:rPr>
        <w:t xml:space="preserve">under laboratory conditions, </w:t>
      </w:r>
      <w:r>
        <w:rPr>
          <w:szCs w:val="24"/>
        </w:rPr>
        <w:t>WSSV</w:t>
      </w:r>
      <w:r>
        <w:rPr>
          <w:rFonts w:cs="Arial"/>
          <w:szCs w:val="24"/>
          <w:lang w:eastAsia="en-AU"/>
        </w:rPr>
        <w:t xml:space="preserve"> is viable for at least 30 days at 30 °C in seawater. In ponds, WSSV is only viable for at least 3 to 4 days</w:t>
      </w:r>
      <w:r w:rsidR="00224377">
        <w:rPr>
          <w:rFonts w:cs="Arial"/>
          <w:szCs w:val="24"/>
          <w:vertAlign w:val="superscript"/>
          <w:lang w:eastAsia="en-AU"/>
        </w:rPr>
        <w:t>31</w:t>
      </w:r>
      <w:r>
        <w:rPr>
          <w:rFonts w:cs="Arial"/>
          <w:szCs w:val="24"/>
          <w:lang w:eastAsia="en-AU"/>
        </w:rPr>
        <w:t xml:space="preserve">. </w:t>
      </w:r>
      <w:r>
        <w:rPr>
          <w:szCs w:val="24"/>
        </w:rPr>
        <w:t>The scarce evidence on persistence of WSSV in the environment suggests that the virus disappears in a relatively short time, especially in the presence of organic matter</w:t>
      </w:r>
      <w:r w:rsidR="00224377">
        <w:rPr>
          <w:szCs w:val="24"/>
          <w:vertAlign w:val="superscript"/>
        </w:rPr>
        <w:t>32</w:t>
      </w:r>
      <w:r>
        <w:rPr>
          <w:szCs w:val="24"/>
        </w:rPr>
        <w:t>. Taw</w:t>
      </w:r>
      <w:r w:rsidR="00224377">
        <w:rPr>
          <w:szCs w:val="24"/>
          <w:vertAlign w:val="superscript"/>
        </w:rPr>
        <w:t>33</w:t>
      </w:r>
      <w:r w:rsidR="00BE0DED">
        <w:rPr>
          <w:szCs w:val="24"/>
        </w:rPr>
        <w:t xml:space="preserve"> </w:t>
      </w:r>
      <w:r>
        <w:rPr>
          <w:szCs w:val="24"/>
        </w:rPr>
        <w:t>claimed that the virus died within 72 hours in prawn pond water that did not contain suitable hosts.</w:t>
      </w:r>
    </w:p>
    <w:p w14:paraId="72639F67" w14:textId="6D9CDDE8" w:rsidR="00CC703E" w:rsidRDefault="00E37FDB">
      <w:pPr>
        <w:rPr>
          <w:lang w:eastAsia="x-none" w:bidi="hi-IN"/>
        </w:rPr>
      </w:pPr>
      <w:r>
        <w:rPr>
          <w:szCs w:val="24"/>
        </w:rPr>
        <w:t xml:space="preserve">International ships entering Australian waters </w:t>
      </w:r>
      <w:r w:rsidR="00CA760A">
        <w:rPr>
          <w:szCs w:val="24"/>
        </w:rPr>
        <w:t>must</w:t>
      </w:r>
      <w:r>
        <w:rPr>
          <w:szCs w:val="24"/>
        </w:rPr>
        <w:t xml:space="preserve"> manage ballast water. </w:t>
      </w:r>
      <w:r>
        <w:rPr>
          <w:rFonts w:cs="Segoe UI"/>
          <w:szCs w:val="24"/>
        </w:rPr>
        <w:t xml:space="preserve">Under the </w:t>
      </w:r>
      <w:r>
        <w:rPr>
          <w:rFonts w:cs="Segoe UI"/>
          <w:i/>
          <w:szCs w:val="24"/>
        </w:rPr>
        <w:t>Biosecurity</w:t>
      </w:r>
      <w:r w:rsidR="00A05A0E" w:rsidRPr="00A05A0E">
        <w:rPr>
          <w:rFonts w:cs="Segoe UI"/>
          <w:i/>
          <w:szCs w:val="24"/>
        </w:rPr>
        <w:t> </w:t>
      </w:r>
      <w:r>
        <w:rPr>
          <w:rFonts w:cs="Segoe UI"/>
          <w:i/>
          <w:szCs w:val="24"/>
        </w:rPr>
        <w:t>Act 2015</w:t>
      </w:r>
      <w:r>
        <w:rPr>
          <w:rFonts w:cs="Segoe UI"/>
          <w:szCs w:val="24"/>
        </w:rPr>
        <w:t>, it is an offence to discharge overseas-acquired ballast water in Australian seas. It is a requirement that before arrival in Australian ports or waters, all high-risk ballast water tanks undergo a deep ocean exchange outside the 12 nautical mile limit. This also applies to any towed vessel with the capacity to hold ballast water. Biosecurity officers may conduct a ballast verification and confirm that appropriate ballast exchanges have been completed</w:t>
      </w:r>
      <w:r w:rsidR="00A0503C">
        <w:rPr>
          <w:rFonts w:cs="Segoe UI"/>
          <w:szCs w:val="24"/>
          <w:vertAlign w:val="superscript"/>
        </w:rPr>
        <w:t>34</w:t>
      </w:r>
      <w:r>
        <w:rPr>
          <w:rFonts w:cs="Segoe UI"/>
          <w:szCs w:val="24"/>
        </w:rPr>
        <w:t>. Assuming that these requirements were met, it seems unlikely that unmanaged ballast water was discharged in southern Moreton Bay.</w:t>
      </w:r>
      <w:r w:rsidR="00943D0A" w:rsidRPr="00943D0A">
        <w:rPr>
          <w:rFonts w:cs="Segoe UI"/>
          <w:szCs w:val="24"/>
        </w:rPr>
        <w:t xml:space="preserve"> </w:t>
      </w:r>
      <w:r w:rsidR="00872957">
        <w:rPr>
          <w:rFonts w:cs="Segoe UI"/>
          <w:szCs w:val="24"/>
        </w:rPr>
        <w:t>However, b</w:t>
      </w:r>
      <w:r w:rsidR="00943D0A">
        <w:rPr>
          <w:rFonts w:cs="Segoe UI"/>
          <w:szCs w:val="24"/>
        </w:rPr>
        <w:t>allast water or processing waste was suggested as a possible source for the 2011</w:t>
      </w:r>
      <w:r w:rsidR="00943D0A" w:rsidRPr="00943D0A">
        <w:rPr>
          <w:rFonts w:cs="Segoe UI"/>
          <w:szCs w:val="24"/>
        </w:rPr>
        <w:t>–</w:t>
      </w:r>
      <w:r w:rsidR="00943D0A">
        <w:rPr>
          <w:rFonts w:cs="Segoe UI"/>
          <w:szCs w:val="24"/>
        </w:rPr>
        <w:t>12 WSSV outbreak in Madagascar and Mozambique</w:t>
      </w:r>
      <w:r w:rsidR="00A0503C">
        <w:rPr>
          <w:rFonts w:cs="Segoe UI"/>
          <w:szCs w:val="24"/>
          <w:vertAlign w:val="superscript"/>
        </w:rPr>
        <w:t>35</w:t>
      </w:r>
      <w:r w:rsidR="00943D0A">
        <w:rPr>
          <w:rFonts w:cs="Segoe UI"/>
          <w:szCs w:val="24"/>
        </w:rPr>
        <w:t>.</w:t>
      </w:r>
    </w:p>
    <w:p w14:paraId="72E71758" w14:textId="77777777" w:rsidR="00CC703E" w:rsidRDefault="00E37FDB" w:rsidP="00A73371">
      <w:pPr>
        <w:pStyle w:val="Heading5"/>
        <w:rPr>
          <w:lang w:val="en-AU"/>
        </w:rPr>
      </w:pPr>
      <w:r>
        <w:rPr>
          <w:lang w:val="en-AU"/>
        </w:rPr>
        <w:t xml:space="preserve">Contaminated </w:t>
      </w:r>
      <w:r w:rsidRPr="00A73371">
        <w:t>equipment</w:t>
      </w:r>
    </w:p>
    <w:p w14:paraId="26777E96" w14:textId="5B833A9E" w:rsidR="00CC703E" w:rsidRDefault="00E37FDB" w:rsidP="0039601F">
      <w:r>
        <w:rPr>
          <w:szCs w:val="24"/>
        </w:rPr>
        <w:t>Movement of equipment is an unlikely source of infection for 1IP and would, if it occurred, indicate a breakdown in Australian border controls. Used aquaculture equipment is subject to declaration and cleaning at the border; the virus cannot withstand desiccation for more than 3 hours and lives from 3 to 30 days in seawater</w:t>
      </w:r>
      <w:r w:rsidR="00A0503C">
        <w:rPr>
          <w:szCs w:val="24"/>
          <w:vertAlign w:val="superscript"/>
        </w:rPr>
        <w:t>36</w:t>
      </w:r>
      <w:r w:rsidR="00467B8B">
        <w:rPr>
          <w:szCs w:val="24"/>
          <w:vertAlign w:val="superscript"/>
        </w:rPr>
        <w:t>,</w:t>
      </w:r>
      <w:r w:rsidR="00552EC6">
        <w:rPr>
          <w:szCs w:val="24"/>
          <w:vertAlign w:val="superscript"/>
        </w:rPr>
        <w:t xml:space="preserve"> </w:t>
      </w:r>
      <w:r w:rsidR="00A0503C">
        <w:rPr>
          <w:szCs w:val="24"/>
          <w:vertAlign w:val="superscript"/>
        </w:rPr>
        <w:t>37</w:t>
      </w:r>
      <w:r>
        <w:rPr>
          <w:szCs w:val="24"/>
        </w:rPr>
        <w:t xml:space="preserve">. However, movement of </w:t>
      </w:r>
      <w:r w:rsidR="00CA760A">
        <w:rPr>
          <w:szCs w:val="24"/>
        </w:rPr>
        <w:t xml:space="preserve">damp </w:t>
      </w:r>
      <w:r>
        <w:rPr>
          <w:szCs w:val="24"/>
        </w:rPr>
        <w:t>equipment could explain intra-farm movement of the virus once the outbreak began.</w:t>
      </w:r>
    </w:p>
    <w:p w14:paraId="513FFE75" w14:textId="06AD0744" w:rsidR="00CC703E" w:rsidRDefault="00E37FDB" w:rsidP="00A73371">
      <w:pPr>
        <w:pStyle w:val="Heading5"/>
        <w:rPr>
          <w:lang w:val="en-AU"/>
        </w:rPr>
      </w:pPr>
      <w:r>
        <w:rPr>
          <w:lang w:val="en-AU"/>
        </w:rPr>
        <w:t xml:space="preserve">Deliberate </w:t>
      </w:r>
      <w:r w:rsidRPr="00A73371">
        <w:t>sabotage</w:t>
      </w:r>
    </w:p>
    <w:p w14:paraId="1F11B0AA" w14:textId="4E4C9BA1" w:rsidR="00CC703E" w:rsidRDefault="00E37FDB" w:rsidP="0039601F">
      <w:pPr>
        <w:autoSpaceDE w:val="0"/>
        <w:autoSpaceDN w:val="0"/>
        <w:adjustRightInd w:val="0"/>
        <w:rPr>
          <w:szCs w:val="24"/>
        </w:rPr>
      </w:pPr>
      <w:r>
        <w:rPr>
          <w:rFonts w:cs="Segoe UI"/>
          <w:szCs w:val="24"/>
        </w:rPr>
        <w:t>Deliberate illegal activity remains a possible pathway</w:t>
      </w:r>
      <w:r w:rsidR="00A0503C">
        <w:rPr>
          <w:rFonts w:cs="Segoe UI"/>
          <w:szCs w:val="24"/>
          <w:vertAlign w:val="superscript"/>
        </w:rPr>
        <w:t>38</w:t>
      </w:r>
      <w:r w:rsidR="00292E26">
        <w:rPr>
          <w:rFonts w:cs="Segoe UI"/>
          <w:szCs w:val="24"/>
        </w:rPr>
        <w:t xml:space="preserve"> </w:t>
      </w:r>
      <w:r>
        <w:rPr>
          <w:szCs w:val="24"/>
        </w:rPr>
        <w:t>and sabotage by illegal introduction of infected prawns into the first infected pond of 1IP cannot be discounted. If that were the case, imported prawns bought at retail outlets would arguably have been the most likely source of infection because of their ready availability.</w:t>
      </w:r>
    </w:p>
    <w:p w14:paraId="04B31B4A" w14:textId="77777777" w:rsidR="00CC703E" w:rsidRDefault="00E37FDB">
      <w:pPr>
        <w:rPr>
          <w:lang w:eastAsia="x-none" w:bidi="hi-IN"/>
        </w:rPr>
      </w:pPr>
      <w:r>
        <w:rPr>
          <w:rFonts w:cs="Segoe UI"/>
          <w:szCs w:val="24"/>
        </w:rPr>
        <w:t>Apart from preventing infected prawns from being available at the retail level, the only defence against such activity would be very strict on-farm biosecurity.</w:t>
      </w:r>
    </w:p>
    <w:p w14:paraId="662A9BD4" w14:textId="77777777" w:rsidR="00CC703E" w:rsidRDefault="00E37FDB" w:rsidP="00A73371">
      <w:pPr>
        <w:pStyle w:val="Heading5"/>
        <w:rPr>
          <w:lang w:val="en-AU"/>
        </w:rPr>
      </w:pPr>
      <w:r>
        <w:rPr>
          <w:lang w:val="en-AU"/>
        </w:rPr>
        <w:t>Imported retail prawns used as bait or berley</w:t>
      </w:r>
      <w:bookmarkStart w:id="58" w:name="_Toc367702821"/>
      <w:bookmarkStart w:id="59" w:name="_Toc367706534"/>
      <w:bookmarkStart w:id="60" w:name="_Toc367707114"/>
      <w:bookmarkStart w:id="61" w:name="_Toc367707295"/>
      <w:bookmarkStart w:id="62" w:name="_Toc367708177"/>
      <w:bookmarkStart w:id="63" w:name="_Toc391449706"/>
    </w:p>
    <w:p w14:paraId="0BA90BD4" w14:textId="29DE0780" w:rsidR="00CC703E" w:rsidRDefault="00E37FDB">
      <w:pPr>
        <w:spacing w:before="60" w:after="0"/>
      </w:pPr>
      <w:bookmarkStart w:id="64" w:name="_Toc490040467"/>
      <w:r>
        <w:t xml:space="preserve">The use of imported raw prawns by fishers for bait or berley was considered in the 2009 generic import risk analysis (IRA) to be a relatively minor practice. However, </w:t>
      </w:r>
      <w:r>
        <w:lastRenderedPageBreak/>
        <w:t>by 2016 the practice had become more common due to population increases and the availability at retail outlets of frozen imported prawn product, which was often far cheaper than comparable product sold in bait shops. Much of this retail product was infected, as shown by various studies</w:t>
      </w:r>
      <w:r w:rsidR="007B4E45">
        <w:t>.</w:t>
      </w:r>
      <w:r>
        <w:t xml:space="preserve"> For example, in 2006 the WA and Queensland governments tested 14 batches of raw, peeled imported supermarket prawns (</w:t>
      </w:r>
      <w:r w:rsidR="003265FC">
        <w:t>five</w:t>
      </w:r>
      <w:r>
        <w:t xml:space="preserve"> prawns tested per batch) and found all batches WSSV positive, with a WSSV prevalence from 20 to 100 per cent per batch</w:t>
      </w:r>
      <w:r w:rsidR="00A0503C">
        <w:rPr>
          <w:vertAlign w:val="superscript"/>
        </w:rPr>
        <w:t>39</w:t>
      </w:r>
      <w:r>
        <w:t>. In response to this finding, new risk management measures for uncooked prawn imports were introduced after 2007, and it was assumed the retail prevalence levels would therefore have subsequently decreased. Nevertheless, in 2016–17 around 70 per cent of retail prawns were found to be infected</w:t>
      </w:r>
      <w:r w:rsidR="007B4E45">
        <w:t xml:space="preserve"> (</w:t>
      </w:r>
      <w:r w:rsidR="007B4E45" w:rsidRPr="001D76D4">
        <w:t>chapters 7 and 9).</w:t>
      </w:r>
    </w:p>
    <w:p w14:paraId="6F37887F" w14:textId="5FF952F7" w:rsidR="00CC703E" w:rsidRDefault="00E37FDB">
      <w:r>
        <w:t xml:space="preserve">The label ‘not to be </w:t>
      </w:r>
      <w:r>
        <w:rPr>
          <w:rFonts w:cs="Segoe UI"/>
          <w:szCs w:val="24"/>
        </w:rPr>
        <w:t>used</w:t>
      </w:r>
      <w:r>
        <w:t xml:space="preserve"> for bait’ was originally required to prevent whole consignments of raw prawns being prepared overseas, imported and sent to bait shops. This can be monitored at the border, but it is not possible or practical for the Australian Government to monitor or enforce bait use other than by exception, as part of a special biosecurity operation.</w:t>
      </w:r>
    </w:p>
    <w:p w14:paraId="407C7117" w14:textId="77777777" w:rsidR="00CC703E" w:rsidRDefault="00E37FDB">
      <w:r>
        <w:t xml:space="preserve">However, imported uncooked prawns could end up in bait shops if they were being discarded from the </w:t>
      </w:r>
      <w:r>
        <w:rPr>
          <w:rFonts w:cs="Segoe UI"/>
          <w:szCs w:val="24"/>
        </w:rPr>
        <w:t>human</w:t>
      </w:r>
      <w:r>
        <w:t xml:space="preserve"> food chain for some reason (for example, past their use by date). Reported price differentials (up to fourfold) between bait and some retail prawns before 2017 could have been motivation for reselling imported prawns in bait shops, but this behaviour was not expected and therefore not looked for.</w:t>
      </w:r>
    </w:p>
    <w:p w14:paraId="010B4A10" w14:textId="11184C7E" w:rsidR="00CC703E" w:rsidRDefault="00E37FDB">
      <w:r>
        <w:t xml:space="preserve">In view of the </w:t>
      </w:r>
      <w:r>
        <w:rPr>
          <w:rFonts w:cs="Segoe UI"/>
          <w:szCs w:val="24"/>
        </w:rPr>
        <w:t>findings</w:t>
      </w:r>
      <w:r>
        <w:t xml:space="preserve"> in this report, I consider that the use of infected imported prawns for bait or berley in the Logan River was a possible pathway of infection for 1IP. Nevertheless, all the possible pathways of WSD entry into Australia, and their risk mitigation, need active consideration by all relevant stakeholders.</w:t>
      </w:r>
    </w:p>
    <w:p w14:paraId="2924FEF6" w14:textId="77777777" w:rsidR="00CC703E" w:rsidRDefault="00E37FDB" w:rsidP="00D33113">
      <w:pPr>
        <w:pStyle w:val="Heading3"/>
        <w:numPr>
          <w:ilvl w:val="0"/>
          <w:numId w:val="0"/>
        </w:numPr>
        <w:pBdr>
          <w:top w:val="single" w:sz="4" w:space="1" w:color="auto"/>
          <w:left w:val="single" w:sz="4" w:space="1" w:color="auto"/>
          <w:bottom w:val="single" w:sz="4" w:space="1" w:color="auto"/>
          <w:right w:val="single" w:sz="4" w:space="1" w:color="auto"/>
        </w:pBdr>
        <w:ind w:left="567" w:hanging="567"/>
      </w:pPr>
      <w:bookmarkStart w:id="65" w:name="_Toc499132618"/>
      <w:bookmarkStart w:id="66" w:name="_Toc499963136"/>
      <w:bookmarkStart w:id="67" w:name="_Toc500162442"/>
      <w:bookmarkStart w:id="68" w:name="_Toc500238699"/>
      <w:bookmarkStart w:id="69" w:name="_Toc500508384"/>
      <w:r>
        <w:t xml:space="preserve">Recommendation </w:t>
      </w:r>
      <w:r w:rsidR="00F329C0">
        <w:fldChar w:fldCharType="begin"/>
      </w:r>
      <w:r w:rsidR="00F329C0">
        <w:instrText xml:space="preserve"> SEQ Recommendation \* ARABIC </w:instrText>
      </w:r>
      <w:r w:rsidR="00F329C0">
        <w:fldChar w:fldCharType="separate"/>
      </w:r>
      <w:r w:rsidR="00121BC1">
        <w:rPr>
          <w:noProof/>
        </w:rPr>
        <w:t>1</w:t>
      </w:r>
      <w:bookmarkEnd w:id="65"/>
      <w:bookmarkEnd w:id="66"/>
      <w:bookmarkEnd w:id="67"/>
      <w:bookmarkEnd w:id="68"/>
      <w:bookmarkEnd w:id="69"/>
      <w:r w:rsidR="00F329C0">
        <w:rPr>
          <w:noProof/>
        </w:rPr>
        <w:fldChar w:fldCharType="end"/>
      </w:r>
    </w:p>
    <w:p w14:paraId="0B55F139" w14:textId="22D47013" w:rsidR="00CC703E" w:rsidRDefault="00150A32" w:rsidP="00D33113">
      <w:pPr>
        <w:pBdr>
          <w:top w:val="single" w:sz="4" w:space="1" w:color="auto"/>
          <w:left w:val="single" w:sz="4" w:space="1" w:color="auto"/>
          <w:bottom w:val="single" w:sz="4" w:space="1" w:color="auto"/>
          <w:right w:val="single" w:sz="4" w:space="1" w:color="auto"/>
        </w:pBdr>
        <w:tabs>
          <w:tab w:val="clear" w:pos="567"/>
        </w:tabs>
        <w:spacing w:before="0" w:after="0"/>
        <w:rPr>
          <w:szCs w:val="24"/>
        </w:rPr>
      </w:pPr>
      <w:r w:rsidRPr="00150A32">
        <w:rPr>
          <w:szCs w:val="24"/>
        </w:rPr>
        <w:t>The department, in consultation with industry and state/territory governments, should review risk mitigation measures for the various pathways for white spot disease to enter and establish in Australia.</w:t>
      </w:r>
    </w:p>
    <w:p w14:paraId="7B13CC1E" w14:textId="2FA0147A" w:rsidR="00CC703E" w:rsidRPr="00C4292B" w:rsidRDefault="00E37FDB" w:rsidP="00D33113">
      <w:pPr>
        <w:pBdr>
          <w:top w:val="single" w:sz="4" w:space="1" w:color="auto"/>
          <w:left w:val="single" w:sz="4" w:space="1" w:color="auto"/>
          <w:bottom w:val="single" w:sz="4" w:space="1" w:color="auto"/>
          <w:right w:val="single" w:sz="4" w:space="1" w:color="auto"/>
        </w:pBdr>
      </w:pPr>
      <w:r>
        <w:rPr>
          <w:b/>
        </w:rPr>
        <w:t>Department’s response:</w:t>
      </w:r>
      <w:r w:rsidR="00C4292B">
        <w:t xml:space="preserve"> Agree. </w:t>
      </w:r>
      <w:r w:rsidR="00C4292B" w:rsidRPr="00C4292B">
        <w:t>The department has commenced a review of the biosecurity risks of, and import conditions for, prawns imported for human consumption. There will be extensive consultation and engagement with aquatic health and production experts in Australian and state/territory government agencies, universities and industry to support the prawn risk review.</w:t>
      </w:r>
    </w:p>
    <w:p w14:paraId="418A8A21" w14:textId="6C3B3BAA" w:rsidR="00CC703E" w:rsidRPr="00A0621D" w:rsidRDefault="00E37FDB" w:rsidP="00A0621D">
      <w:pPr>
        <w:pStyle w:val="Heading3"/>
        <w:rPr>
          <w:rStyle w:val="Heading3Char"/>
          <w:rFonts w:eastAsia="Calibri"/>
          <w:b/>
          <w:bCs/>
        </w:rPr>
      </w:pPr>
      <w:bookmarkStart w:id="70" w:name="_Toc500508385"/>
      <w:r w:rsidRPr="00A0621D">
        <w:rPr>
          <w:rStyle w:val="Heading3Char"/>
          <w:rFonts w:eastAsia="Calibri"/>
          <w:b/>
          <w:bCs/>
        </w:rPr>
        <w:t>Risks of uncooked prawn imports into Australia led to import suspension, January 2017</w:t>
      </w:r>
      <w:bookmarkEnd w:id="70"/>
    </w:p>
    <w:bookmarkEnd w:id="64"/>
    <w:p w14:paraId="7AE1F385" w14:textId="1C62059D" w:rsidR="00CC703E" w:rsidRPr="00295AE8" w:rsidRDefault="00E37FDB">
      <w:pPr>
        <w:autoSpaceDE w:val="0"/>
        <w:autoSpaceDN w:val="0"/>
        <w:adjustRightInd w:val="0"/>
        <w:rPr>
          <w:rFonts w:cs="Segoe UI"/>
          <w:szCs w:val="24"/>
        </w:rPr>
      </w:pPr>
      <w:r>
        <w:rPr>
          <w:rFonts w:cs="Segoe UI"/>
          <w:szCs w:val="24"/>
        </w:rPr>
        <w:t xml:space="preserve">At the start of the Logan River outbreak, recreational fishers near 1IP </w:t>
      </w:r>
      <w:r w:rsidRPr="00295AE8">
        <w:rPr>
          <w:rFonts w:cs="Segoe UI"/>
          <w:szCs w:val="24"/>
        </w:rPr>
        <w:t>were found to be using imported prawns for bait, which subsequently tested positive for WSSV.</w:t>
      </w:r>
    </w:p>
    <w:p w14:paraId="494825DC" w14:textId="77777777" w:rsidR="00CC703E" w:rsidRDefault="00E37FDB" w:rsidP="00723E0D">
      <w:pPr>
        <w:pStyle w:val="ListBullet"/>
      </w:pPr>
      <w:r w:rsidRPr="00295AE8">
        <w:t>On 19 December 2016 investigators found tw</w:t>
      </w:r>
      <w:r>
        <w:t>o fishers, approximately 5 kilometres upstream from the first outbreak, fishing with imported uncooked prawns for human consumption. On 22 December 2016 the department received advice that these prawns had tested positive for WSSV.</w:t>
      </w:r>
    </w:p>
    <w:p w14:paraId="6FE13C2A" w14:textId="213BF892" w:rsidR="00CC703E" w:rsidRDefault="00E37FDB" w:rsidP="00723E0D">
      <w:pPr>
        <w:pStyle w:val="ListBullet"/>
      </w:pPr>
      <w:r>
        <w:lastRenderedPageBreak/>
        <w:t>On 14 and 15 December investigators purchased 19 uncooked imported prawn products from retail outlets within 10 kilometres of the infected properties. On 4 January 2017 AAHL notified the department that 14 of the 19 samples had tested positive for WSSV</w:t>
      </w:r>
      <w:r w:rsidR="00A0503C">
        <w:rPr>
          <w:vertAlign w:val="superscript"/>
        </w:rPr>
        <w:t>40</w:t>
      </w:r>
      <w:r>
        <w:t>.</w:t>
      </w:r>
    </w:p>
    <w:p w14:paraId="2ECE0FE5" w14:textId="2868C64A" w:rsidR="00CC703E" w:rsidRDefault="00E37FDB">
      <w:pPr>
        <w:tabs>
          <w:tab w:val="clear" w:pos="567"/>
        </w:tabs>
        <w:autoSpaceDE w:val="0"/>
        <w:autoSpaceDN w:val="0"/>
        <w:adjustRightInd w:val="0"/>
        <w:spacing w:before="60" w:after="0"/>
        <w:rPr>
          <w:rFonts w:ascii="Cambria" w:hAnsi="Cambria"/>
          <w:b/>
        </w:rPr>
      </w:pPr>
      <w:r>
        <w:rPr>
          <w:rFonts w:cs="Segoe UI"/>
          <w:szCs w:val="24"/>
        </w:rPr>
        <w:t>The combination of these factors—retail availability of WSSV-positive imported prawns and</w:t>
      </w:r>
      <w:r>
        <w:rPr>
          <w:lang w:eastAsia="ja-JP"/>
        </w:rPr>
        <w:t xml:space="preserve"> evidence that these prawns were being used as bait—meant that the level of risk associated with these products had become unacceptable and led to the suspension of uncooked prawn imports into Australia for </w:t>
      </w:r>
      <w:r w:rsidRPr="00A73371">
        <w:rPr>
          <w:lang w:eastAsia="ja-JP"/>
        </w:rPr>
        <w:t>six</w:t>
      </w:r>
      <w:r>
        <w:rPr>
          <w:lang w:eastAsia="ja-JP"/>
        </w:rPr>
        <w:t xml:space="preserve"> months from </w:t>
      </w:r>
      <w:r w:rsidR="00074B45">
        <w:rPr>
          <w:lang w:eastAsia="ja-JP"/>
        </w:rPr>
        <w:t>6</w:t>
      </w:r>
      <w:r>
        <w:rPr>
          <w:lang w:eastAsia="ja-JP"/>
        </w:rPr>
        <w:t xml:space="preserve"> January 2017.</w:t>
      </w:r>
    </w:p>
    <w:p w14:paraId="324488C1" w14:textId="20414921" w:rsidR="00CC703E" w:rsidRDefault="00E37FDB" w:rsidP="00723E0D">
      <w:pPr>
        <w:pStyle w:val="Heading2"/>
      </w:pPr>
      <w:bookmarkStart w:id="71" w:name="_Toc490040473"/>
      <w:bookmarkStart w:id="72" w:name="_Toc500508386"/>
      <w:bookmarkEnd w:id="58"/>
      <w:bookmarkEnd w:id="59"/>
      <w:bookmarkEnd w:id="60"/>
      <w:bookmarkEnd w:id="61"/>
      <w:bookmarkEnd w:id="62"/>
      <w:bookmarkEnd w:id="63"/>
      <w:r>
        <w:lastRenderedPageBreak/>
        <w:t>Prawn production, trade and diseases</w:t>
      </w:r>
      <w:bookmarkEnd w:id="71"/>
      <w:bookmarkEnd w:id="72"/>
    </w:p>
    <w:p w14:paraId="0A3F0F4F" w14:textId="5455210C" w:rsidR="00CC703E" w:rsidRPr="00723E0D" w:rsidRDefault="00E37FDB" w:rsidP="00723E0D">
      <w:pPr>
        <w:pStyle w:val="Heading3"/>
        <w:rPr>
          <w:rStyle w:val="Heading3Char"/>
          <w:rFonts w:eastAsia="Calibri"/>
          <w:b/>
          <w:bCs/>
        </w:rPr>
      </w:pPr>
      <w:bookmarkStart w:id="73" w:name="_Toc490040474"/>
      <w:bookmarkStart w:id="74" w:name="_Toc500508387"/>
      <w:r w:rsidRPr="00723E0D">
        <w:rPr>
          <w:rStyle w:val="Heading3Char"/>
          <w:rFonts w:eastAsia="Calibri"/>
          <w:b/>
          <w:bCs/>
        </w:rPr>
        <w:t>World and Australian prawn industries (wild-caught</w:t>
      </w:r>
      <w:bookmarkEnd w:id="73"/>
      <w:r w:rsidRPr="00723E0D">
        <w:rPr>
          <w:rStyle w:val="Heading3Char"/>
          <w:rFonts w:eastAsia="Calibri"/>
          <w:b/>
          <w:bCs/>
        </w:rPr>
        <w:t xml:space="preserve"> and farmed)</w:t>
      </w:r>
      <w:bookmarkEnd w:id="74"/>
    </w:p>
    <w:p w14:paraId="303B1035" w14:textId="640A54C2" w:rsidR="00CC703E" w:rsidRDefault="00E37FDB">
      <w:pPr>
        <w:spacing w:after="0"/>
        <w:rPr>
          <w:lang w:eastAsia="ja-JP"/>
        </w:rPr>
      </w:pPr>
      <w:bookmarkStart w:id="75" w:name="_Toc473547390"/>
      <w:r>
        <w:rPr>
          <w:lang w:eastAsia="ja-JP"/>
        </w:rPr>
        <w:t>Prawns (also called penaeid shrimp) have been caught since antiquity, but world commercial catches increased rapidly from the early 20th century with the introduction of engine-powered ships and more efficient trawling technologies. Wild-caught catches have now levelled off at around 3.5 million tonnes per year (</w:t>
      </w:r>
      <w:r>
        <w:rPr>
          <w:lang w:eastAsia="ja-JP"/>
        </w:rPr>
        <w:fldChar w:fldCharType="begin"/>
      </w:r>
      <w:r>
        <w:rPr>
          <w:lang w:eastAsia="ja-JP"/>
        </w:rPr>
        <w:instrText xml:space="preserve"> REF _Ref486318860 \h </w:instrText>
      </w:r>
      <w:r>
        <w:rPr>
          <w:lang w:eastAsia="ja-JP"/>
        </w:rPr>
      </w:r>
      <w:r>
        <w:rPr>
          <w:lang w:eastAsia="ja-JP"/>
        </w:rPr>
        <w:fldChar w:fldCharType="separate"/>
      </w:r>
      <w:r w:rsidR="00121BC1">
        <w:t xml:space="preserve">Figure </w:t>
      </w:r>
      <w:r w:rsidR="00121BC1">
        <w:rPr>
          <w:noProof/>
        </w:rPr>
        <w:t>1</w:t>
      </w:r>
      <w:r>
        <w:rPr>
          <w:lang w:eastAsia="ja-JP"/>
        </w:rPr>
        <w:fldChar w:fldCharType="end"/>
      </w:r>
      <w:r>
        <w:rPr>
          <w:lang w:eastAsia="ja-JP"/>
        </w:rPr>
        <w:t>).</w:t>
      </w:r>
    </w:p>
    <w:p w14:paraId="64E9982B" w14:textId="17F174F4" w:rsidR="00CC703E" w:rsidRDefault="00E37FDB">
      <w:pPr>
        <w:pStyle w:val="Caption"/>
        <w:rPr>
          <w:lang w:eastAsia="ja-JP"/>
        </w:rPr>
      </w:pPr>
      <w:bookmarkStart w:id="76" w:name="_Ref486318860"/>
      <w:bookmarkStart w:id="77" w:name="_Toc498766338"/>
      <w:bookmarkStart w:id="78" w:name="_Toc500508461"/>
      <w:r>
        <w:t xml:space="preserve">Figure </w:t>
      </w:r>
      <w:r w:rsidR="00F329C0">
        <w:fldChar w:fldCharType="begin"/>
      </w:r>
      <w:r w:rsidR="00F329C0">
        <w:instrText xml:space="preserve"> SEQ Figure \* ARABIC </w:instrText>
      </w:r>
      <w:r w:rsidR="00F329C0">
        <w:fldChar w:fldCharType="separate"/>
      </w:r>
      <w:r w:rsidR="00121BC1">
        <w:rPr>
          <w:noProof/>
        </w:rPr>
        <w:t>1</w:t>
      </w:r>
      <w:r w:rsidR="00F329C0">
        <w:rPr>
          <w:noProof/>
        </w:rPr>
        <w:fldChar w:fldCharType="end"/>
      </w:r>
      <w:bookmarkEnd w:id="76"/>
      <w:r>
        <w:t xml:space="preserve"> World aquaculture and wild-caught prawn production, by volume, 2000 to 2014</w:t>
      </w:r>
      <w:bookmarkEnd w:id="77"/>
      <w:bookmarkEnd w:id="78"/>
    </w:p>
    <w:p w14:paraId="707F9E6F" w14:textId="77777777" w:rsidR="00CC703E" w:rsidRDefault="00E37FDB">
      <w:pPr>
        <w:keepNext/>
      </w:pPr>
      <w:r>
        <w:rPr>
          <w:noProof/>
          <w:lang w:eastAsia="en-AU"/>
        </w:rPr>
        <w:drawing>
          <wp:inline distT="0" distB="0" distL="0" distR="0" wp14:anchorId="0BA37D94" wp14:editId="65D3F0F1">
            <wp:extent cx="4582591" cy="2218267"/>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1.jpg"/>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4615724" cy="2234306"/>
                    </a:xfrm>
                    <a:prstGeom prst="rect">
                      <a:avLst/>
                    </a:prstGeom>
                    <a:ln>
                      <a:noFill/>
                    </a:ln>
                    <a:extLst>
                      <a:ext uri="{53640926-AAD7-44D8-BBD7-CCE9431645EC}">
                        <a14:shadowObscured xmlns:a14="http://schemas.microsoft.com/office/drawing/2010/main"/>
                      </a:ext>
                    </a:extLst>
                  </pic:spPr>
                </pic:pic>
              </a:graphicData>
            </a:graphic>
          </wp:inline>
        </w:drawing>
      </w:r>
    </w:p>
    <w:p w14:paraId="6AEDE8FB" w14:textId="77777777" w:rsidR="00CC703E" w:rsidRDefault="00E37FDB">
      <w:pPr>
        <w:pStyle w:val="Quote"/>
        <w:ind w:left="0"/>
        <w:contextualSpacing w:val="0"/>
        <w:rPr>
          <w:sz w:val="18"/>
          <w:szCs w:val="18"/>
          <w:lang w:eastAsia="ja-JP"/>
        </w:rPr>
      </w:pPr>
      <w:r>
        <w:rPr>
          <w:sz w:val="18"/>
          <w:szCs w:val="18"/>
          <w:lang w:eastAsia="ja-JP"/>
        </w:rPr>
        <w:t>Source: Food and Agriculture Organization of the United Nations</w:t>
      </w:r>
    </w:p>
    <w:p w14:paraId="440FCB50" w14:textId="4518844D" w:rsidR="00CC703E" w:rsidRDefault="00E37FDB">
      <w:pPr>
        <w:spacing w:after="0"/>
        <w:rPr>
          <w:lang w:eastAsia="ja-JP"/>
        </w:rPr>
      </w:pPr>
      <w:r>
        <w:rPr>
          <w:lang w:eastAsia="ja-JP"/>
        </w:rPr>
        <w:t xml:space="preserve">Aquaculture of prawns has also increased dramatically since it became commercially viable in the 1970s. By 1980 production was about 72,500 tonnes, about 5 per cent of the world production at that time. Production increased steadily to rival and recently exceed the catch from wild fisheries. Worldwide, aquaculture produced around </w:t>
      </w:r>
      <w:r w:rsidR="002B57AD">
        <w:rPr>
          <w:lang w:eastAsia="ja-JP"/>
        </w:rPr>
        <w:t>4.6</w:t>
      </w:r>
      <w:r>
        <w:rPr>
          <w:lang w:eastAsia="ja-JP"/>
        </w:rPr>
        <w:t xml:space="preserve"> million tonnes </w:t>
      </w:r>
      <w:r w:rsidR="001715E4">
        <w:rPr>
          <w:lang w:eastAsia="ja-JP"/>
        </w:rPr>
        <w:t xml:space="preserve">of prawns </w:t>
      </w:r>
      <w:r>
        <w:rPr>
          <w:lang w:eastAsia="ja-JP"/>
        </w:rPr>
        <w:t>in 2014</w:t>
      </w:r>
      <w:r w:rsidR="002B57AD">
        <w:rPr>
          <w:lang w:eastAsia="ja-JP"/>
        </w:rPr>
        <w:t xml:space="preserve"> (</w:t>
      </w:r>
      <w:r w:rsidR="002B57AD">
        <w:rPr>
          <w:lang w:eastAsia="ja-JP"/>
        </w:rPr>
        <w:fldChar w:fldCharType="begin"/>
      </w:r>
      <w:r w:rsidR="002B57AD">
        <w:rPr>
          <w:lang w:eastAsia="ja-JP"/>
        </w:rPr>
        <w:instrText xml:space="preserve"> REF _Ref486329630 \h </w:instrText>
      </w:r>
      <w:r w:rsidR="002B57AD">
        <w:rPr>
          <w:lang w:eastAsia="ja-JP"/>
        </w:rPr>
      </w:r>
      <w:r w:rsidR="002B57AD">
        <w:rPr>
          <w:lang w:eastAsia="ja-JP"/>
        </w:rPr>
        <w:fldChar w:fldCharType="separate"/>
      </w:r>
      <w:r w:rsidR="00121BC1">
        <w:t xml:space="preserve">Figure </w:t>
      </w:r>
      <w:r w:rsidR="00121BC1">
        <w:rPr>
          <w:noProof/>
        </w:rPr>
        <w:t>2</w:t>
      </w:r>
      <w:r w:rsidR="002B57AD">
        <w:rPr>
          <w:lang w:eastAsia="ja-JP"/>
        </w:rPr>
        <w:fldChar w:fldCharType="end"/>
      </w:r>
      <w:r w:rsidR="002B57AD">
        <w:rPr>
          <w:lang w:eastAsia="ja-JP"/>
        </w:rPr>
        <w:t>)</w:t>
      </w:r>
      <w:r>
        <w:rPr>
          <w:lang w:eastAsia="ja-JP"/>
        </w:rPr>
        <w:t>, worth about US$14,000 million</w:t>
      </w:r>
      <w:r w:rsidR="00A0503C">
        <w:rPr>
          <w:vertAlign w:val="superscript"/>
          <w:lang w:eastAsia="ja-JP"/>
        </w:rPr>
        <w:t>41</w:t>
      </w:r>
      <w:r>
        <w:rPr>
          <w:lang w:eastAsia="ja-JP"/>
        </w:rPr>
        <w:t>. The average global price per tonne for aquaculture prawns</w:t>
      </w:r>
      <w:r w:rsidR="00A0503C">
        <w:rPr>
          <w:vertAlign w:val="superscript"/>
          <w:lang w:eastAsia="ja-JP"/>
        </w:rPr>
        <w:t>41</w:t>
      </w:r>
      <w:r>
        <w:rPr>
          <w:lang w:eastAsia="ja-JP"/>
        </w:rPr>
        <w:t xml:space="preserve"> has changed remarkably little over the past 10 years even though production has doubled. The Global Aquaculture Alliance estimates that production fell by around 10 per cent in 2015 before increasing by about 4 per cent in 2016.</w:t>
      </w:r>
    </w:p>
    <w:p w14:paraId="2CF785B8" w14:textId="0CCF7EA3" w:rsidR="00CC703E" w:rsidRDefault="00E37FDB">
      <w:pPr>
        <w:pStyle w:val="Caption"/>
        <w:rPr>
          <w:lang w:eastAsia="ja-JP"/>
        </w:rPr>
      </w:pPr>
      <w:bookmarkStart w:id="79" w:name="_Ref486329630"/>
      <w:bookmarkStart w:id="80" w:name="_Toc498766339"/>
      <w:bookmarkStart w:id="81" w:name="_Toc500508462"/>
      <w:r>
        <w:lastRenderedPageBreak/>
        <w:t xml:space="preserve">Figure </w:t>
      </w:r>
      <w:r w:rsidR="00F329C0">
        <w:fldChar w:fldCharType="begin"/>
      </w:r>
      <w:r w:rsidR="00F329C0">
        <w:instrText xml:space="preserve"> SEQ Figure \* ARABIC </w:instrText>
      </w:r>
      <w:r w:rsidR="00F329C0">
        <w:fldChar w:fldCharType="separate"/>
      </w:r>
      <w:r w:rsidR="00121BC1">
        <w:rPr>
          <w:noProof/>
        </w:rPr>
        <w:t>2</w:t>
      </w:r>
      <w:r w:rsidR="00F329C0">
        <w:rPr>
          <w:noProof/>
        </w:rPr>
        <w:fldChar w:fldCharType="end"/>
      </w:r>
      <w:bookmarkEnd w:id="79"/>
      <w:r>
        <w:t xml:space="preserve"> World aquaculture production of shrimp, by </w:t>
      </w:r>
      <w:r w:rsidR="0021651B">
        <w:t xml:space="preserve">volume and </w:t>
      </w:r>
      <w:r>
        <w:t>value, 2003 to 2014</w:t>
      </w:r>
      <w:bookmarkEnd w:id="80"/>
      <w:bookmarkEnd w:id="81"/>
    </w:p>
    <w:p w14:paraId="3CD471DD" w14:textId="77777777" w:rsidR="00CC703E" w:rsidRDefault="00E37FDB">
      <w:pPr>
        <w:pStyle w:val="Quote"/>
        <w:ind w:left="0"/>
        <w:rPr>
          <w:sz w:val="18"/>
          <w:szCs w:val="18"/>
          <w:lang w:eastAsia="ja-JP"/>
        </w:rPr>
      </w:pPr>
      <w:r>
        <w:rPr>
          <w:noProof/>
          <w:sz w:val="18"/>
          <w:szCs w:val="18"/>
          <w:lang w:eastAsia="en-AU"/>
        </w:rPr>
        <w:drawing>
          <wp:inline distT="0" distB="0" distL="0" distR="0" wp14:anchorId="3E01BBDE" wp14:editId="4F3CBD1F">
            <wp:extent cx="4455855" cy="224790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jpg"/>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4503613" cy="2271993"/>
                    </a:xfrm>
                    <a:prstGeom prst="rect">
                      <a:avLst/>
                    </a:prstGeom>
                    <a:ln>
                      <a:noFill/>
                    </a:ln>
                    <a:extLst>
                      <a:ext uri="{53640926-AAD7-44D8-BBD7-CCE9431645EC}">
                        <a14:shadowObscured xmlns:a14="http://schemas.microsoft.com/office/drawing/2010/main"/>
                      </a:ext>
                    </a:extLst>
                  </pic:spPr>
                </pic:pic>
              </a:graphicData>
            </a:graphic>
          </wp:inline>
        </w:drawing>
      </w:r>
    </w:p>
    <w:p w14:paraId="3D20F551" w14:textId="77777777" w:rsidR="00CC703E" w:rsidRDefault="00E37FDB">
      <w:pPr>
        <w:pStyle w:val="Quote"/>
        <w:ind w:left="0"/>
        <w:contextualSpacing w:val="0"/>
        <w:rPr>
          <w:sz w:val="18"/>
          <w:szCs w:val="18"/>
          <w:lang w:eastAsia="ja-JP"/>
        </w:rPr>
      </w:pPr>
      <w:r>
        <w:rPr>
          <w:sz w:val="18"/>
          <w:szCs w:val="18"/>
          <w:lang w:eastAsia="ja-JP"/>
        </w:rPr>
        <w:t>Source: Food and Agriculture Organization of the United Nations</w:t>
      </w:r>
    </w:p>
    <w:p w14:paraId="346FE996" w14:textId="655CB007" w:rsidR="00CC703E" w:rsidRDefault="00E37FDB">
      <w:pPr>
        <w:spacing w:before="240" w:after="0"/>
        <w:rPr>
          <w:szCs w:val="24"/>
        </w:rPr>
      </w:pPr>
      <w:r>
        <w:rPr>
          <w:lang w:eastAsia="ja-JP"/>
        </w:rPr>
        <w:t>Australia has a long history of commercial and recreational prawn fishing. P</w:t>
      </w:r>
      <w:r>
        <w:t xml:space="preserve">rawn trawling </w:t>
      </w:r>
      <w:r>
        <w:rPr>
          <w:lang w:eastAsia="ja-JP"/>
        </w:rPr>
        <w:t>began</w:t>
      </w:r>
      <w:r>
        <w:t xml:space="preserve"> in the 1950s in New South Wales, Queensland and Western Australia. Australia has 15 managed fisheries and many of the companies involved are longstanding family businesses. </w:t>
      </w:r>
      <w:r>
        <w:rPr>
          <w:szCs w:val="24"/>
        </w:rPr>
        <w:t>Commercial fisheries differ from most rural industries because of their reliance on wild stocks and the associated difficulties in harvesting and management</w:t>
      </w:r>
      <w:r w:rsidR="00A0503C">
        <w:rPr>
          <w:szCs w:val="24"/>
          <w:vertAlign w:val="superscript"/>
        </w:rPr>
        <w:t>42</w:t>
      </w:r>
      <w:r>
        <w:rPr>
          <w:szCs w:val="24"/>
        </w:rPr>
        <w:t xml:space="preserve">. The fall in exports of </w:t>
      </w:r>
      <w:r>
        <w:t>Australian</w:t>
      </w:r>
      <w:r>
        <w:rPr>
          <w:szCs w:val="24"/>
        </w:rPr>
        <w:t xml:space="preserve"> prawns since about 2001 (</w:t>
      </w:r>
      <w:r>
        <w:rPr>
          <w:szCs w:val="24"/>
        </w:rPr>
        <w:fldChar w:fldCharType="begin"/>
      </w:r>
      <w:r>
        <w:rPr>
          <w:szCs w:val="24"/>
        </w:rPr>
        <w:instrText xml:space="preserve"> REF _Ref490507995 \h </w:instrText>
      </w:r>
      <w:r>
        <w:rPr>
          <w:szCs w:val="24"/>
        </w:rPr>
      </w:r>
      <w:r>
        <w:rPr>
          <w:szCs w:val="24"/>
        </w:rPr>
        <w:fldChar w:fldCharType="separate"/>
      </w:r>
      <w:r w:rsidR="00121BC1">
        <w:t xml:space="preserve">Figure </w:t>
      </w:r>
      <w:r w:rsidR="00121BC1">
        <w:rPr>
          <w:noProof/>
        </w:rPr>
        <w:t>3</w:t>
      </w:r>
      <w:r>
        <w:rPr>
          <w:szCs w:val="24"/>
        </w:rPr>
        <w:fldChar w:fldCharType="end"/>
      </w:r>
      <w:r>
        <w:rPr>
          <w:szCs w:val="24"/>
        </w:rPr>
        <w:t>) is attributed to wild-catch reductions, exchange rate fluctuations and competition on the world market from aquaculture prawns</w:t>
      </w:r>
      <w:r w:rsidR="00A0503C">
        <w:rPr>
          <w:szCs w:val="24"/>
          <w:vertAlign w:val="superscript"/>
        </w:rPr>
        <w:t>43</w:t>
      </w:r>
      <w:r>
        <w:rPr>
          <w:szCs w:val="24"/>
        </w:rPr>
        <w:t xml:space="preserve">. </w:t>
      </w:r>
      <w:r>
        <w:t xml:space="preserve">About 25,000 tonnes of Australian prawns are </w:t>
      </w:r>
      <w:r w:rsidR="007B4E45">
        <w:t>produced</w:t>
      </w:r>
      <w:r>
        <w:t xml:space="preserve"> annually, worth about A$358 million</w:t>
      </w:r>
      <w:r w:rsidR="00A0503C">
        <w:rPr>
          <w:vertAlign w:val="superscript"/>
        </w:rPr>
        <w:t>43</w:t>
      </w:r>
      <w:r>
        <w:t>.</w:t>
      </w:r>
    </w:p>
    <w:p w14:paraId="4460EC12" w14:textId="0B8FB9DD" w:rsidR="00CC703E" w:rsidRDefault="00E37FDB">
      <w:pPr>
        <w:pStyle w:val="Caption"/>
        <w:rPr>
          <w:lang w:eastAsia="ja-JP"/>
        </w:rPr>
      </w:pPr>
      <w:bookmarkStart w:id="82" w:name="_Ref489862983"/>
      <w:bookmarkStart w:id="83" w:name="_Ref490507995"/>
      <w:bookmarkStart w:id="84" w:name="_Toc498766340"/>
      <w:bookmarkStart w:id="85" w:name="_Toc500508463"/>
      <w:r>
        <w:t xml:space="preserve">Figure </w:t>
      </w:r>
      <w:r w:rsidR="00F329C0">
        <w:fldChar w:fldCharType="begin"/>
      </w:r>
      <w:r w:rsidR="00F329C0">
        <w:instrText xml:space="preserve"> SEQ Figure \* ARABIC </w:instrText>
      </w:r>
      <w:r w:rsidR="00F329C0">
        <w:fldChar w:fldCharType="separate"/>
      </w:r>
      <w:r w:rsidR="00121BC1">
        <w:rPr>
          <w:noProof/>
        </w:rPr>
        <w:t>3</w:t>
      </w:r>
      <w:r w:rsidR="00F329C0">
        <w:rPr>
          <w:noProof/>
        </w:rPr>
        <w:fldChar w:fldCharType="end"/>
      </w:r>
      <w:bookmarkEnd w:id="82"/>
      <w:bookmarkEnd w:id="83"/>
      <w:r>
        <w:t xml:space="preserve"> Australian wild-capture prawn fishery production and exports of prawn products, 1989–90 to 2014–15</w:t>
      </w:r>
      <w:bookmarkEnd w:id="84"/>
      <w:bookmarkEnd w:id="85"/>
    </w:p>
    <w:p w14:paraId="554D3A71" w14:textId="77777777" w:rsidR="00CC703E" w:rsidRDefault="00E37FDB">
      <w:pPr>
        <w:pStyle w:val="Quote"/>
        <w:ind w:left="0"/>
        <w:rPr>
          <w:sz w:val="18"/>
          <w:szCs w:val="18"/>
          <w:lang w:eastAsia="ja-JP"/>
        </w:rPr>
      </w:pPr>
      <w:r>
        <w:rPr>
          <w:noProof/>
          <w:sz w:val="18"/>
          <w:szCs w:val="18"/>
          <w:lang w:eastAsia="en-AU"/>
        </w:rPr>
        <w:drawing>
          <wp:inline distT="0" distB="0" distL="0" distR="0" wp14:anchorId="4F0FC276" wp14:editId="2AA401F5">
            <wp:extent cx="5016844" cy="252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01.jpg"/>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5016844" cy="2520000"/>
                    </a:xfrm>
                    <a:prstGeom prst="rect">
                      <a:avLst/>
                    </a:prstGeom>
                    <a:ln>
                      <a:noFill/>
                    </a:ln>
                    <a:extLst>
                      <a:ext uri="{53640926-AAD7-44D8-BBD7-CCE9431645EC}">
                        <a14:shadowObscured xmlns:a14="http://schemas.microsoft.com/office/drawing/2010/main"/>
                      </a:ext>
                    </a:extLst>
                  </pic:spPr>
                </pic:pic>
              </a:graphicData>
            </a:graphic>
          </wp:inline>
        </w:drawing>
      </w:r>
    </w:p>
    <w:p w14:paraId="0EC7DAF8" w14:textId="13C98F94" w:rsidR="00CC703E" w:rsidRDefault="00E37FDB">
      <w:pPr>
        <w:pStyle w:val="Quote"/>
        <w:ind w:left="0"/>
        <w:rPr>
          <w:sz w:val="18"/>
          <w:szCs w:val="18"/>
          <w:lang w:eastAsia="ja-JP"/>
        </w:rPr>
      </w:pPr>
      <w:r>
        <w:rPr>
          <w:sz w:val="18"/>
          <w:szCs w:val="18"/>
          <w:lang w:eastAsia="ja-JP"/>
        </w:rPr>
        <w:t>Source: Australian Bureau of Agricultural and Resource Economics and Sciences</w:t>
      </w:r>
    </w:p>
    <w:p w14:paraId="24280E5F" w14:textId="58E927F1" w:rsidR="00CC703E" w:rsidRDefault="00E37FDB">
      <w:pPr>
        <w:spacing w:after="0"/>
        <w:rPr>
          <w:szCs w:val="24"/>
        </w:rPr>
      </w:pPr>
      <w:r>
        <w:rPr>
          <w:szCs w:val="24"/>
        </w:rPr>
        <w:lastRenderedPageBreak/>
        <w:t xml:space="preserve">Tropical prawn species are mainly found in tropical and subtropical waters, including Shark Bay in Western Australia, the Northern Territory and Queensland (including Torres Strait) and midway down the New South Wales coast. </w:t>
      </w:r>
      <w:r w:rsidR="00FB5C37">
        <w:rPr>
          <w:szCs w:val="24"/>
        </w:rPr>
        <w:fldChar w:fldCharType="begin"/>
      </w:r>
      <w:r w:rsidR="00FB5C37">
        <w:rPr>
          <w:szCs w:val="24"/>
        </w:rPr>
        <w:instrText xml:space="preserve"> REF _Ref499319996 \h </w:instrText>
      </w:r>
      <w:r w:rsidR="00FB5C37">
        <w:rPr>
          <w:szCs w:val="24"/>
        </w:rPr>
      </w:r>
      <w:r w:rsidR="00FB5C37">
        <w:rPr>
          <w:szCs w:val="24"/>
        </w:rPr>
        <w:fldChar w:fldCharType="separate"/>
      </w:r>
      <w:r w:rsidR="00121BC1">
        <w:t xml:space="preserve">Map </w:t>
      </w:r>
      <w:r w:rsidR="00121BC1">
        <w:rPr>
          <w:noProof/>
        </w:rPr>
        <w:t>6</w:t>
      </w:r>
      <w:r w:rsidR="00FB5C37">
        <w:rPr>
          <w:szCs w:val="24"/>
        </w:rPr>
        <w:fldChar w:fldCharType="end"/>
      </w:r>
      <w:r>
        <w:rPr>
          <w:szCs w:val="24"/>
        </w:rPr>
        <w:t xml:space="preserve"> shows the </w:t>
      </w:r>
      <w:r w:rsidR="00FB5C37">
        <w:rPr>
          <w:szCs w:val="24"/>
        </w:rPr>
        <w:t xml:space="preserve">indicative </w:t>
      </w:r>
      <w:r>
        <w:rPr>
          <w:szCs w:val="24"/>
        </w:rPr>
        <w:t xml:space="preserve">distribution of the main </w:t>
      </w:r>
      <w:r w:rsidR="00FB5C37">
        <w:rPr>
          <w:szCs w:val="24"/>
        </w:rPr>
        <w:t xml:space="preserve">prawn fisheries and </w:t>
      </w:r>
      <w:r>
        <w:rPr>
          <w:szCs w:val="24"/>
        </w:rPr>
        <w:t>commercially important prawn species</w:t>
      </w:r>
      <w:r w:rsidR="00A55F43">
        <w:rPr>
          <w:szCs w:val="24"/>
          <w:vertAlign w:val="superscript"/>
        </w:rPr>
        <w:t>44</w:t>
      </w:r>
      <w:r>
        <w:rPr>
          <w:szCs w:val="24"/>
        </w:rPr>
        <w:t>, listed here (in order of approximate tonnage):</w:t>
      </w:r>
    </w:p>
    <w:p w14:paraId="2FBC27C8" w14:textId="77777777" w:rsidR="00CC703E" w:rsidRDefault="00E37FDB" w:rsidP="00723E0D">
      <w:pPr>
        <w:pStyle w:val="ListBullet"/>
        <w:rPr>
          <w:bCs/>
        </w:rPr>
      </w:pPr>
      <w:r>
        <w:t>tiger prawns (</w:t>
      </w:r>
      <w:r w:rsidRPr="0012200D">
        <w:rPr>
          <w:i/>
        </w:rPr>
        <w:t>Penaeus esculentus</w:t>
      </w:r>
      <w:r>
        <w:t xml:space="preserve"> and </w:t>
      </w:r>
      <w:r w:rsidRPr="0012200D">
        <w:rPr>
          <w:i/>
        </w:rPr>
        <w:t>P. semisulcatus</w:t>
      </w:r>
      <w:r>
        <w:t>)</w:t>
      </w:r>
    </w:p>
    <w:p w14:paraId="604EF241" w14:textId="77777777" w:rsidR="00CC703E" w:rsidRDefault="00E37FDB" w:rsidP="00723E0D">
      <w:pPr>
        <w:pStyle w:val="ListBullet"/>
      </w:pPr>
      <w:r>
        <w:t>western king prawns (</w:t>
      </w:r>
      <w:r w:rsidRPr="0012200D">
        <w:rPr>
          <w:i/>
        </w:rPr>
        <w:t>P. latisulcatus</w:t>
      </w:r>
      <w:r>
        <w:t>)</w:t>
      </w:r>
    </w:p>
    <w:p w14:paraId="4FB09635" w14:textId="77777777" w:rsidR="00CC703E" w:rsidRDefault="00E37FDB" w:rsidP="00723E0D">
      <w:pPr>
        <w:pStyle w:val="ListBullet"/>
      </w:pPr>
      <w:r>
        <w:t>eastern king prawns (</w:t>
      </w:r>
      <w:r w:rsidRPr="0012200D">
        <w:rPr>
          <w:i/>
        </w:rPr>
        <w:t>P. plebejus</w:t>
      </w:r>
      <w:r>
        <w:t>)</w:t>
      </w:r>
    </w:p>
    <w:p w14:paraId="447F4CFD" w14:textId="77777777" w:rsidR="00CC703E" w:rsidRDefault="00E37FDB" w:rsidP="00723E0D">
      <w:pPr>
        <w:pStyle w:val="ListBullet"/>
      </w:pPr>
      <w:r>
        <w:t>banana prawns (</w:t>
      </w:r>
      <w:r w:rsidRPr="0012200D">
        <w:rPr>
          <w:i/>
        </w:rPr>
        <w:t>P. merguiensis</w:t>
      </w:r>
      <w:r>
        <w:t xml:space="preserve"> and </w:t>
      </w:r>
      <w:r w:rsidRPr="0012200D">
        <w:rPr>
          <w:i/>
        </w:rPr>
        <w:t>P. indicus</w:t>
      </w:r>
      <w:r>
        <w:t>)</w:t>
      </w:r>
    </w:p>
    <w:p w14:paraId="62B968AA" w14:textId="77777777" w:rsidR="00CC703E" w:rsidRDefault="00E37FDB" w:rsidP="00723E0D">
      <w:pPr>
        <w:pStyle w:val="ListBullet"/>
      </w:pPr>
      <w:r>
        <w:t>endeavour prawns (</w:t>
      </w:r>
      <w:r w:rsidRPr="0012200D">
        <w:rPr>
          <w:i/>
        </w:rPr>
        <w:t>Metapenaeus endeavouri</w:t>
      </w:r>
      <w:r>
        <w:t xml:space="preserve"> and </w:t>
      </w:r>
      <w:r w:rsidRPr="0012200D">
        <w:rPr>
          <w:i/>
        </w:rPr>
        <w:t>M. ensis</w:t>
      </w:r>
      <w:r>
        <w:t>)</w:t>
      </w:r>
    </w:p>
    <w:p w14:paraId="7DF12B07" w14:textId="77777777" w:rsidR="00CC703E" w:rsidRDefault="00E37FDB" w:rsidP="00723E0D">
      <w:pPr>
        <w:pStyle w:val="ListBullet"/>
      </w:pPr>
      <w:r>
        <w:t>school prawns (</w:t>
      </w:r>
      <w:r w:rsidRPr="0012200D">
        <w:rPr>
          <w:i/>
        </w:rPr>
        <w:t>M. macleayi</w:t>
      </w:r>
      <w:r>
        <w:t>)</w:t>
      </w:r>
    </w:p>
    <w:p w14:paraId="280CB39D" w14:textId="77777777" w:rsidR="00CC703E" w:rsidRDefault="00E37FDB" w:rsidP="00723E0D">
      <w:pPr>
        <w:pStyle w:val="ListBullet"/>
      </w:pPr>
      <w:r>
        <w:t>greasyback prawns (</w:t>
      </w:r>
      <w:r w:rsidRPr="0012200D">
        <w:rPr>
          <w:i/>
        </w:rPr>
        <w:t>M. bennettae</w:t>
      </w:r>
      <w:r>
        <w:t>)</w:t>
      </w:r>
    </w:p>
    <w:p w14:paraId="0A53627C" w14:textId="77777777" w:rsidR="00CC703E" w:rsidRDefault="00E37FDB" w:rsidP="00723E0D">
      <w:pPr>
        <w:pStyle w:val="ListBullet"/>
      </w:pPr>
      <w:r>
        <w:t>red spot king prawns (</w:t>
      </w:r>
      <w:r w:rsidRPr="0012200D">
        <w:rPr>
          <w:i/>
        </w:rPr>
        <w:t>P. longistylus</w:t>
      </w:r>
      <w:r>
        <w:t>)</w:t>
      </w:r>
    </w:p>
    <w:p w14:paraId="3BF5D75C" w14:textId="77777777" w:rsidR="00CC703E" w:rsidRDefault="00E37FDB" w:rsidP="00723E0D">
      <w:pPr>
        <w:pStyle w:val="ListBullet"/>
      </w:pPr>
      <w:r>
        <w:t>black tiger prawns (</w:t>
      </w:r>
      <w:r w:rsidRPr="0012200D">
        <w:rPr>
          <w:i/>
        </w:rPr>
        <w:t>P. monodon</w:t>
      </w:r>
      <w:r>
        <w:t>).</w:t>
      </w:r>
    </w:p>
    <w:p w14:paraId="7115E2C8" w14:textId="03AE2CF5" w:rsidR="0078409F" w:rsidRDefault="0078409F" w:rsidP="0078409F">
      <w:pPr>
        <w:pStyle w:val="Caption"/>
      </w:pPr>
      <w:bookmarkStart w:id="86" w:name="_Ref499319996"/>
      <w:bookmarkStart w:id="87" w:name="_Toc500508476"/>
      <w:bookmarkStart w:id="88" w:name="_Ref486329269"/>
      <w:r>
        <w:t xml:space="preserve">Map </w:t>
      </w:r>
      <w:r w:rsidR="00F329C0">
        <w:fldChar w:fldCharType="begin"/>
      </w:r>
      <w:r w:rsidR="00F329C0">
        <w:instrText xml:space="preserve"> SEQ Map \* ARABIC </w:instrText>
      </w:r>
      <w:r w:rsidR="00F329C0">
        <w:fldChar w:fldCharType="separate"/>
      </w:r>
      <w:r w:rsidR="00121BC1">
        <w:rPr>
          <w:noProof/>
        </w:rPr>
        <w:t>6</w:t>
      </w:r>
      <w:r w:rsidR="00F329C0">
        <w:rPr>
          <w:noProof/>
        </w:rPr>
        <w:fldChar w:fldCharType="end"/>
      </w:r>
      <w:bookmarkEnd w:id="86"/>
      <w:r w:rsidRPr="0078409F">
        <w:t xml:space="preserve"> </w:t>
      </w:r>
      <w:r w:rsidR="00FB5C37">
        <w:t xml:space="preserve">Main </w:t>
      </w:r>
      <w:r>
        <w:t>prawn species found in Australian waters</w:t>
      </w:r>
      <w:bookmarkEnd w:id="87"/>
    </w:p>
    <w:p w14:paraId="631EB460" w14:textId="75F24FBC" w:rsidR="00CC703E" w:rsidRDefault="00F329C0">
      <w:pPr>
        <w:pStyle w:val="Caption"/>
        <w:spacing w:before="240" w:after="0"/>
      </w:pPr>
      <w:r>
        <w:rPr>
          <w:noProof/>
          <w:lang w:eastAsia="en-AU"/>
        </w:rPr>
        <w:pict w14:anchorId="263C0B64">
          <v:shape id="_x0000_i1031" type="#_x0000_t75" style="width:423.95pt;height:292.85pt">
            <v:imagedata r:id="rId29" o:title="Map_6-01"/>
          </v:shape>
        </w:pict>
      </w:r>
    </w:p>
    <w:p w14:paraId="2BFAAA02" w14:textId="2255B3FA" w:rsidR="00CC703E" w:rsidRDefault="00E37FDB">
      <w:pPr>
        <w:pStyle w:val="FigureTableNoteSource"/>
      </w:pPr>
      <w:r>
        <w:rPr>
          <w:rFonts w:ascii="Calibri" w:hAnsi="Calibri"/>
          <w:szCs w:val="18"/>
          <w:lang w:eastAsia="ja-JP"/>
        </w:rPr>
        <w:t>Source:</w:t>
      </w:r>
      <w:r>
        <w:t xml:space="preserve"> </w:t>
      </w:r>
      <w:hyperlink r:id="rId30" w:history="1">
        <w:r w:rsidR="00DE7C98">
          <w:rPr>
            <w:rStyle w:val="Hyperlink"/>
          </w:rPr>
          <w:t>Love Australian Prawns campaign</w:t>
        </w:r>
      </w:hyperlink>
    </w:p>
    <w:bookmarkEnd w:id="88"/>
    <w:p w14:paraId="4BE82200" w14:textId="290323C3" w:rsidR="00CC703E" w:rsidRDefault="00E37FDB" w:rsidP="005E43CB">
      <w:pPr>
        <w:spacing w:before="360"/>
        <w:rPr>
          <w:lang w:val="en"/>
        </w:rPr>
      </w:pPr>
      <w:r>
        <w:t>Experimental</w:t>
      </w:r>
      <w:r>
        <w:rPr>
          <w:lang w:eastAsia="ja-JP"/>
        </w:rPr>
        <w:t xml:space="preserve"> prawn aquaculture began in the 1980s and by the early 1990s was established in the Northern Territory, Queensland and New South Wales. Production increased steadily as farming practices improved (</w:t>
      </w:r>
      <w:r>
        <w:rPr>
          <w:lang w:eastAsia="ja-JP"/>
        </w:rPr>
        <w:fldChar w:fldCharType="begin"/>
      </w:r>
      <w:r>
        <w:rPr>
          <w:lang w:eastAsia="ja-JP"/>
        </w:rPr>
        <w:instrText xml:space="preserve"> REF _Ref489863160 \h  \* MERGEFORMAT </w:instrText>
      </w:r>
      <w:r>
        <w:rPr>
          <w:lang w:eastAsia="ja-JP"/>
        </w:rPr>
      </w:r>
      <w:r>
        <w:rPr>
          <w:lang w:eastAsia="ja-JP"/>
        </w:rPr>
        <w:fldChar w:fldCharType="separate"/>
      </w:r>
      <w:r w:rsidR="00121BC1">
        <w:t xml:space="preserve">Figure </w:t>
      </w:r>
      <w:r w:rsidR="00121BC1">
        <w:rPr>
          <w:noProof/>
        </w:rPr>
        <w:t>4</w:t>
      </w:r>
      <w:r>
        <w:rPr>
          <w:lang w:eastAsia="ja-JP"/>
        </w:rPr>
        <w:fldChar w:fldCharType="end"/>
      </w:r>
      <w:r>
        <w:rPr>
          <w:lang w:eastAsia="ja-JP"/>
        </w:rPr>
        <w:t>) but then plat</w:t>
      </w:r>
      <w:r>
        <w:rPr>
          <w:lang w:eastAsia="ja-JP"/>
        </w:rPr>
        <w:lastRenderedPageBreak/>
        <w:t>eaued from 2008 for various reasons, including costs and disease. Sporadic attempts to farm prawns in the Northern Territory by adapting barramundi farms led to one full-time prawn farm operating in 2007; this later ceased due to falling prawn prices</w:t>
      </w:r>
      <w:r w:rsidR="00A55F43">
        <w:rPr>
          <w:vertAlign w:val="superscript"/>
          <w:lang w:eastAsia="ja-JP"/>
        </w:rPr>
        <w:t>45</w:t>
      </w:r>
      <w:r>
        <w:rPr>
          <w:lang w:eastAsia="ja-JP"/>
        </w:rPr>
        <w:t>.</w:t>
      </w:r>
      <w:r w:rsidR="00074B45">
        <w:rPr>
          <w:lang w:eastAsia="ja-JP"/>
        </w:rPr>
        <w:t xml:space="preserve"> </w:t>
      </w:r>
      <w:r w:rsidR="00501C87">
        <w:rPr>
          <w:szCs w:val="24"/>
        </w:rPr>
        <w:fldChar w:fldCharType="begin"/>
      </w:r>
      <w:r w:rsidR="00501C87">
        <w:rPr>
          <w:szCs w:val="24"/>
        </w:rPr>
        <w:instrText xml:space="preserve"> REF _Ref499899667 \h </w:instrText>
      </w:r>
      <w:r w:rsidR="00501C87">
        <w:rPr>
          <w:szCs w:val="24"/>
        </w:rPr>
      </w:r>
      <w:r w:rsidR="00501C87">
        <w:rPr>
          <w:szCs w:val="24"/>
        </w:rPr>
        <w:fldChar w:fldCharType="separate"/>
      </w:r>
      <w:r w:rsidR="00121BC1">
        <w:t xml:space="preserve">Box </w:t>
      </w:r>
      <w:r w:rsidR="00121BC1">
        <w:rPr>
          <w:noProof/>
        </w:rPr>
        <w:t>1</w:t>
      </w:r>
      <w:r w:rsidR="00501C87">
        <w:rPr>
          <w:szCs w:val="24"/>
        </w:rPr>
        <w:fldChar w:fldCharType="end"/>
      </w:r>
      <w:r w:rsidR="00501C87">
        <w:rPr>
          <w:szCs w:val="24"/>
        </w:rPr>
        <w:t xml:space="preserve"> </w:t>
      </w:r>
      <w:r w:rsidR="00074B45">
        <w:rPr>
          <w:szCs w:val="24"/>
        </w:rPr>
        <w:t>describes the overall</w:t>
      </w:r>
      <w:r w:rsidR="001715E4">
        <w:rPr>
          <w:szCs w:val="24"/>
        </w:rPr>
        <w:t xml:space="preserve"> Australian </w:t>
      </w:r>
      <w:r w:rsidR="00074B45">
        <w:rPr>
          <w:szCs w:val="24"/>
        </w:rPr>
        <w:t>prawn aquaculture system.</w:t>
      </w:r>
    </w:p>
    <w:p w14:paraId="236D3052" w14:textId="787FC8C7" w:rsidR="00CC703E" w:rsidRDefault="00E37FDB" w:rsidP="0087638C">
      <w:pPr>
        <w:spacing w:after="360"/>
        <w:rPr>
          <w:szCs w:val="24"/>
        </w:rPr>
      </w:pPr>
      <w:r>
        <w:rPr>
          <w:szCs w:val="24"/>
        </w:rPr>
        <w:t xml:space="preserve">Australian hatcheries have been producing </w:t>
      </w:r>
      <w:r>
        <w:rPr>
          <w:lang w:eastAsia="ja-JP"/>
        </w:rPr>
        <w:t>domesticated</w:t>
      </w:r>
      <w:r>
        <w:rPr>
          <w:szCs w:val="24"/>
        </w:rPr>
        <w:t xml:space="preserve"> broodstock of </w:t>
      </w:r>
      <w:r>
        <w:rPr>
          <w:i/>
          <w:szCs w:val="24"/>
        </w:rPr>
        <w:t xml:space="preserve">P. monodon </w:t>
      </w:r>
      <w:r>
        <w:rPr>
          <w:szCs w:val="24"/>
        </w:rPr>
        <w:t>since at least 1995. Selective breeding from wild-caught Queensland broodstock by CSIRO’s Brisbane research farm has resulted in significantly increased productivity</w:t>
      </w:r>
      <w:r w:rsidR="00D4389C">
        <w:rPr>
          <w:szCs w:val="24"/>
          <w:vertAlign w:val="superscript"/>
        </w:rPr>
        <w:t>46</w:t>
      </w:r>
      <w:r>
        <w:rPr>
          <w:szCs w:val="24"/>
        </w:rPr>
        <w:t>. However, the egg production of these selected lines is inferior compared with those of wild-caught females</w:t>
      </w:r>
      <w:r w:rsidR="007F2AF3">
        <w:rPr>
          <w:szCs w:val="24"/>
          <w:vertAlign w:val="superscript"/>
        </w:rPr>
        <w:t>47</w:t>
      </w:r>
      <w:r>
        <w:rPr>
          <w:szCs w:val="24"/>
        </w:rPr>
        <w:t>, so hatchery owners still prefer wild-caught prawns</w:t>
      </w:r>
      <w:r w:rsidR="00D4389C">
        <w:rPr>
          <w:szCs w:val="24"/>
          <w:vertAlign w:val="superscript"/>
        </w:rPr>
        <w:t>48</w:t>
      </w:r>
      <w:r>
        <w:rPr>
          <w:rFonts w:eastAsia="Times New Roman"/>
          <w:szCs w:val="24"/>
          <w:lang w:val="en" w:eastAsia="en-AU"/>
        </w:rPr>
        <w:t xml:space="preserve">. </w:t>
      </w:r>
      <w:r w:rsidR="005F432D">
        <w:rPr>
          <w:rFonts w:eastAsia="Times New Roman"/>
          <w:szCs w:val="24"/>
          <w:lang w:val="en" w:eastAsia="en-AU"/>
        </w:rPr>
        <w:t xml:space="preserve">Wild-caught prawns come from the Bonaparte Gulf and northern Queensland. </w:t>
      </w:r>
      <w:r>
        <w:rPr>
          <w:rFonts w:eastAsia="Times New Roman"/>
          <w:szCs w:val="24"/>
          <w:lang w:val="en" w:eastAsia="en-AU"/>
        </w:rPr>
        <w:t>A biosecure prawn hatchery at Exmouth in Western Australia (established in 2013)</w:t>
      </w:r>
      <w:r w:rsidR="00B316DF">
        <w:rPr>
          <w:rFonts w:eastAsia="Times New Roman"/>
          <w:szCs w:val="24"/>
          <w:vertAlign w:val="superscript"/>
          <w:lang w:val="en" w:eastAsia="en-AU"/>
        </w:rPr>
        <w:t>49</w:t>
      </w:r>
      <w:r w:rsidR="003B2FBE">
        <w:rPr>
          <w:rFonts w:eastAsia="Times New Roman"/>
          <w:szCs w:val="24"/>
          <w:lang w:val="en" w:eastAsia="en-AU"/>
        </w:rPr>
        <w:t xml:space="preserve"> </w:t>
      </w:r>
      <w:r>
        <w:rPr>
          <w:rFonts w:eastAsia="Times New Roman"/>
          <w:szCs w:val="24"/>
          <w:lang w:val="en" w:eastAsia="en-AU"/>
        </w:rPr>
        <w:t xml:space="preserve">and the Broome Aquaculture </w:t>
      </w:r>
      <w:r w:rsidR="005412BF">
        <w:rPr>
          <w:rFonts w:eastAsia="Times New Roman"/>
          <w:szCs w:val="24"/>
          <w:lang w:val="en" w:eastAsia="en-AU"/>
        </w:rPr>
        <w:t>Center (run by North Regional TAFE</w:t>
      </w:r>
      <w:r w:rsidR="00B316DF">
        <w:rPr>
          <w:rFonts w:eastAsia="Times New Roman"/>
          <w:szCs w:val="24"/>
          <w:vertAlign w:val="superscript"/>
          <w:lang w:val="en" w:eastAsia="en-AU"/>
        </w:rPr>
        <w:t>50</w:t>
      </w:r>
      <w:r w:rsidR="005412BF">
        <w:rPr>
          <w:rFonts w:eastAsia="Times New Roman"/>
          <w:szCs w:val="24"/>
          <w:lang w:val="en" w:eastAsia="en-AU"/>
        </w:rPr>
        <w:t xml:space="preserve">) </w:t>
      </w:r>
      <w:r>
        <w:rPr>
          <w:rFonts w:eastAsia="Times New Roman"/>
          <w:szCs w:val="24"/>
          <w:lang w:val="en" w:eastAsia="en-AU"/>
        </w:rPr>
        <w:t xml:space="preserve">also produce post-larvae from time to time, </w:t>
      </w:r>
      <w:r w:rsidR="008B0A53">
        <w:rPr>
          <w:rFonts w:eastAsia="Times New Roman"/>
          <w:szCs w:val="24"/>
          <w:lang w:val="en" w:eastAsia="en-AU"/>
        </w:rPr>
        <w:t xml:space="preserve">the last </w:t>
      </w:r>
      <w:r w:rsidR="005F432D">
        <w:rPr>
          <w:rFonts w:eastAsia="Times New Roman"/>
          <w:szCs w:val="24"/>
          <w:lang w:val="en" w:eastAsia="en-AU"/>
        </w:rPr>
        <w:t xml:space="preserve">produced by the TAFE </w:t>
      </w:r>
      <w:r w:rsidR="008B0A53">
        <w:rPr>
          <w:rFonts w:eastAsia="Times New Roman"/>
          <w:szCs w:val="24"/>
          <w:lang w:val="en" w:eastAsia="en-AU"/>
        </w:rPr>
        <w:t xml:space="preserve">being in 2014 </w:t>
      </w:r>
      <w:r w:rsidR="00295AE8">
        <w:rPr>
          <w:rFonts w:eastAsia="Times New Roman"/>
          <w:szCs w:val="24"/>
          <w:lang w:val="en" w:eastAsia="en-AU"/>
        </w:rPr>
        <w:t>using broodstock obtained from</w:t>
      </w:r>
      <w:r>
        <w:rPr>
          <w:rFonts w:eastAsia="Times New Roman"/>
          <w:szCs w:val="24"/>
          <w:lang w:val="en" w:eastAsia="en-AU"/>
        </w:rPr>
        <w:t xml:space="preserve"> WA waters as bycatch from the Northern Prawn Fishery</w:t>
      </w:r>
      <w:r w:rsidR="00B316DF">
        <w:rPr>
          <w:rFonts w:eastAsia="Times New Roman"/>
          <w:szCs w:val="24"/>
          <w:vertAlign w:val="superscript"/>
          <w:lang w:val="en" w:eastAsia="en-AU"/>
        </w:rPr>
        <w:t>51</w:t>
      </w:r>
      <w:r>
        <w:rPr>
          <w:rFonts w:eastAsia="Times New Roman"/>
          <w:szCs w:val="24"/>
          <w:lang w:val="en" w:eastAsia="en-AU"/>
        </w:rPr>
        <w:t xml:space="preserve">. </w:t>
      </w:r>
      <w:r w:rsidR="005F432D">
        <w:rPr>
          <w:rFonts w:eastAsia="Times New Roman"/>
          <w:szCs w:val="24"/>
          <w:lang w:val="en" w:eastAsia="en-AU"/>
        </w:rPr>
        <w:t xml:space="preserve">The source of the broodstock for the Exmouth facility is unclear. </w:t>
      </w:r>
      <w:r>
        <w:rPr>
          <w:rFonts w:eastAsia="Times New Roman"/>
          <w:szCs w:val="24"/>
          <w:lang w:val="en" w:eastAsia="en-AU"/>
        </w:rPr>
        <w:t xml:space="preserve">WA </w:t>
      </w:r>
      <w:r w:rsidRPr="00A73371">
        <w:rPr>
          <w:rStyle w:val="Emphasis"/>
        </w:rPr>
        <w:t>P.</w:t>
      </w:r>
      <w:r>
        <w:rPr>
          <w:rFonts w:eastAsia="Times New Roman"/>
          <w:szCs w:val="24"/>
          <w:lang w:val="en" w:eastAsia="en-AU"/>
        </w:rPr>
        <w:t xml:space="preserve"> </w:t>
      </w:r>
      <w:r>
        <w:rPr>
          <w:rFonts w:eastAsia="Times New Roman"/>
          <w:i/>
          <w:szCs w:val="24"/>
          <w:lang w:val="en" w:eastAsia="en-AU"/>
        </w:rPr>
        <w:t>monodon</w:t>
      </w:r>
      <w:r>
        <w:rPr>
          <w:rFonts w:eastAsia="Times New Roman"/>
          <w:szCs w:val="24"/>
          <w:lang w:val="en" w:eastAsia="en-AU"/>
        </w:rPr>
        <w:t xml:space="preserve"> are </w:t>
      </w:r>
      <w:r>
        <w:rPr>
          <w:rFonts w:cs="Arial"/>
          <w:szCs w:val="24"/>
        </w:rPr>
        <w:t>a separate genetic stock that has less genetic variation than other Australian populations.</w:t>
      </w:r>
    </w:p>
    <w:p w14:paraId="2EE376DB" w14:textId="77777777" w:rsidR="00CC703E" w:rsidRDefault="00E37FDB" w:rsidP="00A15982">
      <w:pPr>
        <w:pStyle w:val="Caption"/>
        <w:spacing w:after="120"/>
        <w:rPr>
          <w:rFonts w:cs="Arial"/>
          <w:b w:val="0"/>
          <w:sz w:val="23"/>
          <w:szCs w:val="23"/>
        </w:rPr>
      </w:pPr>
      <w:bookmarkStart w:id="89" w:name="_Ref499899667"/>
      <w:r>
        <w:t xml:space="preserve">Box </w:t>
      </w:r>
      <w:r w:rsidR="00F329C0">
        <w:fldChar w:fldCharType="begin"/>
      </w:r>
      <w:r w:rsidR="00F329C0">
        <w:instrText xml:space="preserve"> SEQ Box \* ARABIC </w:instrText>
      </w:r>
      <w:r w:rsidR="00F329C0">
        <w:fldChar w:fldCharType="separate"/>
      </w:r>
      <w:r w:rsidR="00121BC1">
        <w:rPr>
          <w:noProof/>
        </w:rPr>
        <w:t>1</w:t>
      </w:r>
      <w:r w:rsidR="00F329C0">
        <w:rPr>
          <w:noProof/>
        </w:rPr>
        <w:fldChar w:fldCharType="end"/>
      </w:r>
      <w:bookmarkEnd w:id="89"/>
      <w:r>
        <w:t xml:space="preserve"> Australian prawn aquaculture system</w:t>
      </w:r>
    </w:p>
    <w:tbl>
      <w:tblPr>
        <w:tblStyle w:val="TableGrid"/>
        <w:tblW w:w="0" w:type="auto"/>
        <w:tblLook w:val="04A0" w:firstRow="1" w:lastRow="0" w:firstColumn="1" w:lastColumn="0" w:noHBand="0" w:noVBand="1"/>
      </w:tblPr>
      <w:tblGrid>
        <w:gridCol w:w="9402"/>
      </w:tblGrid>
      <w:tr w:rsidR="00CC703E" w14:paraId="532F97E2" w14:textId="77777777">
        <w:tc>
          <w:tcPr>
            <w:tcW w:w="9402" w:type="dxa"/>
          </w:tcPr>
          <w:p w14:paraId="67538AD2" w14:textId="0CB4852B" w:rsidR="00CC703E" w:rsidRDefault="00E37FDB">
            <w:pPr>
              <w:pStyle w:val="Tabletext"/>
              <w:rPr>
                <w:sz w:val="22"/>
              </w:rPr>
            </w:pPr>
            <w:r>
              <w:rPr>
                <w:sz w:val="22"/>
              </w:rPr>
              <w:t xml:space="preserve">Six hatcheries in Queensland, two in New South Wales and one in Western Australia annually use about 5,000 adult broodstock prawns (comprising </w:t>
            </w:r>
            <w:r>
              <w:rPr>
                <w:rStyle w:val="Emphasis"/>
                <w:sz w:val="22"/>
              </w:rPr>
              <w:t>P. monodon</w:t>
            </w:r>
            <w:r>
              <w:rPr>
                <w:sz w:val="22"/>
              </w:rPr>
              <w:t xml:space="preserve">, </w:t>
            </w:r>
            <w:r>
              <w:rPr>
                <w:rStyle w:val="Emphasis"/>
                <w:sz w:val="22"/>
              </w:rPr>
              <w:t>P. merguiensis</w:t>
            </w:r>
            <w:r>
              <w:rPr>
                <w:sz w:val="22"/>
              </w:rPr>
              <w:t xml:space="preserve"> and </w:t>
            </w:r>
            <w:r>
              <w:rPr>
                <w:rStyle w:val="Emphasis"/>
                <w:sz w:val="22"/>
              </w:rPr>
              <w:t>P. plebejus</w:t>
            </w:r>
            <w:r>
              <w:rPr>
                <w:sz w:val="22"/>
              </w:rPr>
              <w:t>). These are wild-caught from tropical Australian waters and fed a rich high-protein diet to produce large volumes of eggs.</w:t>
            </w:r>
          </w:p>
          <w:p w14:paraId="0B017D46" w14:textId="5757CD5A" w:rsidR="00CC703E" w:rsidRDefault="00E37FDB" w:rsidP="00BA1A11">
            <w:pPr>
              <w:pStyle w:val="Tabletext"/>
            </w:pPr>
            <w:r>
              <w:rPr>
                <w:sz w:val="22"/>
              </w:rPr>
              <w:t>After hatching, the larvae or nauplii moult several times before becoming post-larvae. Post-larvae are shipped to farms each year from September to November for a three to six</w:t>
            </w:r>
            <w:r w:rsidR="00BA1A11">
              <w:rPr>
                <w:sz w:val="22"/>
              </w:rPr>
              <w:t xml:space="preserve"> </w:t>
            </w:r>
            <w:r>
              <w:rPr>
                <w:sz w:val="22"/>
              </w:rPr>
              <w:t>month grow-out period. During grow-out, the pond water is monitored for quality and regularly changed and the prawns are fed manufactured heat-extruded feed three to four times a day. They are then harvested</w:t>
            </w:r>
            <w:r w:rsidR="00F064DF">
              <w:rPr>
                <w:sz w:val="22"/>
              </w:rPr>
              <w:t>, most</w:t>
            </w:r>
            <w:r>
              <w:rPr>
                <w:sz w:val="22"/>
              </w:rPr>
              <w:t xml:space="preserve"> for the Easter market. Settling ponds are used to prevent excessive levels of nitrogen and effluent release into waterways. The grow-out ponds are then drained and left fallow for the next season</w:t>
            </w:r>
            <w:r w:rsidR="00B316DF">
              <w:rPr>
                <w:sz w:val="22"/>
                <w:vertAlign w:val="superscript"/>
              </w:rPr>
              <w:t>52</w:t>
            </w:r>
            <w:r>
              <w:rPr>
                <w:sz w:val="22"/>
              </w:rPr>
              <w:t>. Australian prawn farmers achieve a feed conversion ratio of between 1.6:1 and 2.2:1 and produce about 4.5 tonnes of fish per hectare, which is high by world standards.</w:t>
            </w:r>
          </w:p>
        </w:tc>
      </w:tr>
    </w:tbl>
    <w:bookmarkEnd w:id="75"/>
    <w:p w14:paraId="730729ED" w14:textId="77777777" w:rsidR="00A05A0E" w:rsidRDefault="00E37FDB" w:rsidP="00A15982">
      <w:pPr>
        <w:spacing w:before="360"/>
      </w:pPr>
      <w:r>
        <w:t>Before the 2016–17 WSD outbreak, of the 23 prawn farms operating in Australia, 20 were in Queensland (including seven near the Logan River) and three in northern New South Wales, with a total pond area of about 900 hectares (a likely total water volume of 13,500 cubic metres). In 2015–16 Australian prawn aquaculture produced 4,628 tonnes of prawns, worth around $80,500 million (</w:t>
      </w:r>
      <w:r>
        <w:fldChar w:fldCharType="begin"/>
      </w:r>
      <w:r>
        <w:instrText xml:space="preserve"> REF _Ref489863160 \h  \* MERGEFORMAT </w:instrText>
      </w:r>
      <w:r>
        <w:fldChar w:fldCharType="separate"/>
      </w:r>
      <w:r w:rsidR="00121BC1">
        <w:t xml:space="preserve">Figure </w:t>
      </w:r>
      <w:r w:rsidR="00121BC1">
        <w:rPr>
          <w:noProof/>
        </w:rPr>
        <w:t>4</w:t>
      </w:r>
      <w:r>
        <w:fldChar w:fldCharType="end"/>
      </w:r>
      <w:r>
        <w:t>). Compared with Australian wild-caught prawns, Australian aquaculture represents a small but growing proportion of overall domestic prawn production and value (</w:t>
      </w:r>
      <w:r>
        <w:fldChar w:fldCharType="begin"/>
      </w:r>
      <w:r>
        <w:instrText xml:space="preserve"> REF _Ref486329962 \h  \* MERGEFORMAT </w:instrText>
      </w:r>
      <w:r>
        <w:fldChar w:fldCharType="separate"/>
      </w:r>
      <w:r w:rsidR="00121BC1">
        <w:t xml:space="preserve">Figure </w:t>
      </w:r>
      <w:r w:rsidR="00121BC1">
        <w:rPr>
          <w:noProof/>
        </w:rPr>
        <w:t>5</w:t>
      </w:r>
      <w:r>
        <w:fldChar w:fldCharType="end"/>
      </w:r>
      <w:r>
        <w:t>).</w:t>
      </w:r>
    </w:p>
    <w:p w14:paraId="63E28E71" w14:textId="74E067B9" w:rsidR="00CC703E" w:rsidRDefault="00A05A0E" w:rsidP="0012200D">
      <w:r>
        <w:t xml:space="preserve">Commercial aquaculture prawn farms need very high investment for initial infrastructure and subsequent running expenditure. </w:t>
      </w:r>
      <w:r>
        <w:rPr>
          <w:lang w:val="en"/>
        </w:rPr>
        <w:t>Prawn farm start-up costs range between $100,000 and $150,000 per hectare of pond, not including land costs</w:t>
      </w:r>
      <w:r>
        <w:rPr>
          <w:vertAlign w:val="superscript"/>
          <w:lang w:val="en"/>
        </w:rPr>
        <w:t>53</w:t>
      </w:r>
      <w:r>
        <w:rPr>
          <w:lang w:val="en"/>
        </w:rPr>
        <w:t>. Capital costs vary depending on proximity to local infrastructure, site topography, vegetation and seawater access.</w:t>
      </w:r>
      <w:r>
        <w:t xml:space="preserve"> Australian agrifood company Seafarms Group Ltd is developing Project Sea Dragon, a large-scale, integrated, land-based prawn aquaculture project in northern Australia designed to produce high-quality, year-</w:t>
      </w:r>
      <w:r>
        <w:lastRenderedPageBreak/>
        <w:t xml:space="preserve">round reliable volumes for export and local markets. </w:t>
      </w:r>
      <w:r>
        <w:rPr>
          <w:lang w:val="en"/>
        </w:rPr>
        <w:t>Costs involved in this development led Seafarms Group to post a $19.8 million loss for 2016–17</w:t>
      </w:r>
      <w:r>
        <w:rPr>
          <w:vertAlign w:val="superscript"/>
          <w:lang w:val="en"/>
        </w:rPr>
        <w:t>54</w:t>
      </w:r>
      <w:r>
        <w:rPr>
          <w:lang w:val="en"/>
        </w:rPr>
        <w:t>.</w:t>
      </w:r>
    </w:p>
    <w:p w14:paraId="057F80FC" w14:textId="6538722E" w:rsidR="00CC703E" w:rsidRDefault="00E37FDB">
      <w:pPr>
        <w:pStyle w:val="Caption"/>
      </w:pPr>
      <w:bookmarkStart w:id="90" w:name="_Ref489863160"/>
      <w:bookmarkStart w:id="91" w:name="_Toc498766341"/>
      <w:bookmarkStart w:id="92" w:name="_Toc500508464"/>
      <w:r>
        <w:t xml:space="preserve">Figure </w:t>
      </w:r>
      <w:r w:rsidR="00F329C0">
        <w:fldChar w:fldCharType="begin"/>
      </w:r>
      <w:r w:rsidR="00F329C0">
        <w:instrText xml:space="preserve"> SEQ Figure \* ARABIC </w:instrText>
      </w:r>
      <w:r w:rsidR="00F329C0">
        <w:fldChar w:fldCharType="separate"/>
      </w:r>
      <w:r w:rsidR="00121BC1">
        <w:rPr>
          <w:noProof/>
        </w:rPr>
        <w:t>4</w:t>
      </w:r>
      <w:r w:rsidR="00F329C0">
        <w:rPr>
          <w:noProof/>
        </w:rPr>
        <w:fldChar w:fldCharType="end"/>
      </w:r>
      <w:bookmarkEnd w:id="90"/>
      <w:r>
        <w:t xml:space="preserve"> Australian prawn aquaculture production, 1992–93 to 2015–16</w:t>
      </w:r>
      <w:bookmarkEnd w:id="91"/>
      <w:bookmarkEnd w:id="92"/>
    </w:p>
    <w:p w14:paraId="078407A9" w14:textId="77777777" w:rsidR="00CC703E" w:rsidRDefault="00E37FDB">
      <w:pPr>
        <w:pStyle w:val="Quote"/>
        <w:ind w:left="0"/>
        <w:rPr>
          <w:sz w:val="18"/>
          <w:szCs w:val="18"/>
          <w:lang w:eastAsia="ja-JP"/>
        </w:rPr>
      </w:pPr>
      <w:r>
        <w:rPr>
          <w:noProof/>
          <w:sz w:val="18"/>
          <w:szCs w:val="18"/>
          <w:lang w:eastAsia="en-AU"/>
        </w:rPr>
        <w:drawing>
          <wp:inline distT="0" distB="0" distL="0" distR="0" wp14:anchorId="63B28F2E" wp14:editId="542BCDA6">
            <wp:extent cx="4693791" cy="2340000"/>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01.jpg"/>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4693791" cy="2340000"/>
                    </a:xfrm>
                    <a:prstGeom prst="rect">
                      <a:avLst/>
                    </a:prstGeom>
                    <a:ln>
                      <a:noFill/>
                    </a:ln>
                    <a:extLst>
                      <a:ext uri="{53640926-AAD7-44D8-BBD7-CCE9431645EC}">
                        <a14:shadowObscured xmlns:a14="http://schemas.microsoft.com/office/drawing/2010/main"/>
                      </a:ext>
                    </a:extLst>
                  </pic:spPr>
                </pic:pic>
              </a:graphicData>
            </a:graphic>
          </wp:inline>
        </w:drawing>
      </w:r>
    </w:p>
    <w:p w14:paraId="6F269623" w14:textId="77777777" w:rsidR="00CC703E" w:rsidRDefault="00E37FDB">
      <w:pPr>
        <w:pStyle w:val="Quote"/>
        <w:spacing w:before="0"/>
        <w:ind w:left="0"/>
        <w:contextualSpacing w:val="0"/>
        <w:rPr>
          <w:sz w:val="18"/>
          <w:szCs w:val="18"/>
          <w:lang w:eastAsia="ja-JP"/>
        </w:rPr>
      </w:pPr>
      <w:r>
        <w:rPr>
          <w:sz w:val="18"/>
          <w:szCs w:val="18"/>
          <w:lang w:eastAsia="ja-JP"/>
        </w:rPr>
        <w:t>Source: Australian Bureau of Agricultural and Resource Economics and Sciences</w:t>
      </w:r>
    </w:p>
    <w:p w14:paraId="365AC250" w14:textId="2B90C6C3" w:rsidR="00CC703E" w:rsidRDefault="00E37FDB">
      <w:pPr>
        <w:pStyle w:val="Caption"/>
      </w:pPr>
      <w:bookmarkStart w:id="93" w:name="_Ref486329962"/>
      <w:bookmarkStart w:id="94" w:name="_Toc498766342"/>
      <w:bookmarkStart w:id="95" w:name="_Toc500508465"/>
      <w:r>
        <w:t xml:space="preserve">Figure </w:t>
      </w:r>
      <w:r w:rsidR="00F329C0">
        <w:fldChar w:fldCharType="begin"/>
      </w:r>
      <w:r w:rsidR="00F329C0">
        <w:instrText xml:space="preserve"> SEQ Figure \* A</w:instrText>
      </w:r>
      <w:r w:rsidR="00F329C0">
        <w:instrText xml:space="preserve">RABIC </w:instrText>
      </w:r>
      <w:r w:rsidR="00F329C0">
        <w:fldChar w:fldCharType="separate"/>
      </w:r>
      <w:r w:rsidR="00121BC1">
        <w:rPr>
          <w:noProof/>
        </w:rPr>
        <w:t>5</w:t>
      </w:r>
      <w:r w:rsidR="00F329C0">
        <w:rPr>
          <w:noProof/>
        </w:rPr>
        <w:fldChar w:fldCharType="end"/>
      </w:r>
      <w:bookmarkEnd w:id="93"/>
      <w:r>
        <w:t xml:space="preserve"> Value of Australian prawn production, wild-caught and aquaculture, 2001–02 to 2014–15</w:t>
      </w:r>
      <w:bookmarkEnd w:id="94"/>
      <w:bookmarkEnd w:id="95"/>
    </w:p>
    <w:p w14:paraId="52DD4BCE" w14:textId="270F6965" w:rsidR="00CC703E" w:rsidRDefault="00EF5198">
      <w:pPr>
        <w:pStyle w:val="Quote"/>
        <w:ind w:left="0"/>
        <w:rPr>
          <w:sz w:val="18"/>
          <w:szCs w:val="18"/>
          <w:lang w:eastAsia="ja-JP"/>
        </w:rPr>
      </w:pPr>
      <w:r>
        <w:rPr>
          <w:noProof/>
          <w:sz w:val="18"/>
          <w:szCs w:val="18"/>
          <w:lang w:eastAsia="en-AU"/>
        </w:rPr>
        <w:drawing>
          <wp:inline distT="0" distB="0" distL="0" distR="0" wp14:anchorId="7C174755" wp14:editId="42E2856E">
            <wp:extent cx="6025116" cy="2667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01.jpg"/>
                    <pic:cNvPicPr/>
                  </pic:nvPicPr>
                  <pic:blipFill>
                    <a:blip r:embed="rId32" cstate="email">
                      <a:extLst>
                        <a:ext uri="{28A0092B-C50C-407E-A947-70E740481C1C}">
                          <a14:useLocalDpi xmlns:a14="http://schemas.microsoft.com/office/drawing/2010/main"/>
                        </a:ext>
                      </a:extLst>
                    </a:blip>
                    <a:stretch>
                      <a:fillRect/>
                    </a:stretch>
                  </pic:blipFill>
                  <pic:spPr>
                    <a:xfrm>
                      <a:off x="0" y="0"/>
                      <a:ext cx="6041494" cy="2674250"/>
                    </a:xfrm>
                    <a:prstGeom prst="rect">
                      <a:avLst/>
                    </a:prstGeom>
                  </pic:spPr>
                </pic:pic>
              </a:graphicData>
            </a:graphic>
          </wp:inline>
        </w:drawing>
      </w:r>
    </w:p>
    <w:p w14:paraId="0EB20863" w14:textId="77777777" w:rsidR="00CC703E" w:rsidRDefault="00E37FDB">
      <w:pPr>
        <w:pStyle w:val="Quote"/>
        <w:ind w:left="0"/>
        <w:rPr>
          <w:sz w:val="18"/>
          <w:szCs w:val="18"/>
          <w:lang w:eastAsia="ja-JP"/>
        </w:rPr>
      </w:pPr>
      <w:r>
        <w:rPr>
          <w:sz w:val="18"/>
          <w:szCs w:val="18"/>
          <w:lang w:eastAsia="ja-JP"/>
        </w:rPr>
        <w:t>Source: Australian Bureau of Agricultural and Resource Economics and Sciences</w:t>
      </w:r>
    </w:p>
    <w:p w14:paraId="7DD3FA52" w14:textId="29055031" w:rsidR="00CC703E" w:rsidRPr="005861A2" w:rsidRDefault="00E37FDB" w:rsidP="00192538">
      <w:pPr>
        <w:pStyle w:val="Heading3"/>
        <w:rPr>
          <w:rStyle w:val="Heading3Char"/>
          <w:rFonts w:eastAsia="Calibri"/>
          <w:b/>
          <w:bCs/>
        </w:rPr>
      </w:pPr>
      <w:bookmarkStart w:id="96" w:name="_Toc490040475"/>
      <w:bookmarkStart w:id="97" w:name="_Toc500508388"/>
      <w:r w:rsidRPr="005861A2">
        <w:rPr>
          <w:rStyle w:val="Heading3Char"/>
          <w:rFonts w:eastAsia="Calibri"/>
          <w:b/>
          <w:bCs/>
        </w:rPr>
        <w:t>Prawn disease emergence and impact</w:t>
      </w:r>
      <w:bookmarkEnd w:id="96"/>
      <w:bookmarkEnd w:id="97"/>
    </w:p>
    <w:p w14:paraId="48371732" w14:textId="6D09F370" w:rsidR="00CC703E" w:rsidRDefault="00E37FDB">
      <w:r>
        <w:t>In the Americas, prawn aquaculture began to develop in the 1970s, producing post-larvae from wild-caught broodstock to grow out in ponds. Most new diseases were local in extent, derived from the wild broodstock. There was little movement of stock or international trade in prawn products at that time.</w:t>
      </w:r>
      <w:r w:rsidR="00061542">
        <w:t xml:space="preserve"> </w:t>
      </w:r>
    </w:p>
    <w:p w14:paraId="0481B94D" w14:textId="1FEC258E" w:rsidR="00CC703E" w:rsidRDefault="00E37FDB">
      <w:r>
        <w:t>Globally, trade and the movement of stocks have contributed to the emergence of a number of serious diseases, including:</w:t>
      </w:r>
    </w:p>
    <w:p w14:paraId="7FAE742B" w14:textId="22C3DB38" w:rsidR="00CC703E" w:rsidRDefault="00E37FDB" w:rsidP="00D36070">
      <w:pPr>
        <w:pStyle w:val="ListBullet"/>
      </w:pPr>
      <w:r>
        <w:rPr>
          <w:rStyle w:val="Strong"/>
        </w:rPr>
        <w:t>infectious hypodermal and hematopoietic necrosis virus (IHHNV)</w:t>
      </w:r>
      <w:r>
        <w:rPr>
          <w:rStyle w:val="Strong"/>
          <w:b w:val="0"/>
        </w:rPr>
        <w:t>—</w:t>
      </w:r>
      <w:r>
        <w:t xml:space="preserve">first recognised in Central America in 1981 and shown to cause acute, catastrophic </w:t>
      </w:r>
      <w:r>
        <w:lastRenderedPageBreak/>
        <w:t>outbreaks with cumulative mortality rates of about 60 to 90 per cent in semi-intensively or intensively cultured juvenile blue shrimp (</w:t>
      </w:r>
      <w:r>
        <w:rPr>
          <w:i/>
          <w:iCs/>
        </w:rPr>
        <w:t>P. stylirostris</w:t>
      </w:r>
      <w:r>
        <w:t xml:space="preserve">) stocks. Infected </w:t>
      </w:r>
      <w:r>
        <w:rPr>
          <w:i/>
        </w:rPr>
        <w:t>P. monodon</w:t>
      </w:r>
      <w:r>
        <w:t xml:space="preserve"> can appear healthy, but</w:t>
      </w:r>
      <w:r>
        <w:rPr>
          <w:i/>
        </w:rPr>
        <w:t xml:space="preserve"> P. stylirostris</w:t>
      </w:r>
      <w:r>
        <w:t xml:space="preserve"> and </w:t>
      </w:r>
      <w:r>
        <w:rPr>
          <w:i/>
        </w:rPr>
        <w:t>P. vannamei</w:t>
      </w:r>
      <w:r>
        <w:t xml:space="preserve"> are very susceptible to infection. By 2006 evidence indicated that the virus may have originated in South-East Asia. Researchers found that prawns in Australia had a benign ancient form of the virus integrated into their genome, which raised questions about the status of Australian prawns with respect to the virulent Asian strain.</w:t>
      </w:r>
    </w:p>
    <w:p w14:paraId="62AB9479" w14:textId="77777777" w:rsidR="00CC703E" w:rsidRDefault="00E37FDB" w:rsidP="00D36070">
      <w:pPr>
        <w:pStyle w:val="ListBullet"/>
      </w:pPr>
      <w:r>
        <w:rPr>
          <w:rStyle w:val="Strong"/>
        </w:rPr>
        <w:t>P. monodon nudivirus (PmNV), formerly known as monodon baculovirus (MBV)</w:t>
      </w:r>
      <w:r>
        <w:t>—emerged as a globally distributed problem in prawn aquaculture in the 1980s.</w:t>
      </w:r>
    </w:p>
    <w:p w14:paraId="6B6BD3BA" w14:textId="77777777" w:rsidR="00CC703E" w:rsidRDefault="00E37FDB" w:rsidP="00D36070">
      <w:pPr>
        <w:pStyle w:val="ListBullet"/>
      </w:pPr>
      <w:r>
        <w:rPr>
          <w:rStyle w:val="Strong"/>
        </w:rPr>
        <w:t>necrotising hepatopancreatitis (NHP)</w:t>
      </w:r>
      <w:r>
        <w:rPr>
          <w:rStyle w:val="Strong"/>
          <w:b w:val="0"/>
        </w:rPr>
        <w:t>—</w:t>
      </w:r>
      <w:r>
        <w:t>initially discovered in Texas in 1985, this intracellular bacterial disease is difficult to control and causes substantial mortalities. It spread through the Americas but did not establish in Asia until 2005–06 in Thailand. The disease requires high water temperatures and high salinity (from a prolonged dry season)</w:t>
      </w:r>
      <w:r>
        <w:rPr>
          <w:szCs w:val="24"/>
        </w:rPr>
        <w:t>.</w:t>
      </w:r>
    </w:p>
    <w:p w14:paraId="22A66462" w14:textId="4EBDB79A" w:rsidR="00CC703E" w:rsidRDefault="00E37FDB" w:rsidP="00D36070">
      <w:pPr>
        <w:pStyle w:val="ListBullet"/>
        <w:rPr>
          <w:szCs w:val="24"/>
        </w:rPr>
      </w:pPr>
      <w:r>
        <w:rPr>
          <w:b/>
          <w:szCs w:val="24"/>
        </w:rPr>
        <w:t xml:space="preserve">taura syndrome virus (TSV) </w:t>
      </w:r>
      <w:r>
        <w:rPr>
          <w:szCs w:val="24"/>
        </w:rPr>
        <w:t xml:space="preserve">emerged in </w:t>
      </w:r>
      <w:r>
        <w:rPr>
          <w:i/>
          <w:szCs w:val="24"/>
        </w:rPr>
        <w:t xml:space="preserve">P. </w:t>
      </w:r>
      <w:r>
        <w:rPr>
          <w:i/>
        </w:rPr>
        <w:t>vannamei</w:t>
      </w:r>
      <w:r>
        <w:rPr>
          <w:szCs w:val="24"/>
        </w:rPr>
        <w:t xml:space="preserve"> farms in </w:t>
      </w:r>
      <w:r>
        <w:rPr>
          <w:rFonts w:cs="Segoe UI"/>
          <w:szCs w:val="24"/>
        </w:rPr>
        <w:t>Ecuador</w:t>
      </w:r>
      <w:r>
        <w:rPr>
          <w:szCs w:val="24"/>
        </w:rPr>
        <w:t xml:space="preserve"> in 1991–92 and by 1999 was transmitted with live shrimp to Asia, where losses were severe.</w:t>
      </w:r>
    </w:p>
    <w:p w14:paraId="54F34891" w14:textId="77777777" w:rsidR="007F2AF3" w:rsidRPr="007F2AF3" w:rsidRDefault="00E37FDB" w:rsidP="00192538">
      <w:pPr>
        <w:pStyle w:val="ListBullet"/>
        <w:rPr>
          <w:szCs w:val="24"/>
        </w:rPr>
      </w:pPr>
      <w:r w:rsidRPr="00192538">
        <w:rPr>
          <w:b/>
          <w:bCs/>
        </w:rPr>
        <w:t>white spot syndrome virus (WSSV)</w:t>
      </w:r>
      <w:r w:rsidR="004C5646" w:rsidRPr="00192538">
        <w:rPr>
          <w:rFonts w:cs="Segoe UI"/>
          <w:color w:val="000000"/>
          <w:lang w:val="en"/>
        </w:rPr>
        <w:t xml:space="preserve"> emerged in </w:t>
      </w:r>
      <w:r w:rsidR="00FF7912" w:rsidRPr="00192538">
        <w:rPr>
          <w:rFonts w:cs="Segoe UI"/>
          <w:color w:val="000000"/>
          <w:lang w:val="en"/>
        </w:rPr>
        <w:t xml:space="preserve">China </w:t>
      </w:r>
      <w:r w:rsidR="004C5646" w:rsidRPr="00192538">
        <w:rPr>
          <w:rFonts w:cs="Segoe UI"/>
          <w:color w:val="000000"/>
          <w:lang w:val="en"/>
        </w:rPr>
        <w:t>in 1992, and by the end of the 1990s had become endemic in all countries in Asia and the Americas. WSSV is spread mainly by translocation of live prawns for aquaculture or by imported uncooked prawns or their processing waste finding their way inadvertently into aquatic environments</w:t>
      </w:r>
      <w:r w:rsidR="00B316DF">
        <w:rPr>
          <w:rFonts w:cs="Segoe UI"/>
          <w:color w:val="000000"/>
          <w:vertAlign w:val="superscript"/>
          <w:lang w:val="en"/>
        </w:rPr>
        <w:t>55</w:t>
      </w:r>
      <w:r w:rsidR="0024462A" w:rsidRPr="00192538">
        <w:rPr>
          <w:rFonts w:cs="Segoe UI"/>
          <w:color w:val="000000"/>
          <w:vertAlign w:val="superscript"/>
          <w:lang w:val="en"/>
        </w:rPr>
        <w:t>,</w:t>
      </w:r>
      <w:r w:rsidR="0020153E" w:rsidRPr="00192538">
        <w:rPr>
          <w:rFonts w:cs="Segoe UI"/>
          <w:color w:val="000000"/>
          <w:vertAlign w:val="superscript"/>
          <w:lang w:val="en"/>
        </w:rPr>
        <w:t xml:space="preserve"> </w:t>
      </w:r>
      <w:r w:rsidR="00B316DF">
        <w:rPr>
          <w:rFonts w:cs="Segoe UI"/>
          <w:color w:val="000000"/>
          <w:vertAlign w:val="superscript"/>
          <w:lang w:val="en"/>
        </w:rPr>
        <w:t>56</w:t>
      </w:r>
      <w:r w:rsidR="0024462A" w:rsidRPr="00192538">
        <w:rPr>
          <w:rFonts w:cs="Segoe UI"/>
          <w:color w:val="000000"/>
          <w:vertAlign w:val="superscript"/>
          <w:lang w:val="en"/>
        </w:rPr>
        <w:t>,</w:t>
      </w:r>
      <w:r w:rsidR="0020153E" w:rsidRPr="00192538">
        <w:rPr>
          <w:rFonts w:cs="Segoe UI"/>
          <w:color w:val="000000"/>
          <w:vertAlign w:val="superscript"/>
          <w:lang w:val="en"/>
        </w:rPr>
        <w:t xml:space="preserve"> </w:t>
      </w:r>
      <w:r w:rsidR="00B316DF">
        <w:rPr>
          <w:rFonts w:cs="Segoe UI"/>
          <w:color w:val="000000"/>
          <w:vertAlign w:val="superscript"/>
          <w:lang w:val="en"/>
        </w:rPr>
        <w:t>57</w:t>
      </w:r>
      <w:r w:rsidR="004C5646">
        <w:t>.</w:t>
      </w:r>
      <w:r w:rsidR="00242B77">
        <w:t xml:space="preserve"> </w:t>
      </w:r>
      <w:r>
        <w:t xml:space="preserve">Between 1995 and 1999 WSSV travelled in frozen shrimp to the eastern United States, where it spread to wild populations via processing wastes. The most recent outbreaks </w:t>
      </w:r>
      <w:r w:rsidR="004C5646">
        <w:t xml:space="preserve">of WSD </w:t>
      </w:r>
      <w:r>
        <w:t>were in Brazil (2005), Saudi Arabia (2010–11), Mozambique (2011), Brunei and Madagascar (2012) and Queensland, Australia (2016–17). WSSV can infect a wide range of aquatic crustaceans such as marine, brackish and freshwater prawns, crabs and freshwater crayfish, including the highly susceptible Australian yabby</w:t>
      </w:r>
      <w:r w:rsidRPr="00192538">
        <w:rPr>
          <w:i/>
        </w:rPr>
        <w:t xml:space="preserve"> Cherax destructor</w:t>
      </w:r>
      <w:r w:rsidR="00B316DF">
        <w:rPr>
          <w:vertAlign w:val="superscript"/>
        </w:rPr>
        <w:t>58</w:t>
      </w:r>
      <w:r w:rsidR="0020153E">
        <w:t xml:space="preserve"> </w:t>
      </w:r>
      <w:r>
        <w:t>and the Louisiana crawfish. No decapod crustacean has been found that is resistant</w:t>
      </w:r>
      <w:r w:rsidR="00B316DF">
        <w:rPr>
          <w:vertAlign w:val="superscript"/>
        </w:rPr>
        <w:t>59</w:t>
      </w:r>
      <w:r>
        <w:t>. Vectors for the virus also include rotifers, marine molluscs, worms, non-decapod crustaceans, such as brine shrimp (</w:t>
      </w:r>
      <w:r w:rsidRPr="00192538">
        <w:rPr>
          <w:i/>
          <w:iCs/>
        </w:rPr>
        <w:t xml:space="preserve">Artemia salina), </w:t>
      </w:r>
      <w:r>
        <w:t>and copepods, slaters and certain insect larvae</w:t>
      </w:r>
      <w:r w:rsidR="00B316DF">
        <w:rPr>
          <w:vertAlign w:val="superscript"/>
        </w:rPr>
        <w:t>60</w:t>
      </w:r>
      <w:r w:rsidRPr="008B0A53">
        <w:t>.</w:t>
      </w:r>
    </w:p>
    <w:p w14:paraId="2F8EB086" w14:textId="7D9465F3" w:rsidR="00CC703E" w:rsidRPr="00192538" w:rsidRDefault="00E37FDB" w:rsidP="00292BC8">
      <w:pPr>
        <w:pStyle w:val="ListBullet"/>
        <w:numPr>
          <w:ilvl w:val="0"/>
          <w:numId w:val="0"/>
        </w:numPr>
        <w:ind w:left="425"/>
        <w:rPr>
          <w:szCs w:val="24"/>
        </w:rPr>
      </w:pPr>
      <w:r>
        <w:t>Losses from the 1992–93 WSSV outbreaks in Asia alone were estimated at US$6 billion</w:t>
      </w:r>
      <w:r w:rsidR="00B316DF">
        <w:rPr>
          <w:vertAlign w:val="superscript"/>
        </w:rPr>
        <w:t>61</w:t>
      </w:r>
      <w:r>
        <w:t>. WSSV continues to cause major economic losses to Asian prawn farmers though they now farm lower-value, more resistant species. The virus has become more virulent and shows deletions in the genome—these are used to study patterns of spread. The most severe recent outbreaks have been in Vietnam (2014–16), southern China (2015–16) and India (2016). In early 2017 the media reported</w:t>
      </w:r>
      <w:r w:rsidR="00B316DF">
        <w:rPr>
          <w:vertAlign w:val="superscript"/>
        </w:rPr>
        <w:t>62</w:t>
      </w:r>
      <w:r w:rsidR="008A446C">
        <w:t xml:space="preserve"> </w:t>
      </w:r>
      <w:r>
        <w:t>that huge quantities of raw prawns from Vietnam, Thailand, Ecuador and Mexico were being smuggled into China for processing and sale as ‘product of China’ and to fill production quotas</w:t>
      </w:r>
      <w:r w:rsidR="00B316DF">
        <w:rPr>
          <w:vertAlign w:val="superscript"/>
        </w:rPr>
        <w:t>62</w:t>
      </w:r>
      <w:r w:rsidR="0024462A" w:rsidRPr="00192538">
        <w:rPr>
          <w:vertAlign w:val="superscript"/>
        </w:rPr>
        <w:t>,</w:t>
      </w:r>
      <w:r w:rsidR="0020153E" w:rsidRPr="00192538">
        <w:rPr>
          <w:vertAlign w:val="superscript"/>
        </w:rPr>
        <w:t xml:space="preserve"> </w:t>
      </w:r>
      <w:r w:rsidR="00B316DF">
        <w:rPr>
          <w:vertAlign w:val="superscript"/>
        </w:rPr>
        <w:t>63</w:t>
      </w:r>
      <w:r w:rsidRPr="00192538">
        <w:rPr>
          <w:szCs w:val="24"/>
        </w:rPr>
        <w:t>.</w:t>
      </w:r>
      <w:r w:rsidR="00581BE9" w:rsidRPr="00192538">
        <w:rPr>
          <w:szCs w:val="24"/>
        </w:rPr>
        <w:t xml:space="preserve"> Likewise, in 2016 Vietnam had imported over 300,000 tonnes of prawns for processing and re-export</w:t>
      </w:r>
      <w:r w:rsidR="00AA5AE1">
        <w:rPr>
          <w:szCs w:val="24"/>
          <w:vertAlign w:val="superscript"/>
        </w:rPr>
        <w:t>64</w:t>
      </w:r>
      <w:r w:rsidR="00581BE9" w:rsidRPr="00192538">
        <w:rPr>
          <w:szCs w:val="24"/>
        </w:rPr>
        <w:t>.</w:t>
      </w:r>
      <w:r w:rsidR="0063545E" w:rsidRPr="00192538">
        <w:rPr>
          <w:szCs w:val="24"/>
        </w:rPr>
        <w:t xml:space="preserve"> </w:t>
      </w:r>
      <w:r w:rsidR="0063545E">
        <w:t>WSD</w:t>
      </w:r>
      <w:r w:rsidR="008B0A53">
        <w:t xml:space="preserve"> in 3,907 h</w:t>
      </w:r>
      <w:r w:rsidR="00642C86">
        <w:t>ectare</w:t>
      </w:r>
      <w:r w:rsidR="008B0A53">
        <w:t xml:space="preserve"> of shrimp ponds in the Mekong Delta, Vietnam </w:t>
      </w:r>
      <w:r w:rsidR="008B0A53">
        <w:lastRenderedPageBreak/>
        <w:t>in 2015 resulted in losses estimated at US$</w:t>
      </w:r>
      <w:r w:rsidR="00642C86" w:rsidRPr="00642C86">
        <w:t> </w:t>
      </w:r>
      <w:r w:rsidR="008B0A53">
        <w:t xml:space="preserve">8.02 million. WSD </w:t>
      </w:r>
      <w:r w:rsidR="0063545E">
        <w:t>is still estimated to cause annual losses of over US$1</w:t>
      </w:r>
      <w:r w:rsidR="00642C86" w:rsidRPr="00642C86">
        <w:t> </w:t>
      </w:r>
      <w:r w:rsidR="0063545E">
        <w:t>billion globally</w:t>
      </w:r>
      <w:r w:rsidR="00CB34EC">
        <w:rPr>
          <w:vertAlign w:val="superscript"/>
        </w:rPr>
        <w:t>65</w:t>
      </w:r>
      <w:r w:rsidR="0063545E">
        <w:t>.</w:t>
      </w:r>
    </w:p>
    <w:p w14:paraId="1016C067" w14:textId="32E22381" w:rsidR="00CC703E" w:rsidRDefault="00E37FDB" w:rsidP="00D36070">
      <w:pPr>
        <w:pStyle w:val="ListBullet"/>
        <w:rPr>
          <w:szCs w:val="24"/>
        </w:rPr>
      </w:pPr>
      <w:r>
        <w:rPr>
          <w:rStyle w:val="Strong"/>
        </w:rPr>
        <w:t>yellow head disease (YHD)</w:t>
      </w:r>
      <w:r>
        <w:rPr>
          <w:rStyle w:val="Strong"/>
          <w:b w:val="0"/>
        </w:rPr>
        <w:t>—</w:t>
      </w:r>
      <w:r>
        <w:t xml:space="preserve">appeared in Thailand in 1990, causing extensive prawn mortality and severe production losses. It is caused by genotype 1 of a single-stranded RNA virus (genus </w:t>
      </w:r>
      <w:r w:rsidRPr="00295AE8">
        <w:rPr>
          <w:i/>
        </w:rPr>
        <w:t>Okavirus</w:t>
      </w:r>
      <w:r>
        <w:t>, family Roniviridae, order Nidovirales). Six genotypes are known, but only genotype 1 is internationally notifiable. The related Australian gill-associated virus (GAV) is designated genotype 2 and causes reduced production</w:t>
      </w:r>
      <w:r w:rsidR="00CB34EC">
        <w:rPr>
          <w:vertAlign w:val="superscript"/>
        </w:rPr>
        <w:t>66</w:t>
      </w:r>
      <w:r>
        <w:t xml:space="preserve">. Genotypes 3 to 6 occur commonly in healthy </w:t>
      </w:r>
      <w:r>
        <w:rPr>
          <w:i/>
        </w:rPr>
        <w:t>P. monodon</w:t>
      </w:r>
      <w:r>
        <w:t xml:space="preserve"> in East Africa, Asia and Australia and rarely or never cause disease.</w:t>
      </w:r>
    </w:p>
    <w:p w14:paraId="53DFD9FA" w14:textId="2878CF4D" w:rsidR="00CC703E" w:rsidRDefault="00E37FDB" w:rsidP="00D36070">
      <w:pPr>
        <w:pStyle w:val="ListBullet"/>
        <w:rPr>
          <w:szCs w:val="24"/>
        </w:rPr>
      </w:pPr>
      <w:r>
        <w:rPr>
          <w:rStyle w:val="Strong"/>
        </w:rPr>
        <w:t>infectious myonecrosis virus (IMNV)</w:t>
      </w:r>
      <w:r>
        <w:rPr>
          <w:rStyle w:val="Strong"/>
          <w:b w:val="0"/>
        </w:rPr>
        <w:t>—</w:t>
      </w:r>
      <w:r>
        <w:t xml:space="preserve">emerged in the Americas in 2002. By 2005 it had been transported to Java, Indonesia in live </w:t>
      </w:r>
      <w:r>
        <w:rPr>
          <w:i/>
        </w:rPr>
        <w:t>P. vannamei</w:t>
      </w:r>
      <w:r>
        <w:t>, presumably through smuggled broodstock from Brazil for commercial hatchery use</w:t>
      </w:r>
      <w:r w:rsidR="00CB34EC">
        <w:rPr>
          <w:vertAlign w:val="superscript"/>
        </w:rPr>
        <w:t>67</w:t>
      </w:r>
      <w:r>
        <w:t>, and was listed as notifiable by OIE</w:t>
      </w:r>
      <w:r>
        <w:rPr>
          <w:szCs w:val="24"/>
        </w:rPr>
        <w:t>.</w:t>
      </w:r>
    </w:p>
    <w:p w14:paraId="4DBA2C41" w14:textId="3DB582BB" w:rsidR="00CC703E" w:rsidRDefault="00E37FDB" w:rsidP="00D36070">
      <w:pPr>
        <w:pStyle w:val="ListBullet"/>
        <w:rPr>
          <w:szCs w:val="24"/>
        </w:rPr>
      </w:pPr>
      <w:r>
        <w:rPr>
          <w:rStyle w:val="Strong"/>
        </w:rPr>
        <w:t>acute hepatopancreatic necrosis disease (AHPND)</w:t>
      </w:r>
      <w:r>
        <w:rPr>
          <w:rStyle w:val="Strong"/>
          <w:b w:val="0"/>
        </w:rPr>
        <w:t>—</w:t>
      </w:r>
      <w:r>
        <w:t xml:space="preserve">emerged in China in 2009, spread to Vietnam and reached Mexico in 2013. It is commonly referred to as early mortality syndrome because mortality occurs early in the production cycle, about 35 to 45 days after shrimp are stocked. By 2014 a phage-modified </w:t>
      </w:r>
      <w:r>
        <w:rPr>
          <w:i/>
        </w:rPr>
        <w:t>Vibrio parahaemolyticus</w:t>
      </w:r>
      <w:r>
        <w:t xml:space="preserve"> bacterium was shown to be the cause. This disease reduced Thailand’s prawn production from 600,000 tonnes in 2011 to 200,000 tonnes in 2014</w:t>
      </w:r>
      <w:r w:rsidR="00CB34EC">
        <w:rPr>
          <w:vertAlign w:val="superscript"/>
        </w:rPr>
        <w:t>68</w:t>
      </w:r>
      <w:r>
        <w:t>. It is spread by live animal movement, lax farm biosecurity, the use of live feeds such as polychaetes for hatchery broodstock conditioning, and ballast water. It is killed by freezing</w:t>
      </w:r>
      <w:r>
        <w:rPr>
          <w:szCs w:val="24"/>
        </w:rPr>
        <w:t>.</w:t>
      </w:r>
    </w:p>
    <w:p w14:paraId="7A408AAF" w14:textId="77777777" w:rsidR="00CC703E" w:rsidRDefault="00E37FDB" w:rsidP="00D36070">
      <w:pPr>
        <w:pStyle w:val="ListBullet"/>
        <w:rPr>
          <w:szCs w:val="24"/>
        </w:rPr>
      </w:pPr>
      <w:r>
        <w:rPr>
          <w:rStyle w:val="Strong"/>
        </w:rPr>
        <w:t>covert mortality nodavirus (CMNV)</w:t>
      </w:r>
      <w:r>
        <w:rPr>
          <w:rStyle w:val="Strong"/>
          <w:b w:val="0"/>
        </w:rPr>
        <w:t>—</w:t>
      </w:r>
      <w:r>
        <w:t>began in China in 2009, with losses of up to 80 per cent, and is so-called because prawns die in the bottom of the pond and are not seen</w:t>
      </w:r>
      <w:r>
        <w:rPr>
          <w:szCs w:val="24"/>
        </w:rPr>
        <w:t>.</w:t>
      </w:r>
    </w:p>
    <w:p w14:paraId="191549F2" w14:textId="7D38AB7C" w:rsidR="00CC703E" w:rsidRDefault="00E37FDB">
      <w:pPr>
        <w:rPr>
          <w:szCs w:val="24"/>
        </w:rPr>
      </w:pPr>
      <w:r>
        <w:rPr>
          <w:szCs w:val="24"/>
        </w:rPr>
        <w:t>Prawn diseases will likely continue to emerge for two reasons. Firstly, prawns commonly carry a range of viral diseases and their ability to sequester viruses may be a part of their immune response system</w:t>
      </w:r>
      <w:r w:rsidR="00871451">
        <w:rPr>
          <w:szCs w:val="24"/>
          <w:vertAlign w:val="superscript"/>
        </w:rPr>
        <w:t>69</w:t>
      </w:r>
      <w:r>
        <w:rPr>
          <w:szCs w:val="24"/>
        </w:rPr>
        <w:t>. Secondly, prawn viruses have strong links to insect viruses, and cross-infection has been postulated but not proved</w:t>
      </w:r>
      <w:r w:rsidR="00871451">
        <w:rPr>
          <w:szCs w:val="24"/>
          <w:vertAlign w:val="superscript"/>
        </w:rPr>
        <w:t>70</w:t>
      </w:r>
      <w:r>
        <w:rPr>
          <w:szCs w:val="24"/>
        </w:rPr>
        <w:t>.</w:t>
      </w:r>
    </w:p>
    <w:p w14:paraId="60C291D1" w14:textId="647C5370" w:rsidR="00CC703E" w:rsidRDefault="00E37FDB">
      <w:pPr>
        <w:rPr>
          <w:szCs w:val="24"/>
        </w:rPr>
      </w:pPr>
      <w:r w:rsidRPr="00A73371">
        <w:rPr>
          <w:szCs w:val="24"/>
        </w:rPr>
        <w:t>From 1981 to 2012 i</w:t>
      </w:r>
      <w:r>
        <w:rPr>
          <w:szCs w:val="24"/>
        </w:rPr>
        <w:t xml:space="preserve">nfectious prawn diseases </w:t>
      </w:r>
      <w:r w:rsidRPr="00A73371">
        <w:rPr>
          <w:szCs w:val="24"/>
        </w:rPr>
        <w:t>cost</w:t>
      </w:r>
      <w:r>
        <w:rPr>
          <w:szCs w:val="24"/>
        </w:rPr>
        <w:t xml:space="preserve"> </w:t>
      </w:r>
      <w:r w:rsidRPr="00A73371">
        <w:rPr>
          <w:szCs w:val="24"/>
        </w:rPr>
        <w:t xml:space="preserve">an estimated </w:t>
      </w:r>
      <w:r>
        <w:rPr>
          <w:szCs w:val="24"/>
        </w:rPr>
        <w:t>US$10.6</w:t>
      </w:r>
      <w:r w:rsidRPr="00A73371">
        <w:rPr>
          <w:szCs w:val="24"/>
        </w:rPr>
        <w:t> </w:t>
      </w:r>
      <w:r>
        <w:rPr>
          <w:szCs w:val="24"/>
        </w:rPr>
        <w:t>billion</w:t>
      </w:r>
      <w:r w:rsidRPr="00A73371">
        <w:rPr>
          <w:szCs w:val="24"/>
        </w:rPr>
        <w:t xml:space="preserve"> worldwide</w:t>
      </w:r>
      <w:r w:rsidR="00871451">
        <w:rPr>
          <w:szCs w:val="24"/>
          <w:vertAlign w:val="superscript"/>
        </w:rPr>
        <w:t>71</w:t>
      </w:r>
      <w:r>
        <w:rPr>
          <w:szCs w:val="24"/>
        </w:rPr>
        <w:t xml:space="preserve">. As a result, international farming practices have changed, moving from wild-caught broodstock to specific pathogen free (SPF) hatchery production. Since 2000 many prawn farmers have shifted from </w:t>
      </w:r>
      <w:r>
        <w:rPr>
          <w:i/>
          <w:szCs w:val="24"/>
        </w:rPr>
        <w:t>P. monodon</w:t>
      </w:r>
      <w:r>
        <w:rPr>
          <w:szCs w:val="24"/>
        </w:rPr>
        <w:t xml:space="preserve"> to </w:t>
      </w:r>
      <w:r>
        <w:rPr>
          <w:i/>
          <w:szCs w:val="24"/>
        </w:rPr>
        <w:t>P. vannamei,</w:t>
      </w:r>
      <w:r>
        <w:rPr>
          <w:szCs w:val="24"/>
        </w:rPr>
        <w:t xml:space="preserve"> which is relatively resistant to WSSV</w:t>
      </w:r>
      <w:r w:rsidR="00151F61">
        <w:rPr>
          <w:szCs w:val="24"/>
          <w:vertAlign w:val="superscript"/>
        </w:rPr>
        <w:t>68</w:t>
      </w:r>
      <w:r w:rsidR="00DA1E70">
        <w:rPr>
          <w:szCs w:val="24"/>
          <w:vertAlign w:val="superscript"/>
        </w:rPr>
        <w:t>, 71</w:t>
      </w:r>
      <w:r>
        <w:rPr>
          <w:szCs w:val="24"/>
        </w:rPr>
        <w:t xml:space="preserve">. By 2006 </w:t>
      </w:r>
      <w:r>
        <w:rPr>
          <w:i/>
          <w:szCs w:val="24"/>
        </w:rPr>
        <w:t>P. vannamei</w:t>
      </w:r>
      <w:r>
        <w:rPr>
          <w:szCs w:val="24"/>
        </w:rPr>
        <w:t xml:space="preserve"> was the dominant farmed shrimp in </w:t>
      </w:r>
      <w:r w:rsidR="00AF785E">
        <w:rPr>
          <w:szCs w:val="24"/>
        </w:rPr>
        <w:t>most</w:t>
      </w:r>
      <w:r>
        <w:rPr>
          <w:szCs w:val="24"/>
        </w:rPr>
        <w:t xml:space="preserve"> countries except Australia, where it is an exotic species. Australia has been able to continue to farm the larger, higher value but more WSSV-susceptible </w:t>
      </w:r>
      <w:r>
        <w:rPr>
          <w:i/>
          <w:szCs w:val="24"/>
        </w:rPr>
        <w:t>P.</w:t>
      </w:r>
      <w:r w:rsidRPr="00A73371">
        <w:rPr>
          <w:i/>
          <w:szCs w:val="24"/>
        </w:rPr>
        <w:t xml:space="preserve"> </w:t>
      </w:r>
      <w:r>
        <w:rPr>
          <w:i/>
          <w:szCs w:val="24"/>
        </w:rPr>
        <w:t>monodon,</w:t>
      </w:r>
      <w:r>
        <w:rPr>
          <w:szCs w:val="24"/>
        </w:rPr>
        <w:t xml:space="preserve"> but this situation may change if WSSV becomes </w:t>
      </w:r>
      <w:r w:rsidR="00BA1A11">
        <w:rPr>
          <w:szCs w:val="24"/>
        </w:rPr>
        <w:t>established</w:t>
      </w:r>
      <w:r>
        <w:rPr>
          <w:szCs w:val="24"/>
        </w:rPr>
        <w:t>.</w:t>
      </w:r>
    </w:p>
    <w:p w14:paraId="2360F504" w14:textId="7FB2BED2" w:rsidR="00CC703E" w:rsidRPr="00192538" w:rsidRDefault="00E37FDB" w:rsidP="00192538">
      <w:pPr>
        <w:pStyle w:val="Heading3"/>
        <w:rPr>
          <w:rStyle w:val="Heading3Char"/>
          <w:rFonts w:eastAsia="Calibri"/>
          <w:b/>
          <w:bCs/>
        </w:rPr>
      </w:pPr>
      <w:bookmarkStart w:id="98" w:name="_Toc490040476"/>
      <w:bookmarkStart w:id="99" w:name="_Toc500508389"/>
      <w:r w:rsidRPr="00192538">
        <w:rPr>
          <w:rStyle w:val="Heading3Char"/>
          <w:rFonts w:eastAsia="Calibri"/>
          <w:b/>
          <w:bCs/>
        </w:rPr>
        <w:t>Australian prawn diseases</w:t>
      </w:r>
      <w:bookmarkEnd w:id="98"/>
      <w:bookmarkEnd w:id="99"/>
    </w:p>
    <w:p w14:paraId="59A4581E" w14:textId="5CF0021E" w:rsidR="00CC703E" w:rsidRDefault="00E37FDB">
      <w:pPr>
        <w:rPr>
          <w:szCs w:val="24"/>
          <w:lang w:eastAsia="ja-JP"/>
        </w:rPr>
      </w:pPr>
      <w:r>
        <w:rPr>
          <w:szCs w:val="24"/>
          <w:lang w:eastAsia="ja-JP"/>
        </w:rPr>
        <w:t xml:space="preserve">In 1980 the first evidence of viral infections in Australian wild-caught prawns was found in electron micrographs of baculovirus-like histopathology in </w:t>
      </w:r>
      <w:r>
        <w:rPr>
          <w:i/>
          <w:szCs w:val="24"/>
          <w:lang w:eastAsia="ja-JP"/>
        </w:rPr>
        <w:t>Metapenaeus ensis</w:t>
      </w:r>
      <w:r>
        <w:rPr>
          <w:szCs w:val="24"/>
          <w:lang w:eastAsia="ja-JP"/>
        </w:rPr>
        <w:t xml:space="preserve"> from north-east Torres Strait</w:t>
      </w:r>
      <w:r w:rsidR="00151F61">
        <w:rPr>
          <w:szCs w:val="24"/>
          <w:vertAlign w:val="superscript"/>
          <w:lang w:eastAsia="ja-JP"/>
        </w:rPr>
        <w:t>72</w:t>
      </w:r>
      <w:r>
        <w:rPr>
          <w:szCs w:val="24"/>
          <w:lang w:eastAsia="ja-JP"/>
        </w:rPr>
        <w:t>. The first record</w:t>
      </w:r>
      <w:r w:rsidRPr="00A73371">
        <w:rPr>
          <w:szCs w:val="24"/>
          <w:lang w:eastAsia="ja-JP"/>
        </w:rPr>
        <w:t>ed</w:t>
      </w:r>
      <w:r>
        <w:rPr>
          <w:szCs w:val="24"/>
          <w:lang w:eastAsia="ja-JP"/>
        </w:rPr>
        <w:t xml:space="preserve"> viral disease in </w:t>
      </w:r>
      <w:r w:rsidRPr="00A73371">
        <w:rPr>
          <w:szCs w:val="24"/>
          <w:lang w:eastAsia="ja-JP"/>
        </w:rPr>
        <w:t>Australia’s</w:t>
      </w:r>
      <w:r>
        <w:rPr>
          <w:szCs w:val="24"/>
          <w:lang w:eastAsia="ja-JP"/>
        </w:rPr>
        <w:t xml:space="preserve"> </w:t>
      </w:r>
      <w:r>
        <w:rPr>
          <w:szCs w:val="24"/>
          <w:lang w:eastAsia="ja-JP"/>
        </w:rPr>
        <w:lastRenderedPageBreak/>
        <w:t xml:space="preserve">developing aquaculture industry </w:t>
      </w:r>
      <w:r w:rsidRPr="00A73371">
        <w:rPr>
          <w:szCs w:val="24"/>
          <w:lang w:eastAsia="ja-JP"/>
        </w:rPr>
        <w:t>was</w:t>
      </w:r>
      <w:r>
        <w:rPr>
          <w:szCs w:val="24"/>
          <w:lang w:eastAsia="ja-JP"/>
        </w:rPr>
        <w:t xml:space="preserve"> monodon baculovirus (now known as </w:t>
      </w:r>
      <w:r>
        <w:rPr>
          <w:rStyle w:val="Strong"/>
          <w:b w:val="0"/>
        </w:rPr>
        <w:t>P. monodon nudivirus)</w:t>
      </w:r>
      <w:r w:rsidRPr="00A73371">
        <w:rPr>
          <w:rStyle w:val="Strong"/>
          <w:b w:val="0"/>
        </w:rPr>
        <w:t xml:space="preserve"> in 19</w:t>
      </w:r>
      <w:r w:rsidR="00295AE8">
        <w:rPr>
          <w:rStyle w:val="Strong"/>
          <w:b w:val="0"/>
        </w:rPr>
        <w:t>87</w:t>
      </w:r>
      <w:r w:rsidR="00151F61">
        <w:rPr>
          <w:bCs/>
          <w:vertAlign w:val="superscript"/>
        </w:rPr>
        <w:t>73</w:t>
      </w:r>
      <w:r>
        <w:rPr>
          <w:szCs w:val="24"/>
          <w:lang w:eastAsia="ja-JP"/>
        </w:rPr>
        <w:t>. By 1995 some 12 viral diseases had been described</w:t>
      </w:r>
      <w:r w:rsidR="00151F61">
        <w:rPr>
          <w:szCs w:val="24"/>
          <w:vertAlign w:val="superscript"/>
          <w:lang w:eastAsia="ja-JP"/>
        </w:rPr>
        <w:t>74</w:t>
      </w:r>
      <w:r w:rsidR="0024462A">
        <w:rPr>
          <w:szCs w:val="24"/>
          <w:vertAlign w:val="superscript"/>
          <w:lang w:eastAsia="ja-JP"/>
        </w:rPr>
        <w:t>,</w:t>
      </w:r>
      <w:r w:rsidR="00D76532">
        <w:rPr>
          <w:szCs w:val="24"/>
          <w:vertAlign w:val="superscript"/>
          <w:lang w:eastAsia="ja-JP"/>
        </w:rPr>
        <w:t xml:space="preserve"> </w:t>
      </w:r>
      <w:r w:rsidR="00151F61">
        <w:rPr>
          <w:szCs w:val="24"/>
          <w:vertAlign w:val="superscript"/>
          <w:lang w:eastAsia="ja-JP"/>
        </w:rPr>
        <w:t>75</w:t>
      </w:r>
      <w:r w:rsidR="0024462A">
        <w:rPr>
          <w:szCs w:val="24"/>
          <w:vertAlign w:val="superscript"/>
          <w:lang w:eastAsia="ja-JP"/>
        </w:rPr>
        <w:t>,</w:t>
      </w:r>
      <w:r w:rsidR="00D76532">
        <w:rPr>
          <w:szCs w:val="24"/>
          <w:vertAlign w:val="superscript"/>
          <w:lang w:eastAsia="ja-JP"/>
        </w:rPr>
        <w:t xml:space="preserve"> </w:t>
      </w:r>
      <w:r w:rsidR="00151F61">
        <w:rPr>
          <w:szCs w:val="24"/>
          <w:vertAlign w:val="superscript"/>
          <w:lang w:eastAsia="ja-JP"/>
        </w:rPr>
        <w:t>76</w:t>
      </w:r>
      <w:r>
        <w:rPr>
          <w:szCs w:val="24"/>
          <w:lang w:eastAsia="ja-JP"/>
        </w:rPr>
        <w:t xml:space="preserve">. </w:t>
      </w:r>
      <w:r>
        <w:rPr>
          <w:rFonts w:cs="Arial"/>
          <w:szCs w:val="24"/>
        </w:rPr>
        <w:t>Prawns from WA waters have viruses derived from Indian Ocean (not eastern Australian) populations</w:t>
      </w:r>
      <w:r w:rsidR="00151F61">
        <w:rPr>
          <w:rFonts w:cs="Arial"/>
          <w:szCs w:val="24"/>
          <w:vertAlign w:val="superscript"/>
        </w:rPr>
        <w:t>75</w:t>
      </w:r>
      <w:r>
        <w:rPr>
          <w:rFonts w:cs="Arial"/>
          <w:szCs w:val="24"/>
        </w:rPr>
        <w:t>.</w:t>
      </w:r>
    </w:p>
    <w:p w14:paraId="10D5638C" w14:textId="1E2C7F8F" w:rsidR="00CC703E" w:rsidRDefault="00E37FDB">
      <w:pPr>
        <w:rPr>
          <w:szCs w:val="24"/>
          <w:lang w:eastAsia="ja-JP"/>
        </w:rPr>
      </w:pPr>
      <w:r>
        <w:rPr>
          <w:szCs w:val="24"/>
          <w:lang w:eastAsia="ja-JP"/>
        </w:rPr>
        <w:t xml:space="preserve">In the past, Australian aquaculture farms acquired endemic viruses associated with wild-catch fisheries. This was often directly associated with the use of wild broodstock </w:t>
      </w:r>
      <w:r>
        <w:rPr>
          <w:szCs w:val="24"/>
        </w:rPr>
        <w:t>for</w:t>
      </w:r>
      <w:r>
        <w:rPr>
          <w:szCs w:val="24"/>
          <w:lang w:eastAsia="ja-JP"/>
        </w:rPr>
        <w:t xml:space="preserve"> hatchery post-larvae production</w:t>
      </w:r>
      <w:r w:rsidR="00151F61">
        <w:rPr>
          <w:szCs w:val="24"/>
          <w:vertAlign w:val="superscript"/>
          <w:lang w:eastAsia="ja-JP"/>
        </w:rPr>
        <w:t>74</w:t>
      </w:r>
      <w:r>
        <w:rPr>
          <w:szCs w:val="24"/>
          <w:lang w:eastAsia="ja-JP"/>
        </w:rPr>
        <w:t>. Broodstock were harvested from NT and WA waters with little consideration of disease risks. The spread of gill-associated virus into the Joseph Bonaparte Gulf was attributed to escapes of diseased prawns from NT farms</w:t>
      </w:r>
      <w:r w:rsidR="00151F61">
        <w:rPr>
          <w:szCs w:val="24"/>
          <w:vertAlign w:val="superscript"/>
          <w:lang w:eastAsia="ja-JP"/>
        </w:rPr>
        <w:t>38</w:t>
      </w:r>
      <w:r>
        <w:rPr>
          <w:szCs w:val="24"/>
          <w:lang w:eastAsia="ja-JP"/>
        </w:rPr>
        <w:t>. From the early 2000s Western Australia and Queensland developed protocols to manage prawn broodstock translocations. In 2005 these governments worked with industry to conduct a translocation risk assessment</w:t>
      </w:r>
      <w:r w:rsidR="00151F61">
        <w:rPr>
          <w:szCs w:val="24"/>
          <w:vertAlign w:val="superscript"/>
          <w:lang w:eastAsia="ja-JP"/>
        </w:rPr>
        <w:t>77</w:t>
      </w:r>
      <w:r>
        <w:rPr>
          <w:szCs w:val="24"/>
          <w:lang w:eastAsia="ja-JP"/>
        </w:rPr>
        <w:t>.</w:t>
      </w:r>
    </w:p>
    <w:p w14:paraId="6558B3DF" w14:textId="7A9D8C43" w:rsidR="00CC703E" w:rsidRDefault="00E37FDB">
      <w:pPr>
        <w:rPr>
          <w:szCs w:val="24"/>
          <w:lang w:eastAsia="ja-JP"/>
        </w:rPr>
      </w:pPr>
      <w:r>
        <w:rPr>
          <w:szCs w:val="24"/>
          <w:lang w:eastAsia="ja-JP"/>
        </w:rPr>
        <w:t>Despite this history of broodstock-acquired diseases, and ongoing submissions to the Australian Government about the dangers of prawn imports, adoption of biosecurity management on Australian prawn farms has lagged behind world’s best practice</w:t>
      </w:r>
      <w:r w:rsidR="00151F61">
        <w:rPr>
          <w:szCs w:val="24"/>
          <w:vertAlign w:val="superscript"/>
          <w:lang w:eastAsia="ja-JP"/>
        </w:rPr>
        <w:t>78</w:t>
      </w:r>
      <w:r w:rsidR="0024462A">
        <w:rPr>
          <w:szCs w:val="24"/>
          <w:vertAlign w:val="superscript"/>
          <w:lang w:eastAsia="ja-JP"/>
        </w:rPr>
        <w:t>,</w:t>
      </w:r>
      <w:r w:rsidR="00D31AE4">
        <w:rPr>
          <w:szCs w:val="24"/>
          <w:vertAlign w:val="superscript"/>
          <w:lang w:eastAsia="ja-JP"/>
        </w:rPr>
        <w:t xml:space="preserve"> </w:t>
      </w:r>
      <w:r w:rsidR="00151F61">
        <w:rPr>
          <w:szCs w:val="24"/>
          <w:vertAlign w:val="superscript"/>
          <w:lang w:eastAsia="ja-JP"/>
        </w:rPr>
        <w:t>79</w:t>
      </w:r>
      <w:r>
        <w:rPr>
          <w:szCs w:val="24"/>
          <w:lang w:eastAsia="ja-JP"/>
        </w:rPr>
        <w:t>.</w:t>
      </w:r>
    </w:p>
    <w:p w14:paraId="16F94CD4" w14:textId="69950273" w:rsidR="00CC703E" w:rsidRDefault="00E37FDB">
      <w:pPr>
        <w:rPr>
          <w:szCs w:val="24"/>
          <w:lang w:eastAsia="ja-JP"/>
        </w:rPr>
      </w:pPr>
      <w:r>
        <w:rPr>
          <w:szCs w:val="24"/>
        </w:rPr>
        <w:t xml:space="preserve">A complete list of aquatic animal diseases and infectious agents reported in Australia since 1970 is in </w:t>
      </w:r>
      <w:r w:rsidR="00C23A2F" w:rsidRPr="00C23A2F">
        <w:rPr>
          <w:szCs w:val="24"/>
        </w:rPr>
        <w:t>Appendix D</w:t>
      </w:r>
      <w:r>
        <w:rPr>
          <w:szCs w:val="24"/>
        </w:rPr>
        <w:t>.</w:t>
      </w:r>
    </w:p>
    <w:p w14:paraId="75051A2F" w14:textId="4AE76088" w:rsidR="00CC703E" w:rsidRPr="00192538" w:rsidRDefault="00E37FDB" w:rsidP="00192538">
      <w:pPr>
        <w:pStyle w:val="Heading3"/>
        <w:rPr>
          <w:rStyle w:val="Heading3Char"/>
          <w:rFonts w:eastAsia="Calibri"/>
          <w:b/>
          <w:bCs/>
        </w:rPr>
      </w:pPr>
      <w:bookmarkStart w:id="100" w:name="_Toc490040479"/>
      <w:bookmarkStart w:id="101" w:name="_Toc500508390"/>
      <w:r w:rsidRPr="00192538">
        <w:rPr>
          <w:rStyle w:val="Heading3Char"/>
          <w:rFonts w:eastAsia="Calibri"/>
          <w:b/>
          <w:bCs/>
        </w:rPr>
        <w:t>‘The Darwin incident’</w:t>
      </w:r>
      <w:r w:rsidR="003770A8" w:rsidRPr="00192538">
        <w:rPr>
          <w:rStyle w:val="Heading3Char"/>
          <w:rFonts w:eastAsia="Calibri"/>
          <w:b/>
          <w:bCs/>
        </w:rPr>
        <w:t>—</w:t>
      </w:r>
      <w:r w:rsidRPr="00192538">
        <w:rPr>
          <w:rStyle w:val="Heading3Char"/>
          <w:rFonts w:eastAsia="Calibri"/>
          <w:b/>
          <w:bCs/>
        </w:rPr>
        <w:t>incursion of WSSV in 2000</w:t>
      </w:r>
      <w:bookmarkEnd w:id="100"/>
      <w:bookmarkEnd w:id="101"/>
    </w:p>
    <w:p w14:paraId="5FCA6D9D" w14:textId="236459E2" w:rsidR="00CC703E" w:rsidRDefault="00E37FDB">
      <w:pPr>
        <w:tabs>
          <w:tab w:val="clear" w:pos="567"/>
        </w:tabs>
        <w:spacing w:after="0"/>
        <w:rPr>
          <w:szCs w:val="24"/>
        </w:rPr>
      </w:pPr>
      <w:r>
        <w:rPr>
          <w:szCs w:val="24"/>
        </w:rPr>
        <w:t>On 15 November 2000 a box of frozen prawns labelled ‘Cocktail prawns’ and ‘Product of Indonesia’ was identified at the Darwin Aquaculture Centre, an NT Government research facility built in 1998 in Darwin Harbour. The box had been bought from a Darwin wholesaler on the understanding that the prawns were of Australian origin—the centre was following the policy of feeding only locally caught prawns to its fish stock to prevent disease incursion. As a result of this discovery, the centre conducted an immediate audit of the origin of earlier batches of prawns. One audited batch containing boxes labelled ‘River prawns’ had been purchased commercially. It was assumed that the batch contained ‘Product of Australia’ even though the boxes had no labelling to indicate their origin. When questioned, the wholesaler indicated that these ‘River prawns’ may have been imported from Indonesia via Perth or Adelaide.</w:t>
      </w:r>
    </w:p>
    <w:p w14:paraId="73DC19A4" w14:textId="268759D4" w:rsidR="00CC703E" w:rsidRDefault="00E37FDB">
      <w:pPr>
        <w:tabs>
          <w:tab w:val="clear" w:pos="567"/>
        </w:tabs>
        <w:spacing w:after="0"/>
        <w:rPr>
          <w:szCs w:val="24"/>
        </w:rPr>
      </w:pPr>
      <w:r>
        <w:rPr>
          <w:szCs w:val="24"/>
        </w:rPr>
        <w:t>Disease was not evident in the Darwin Aquaculture Centre’s crabs or prawns. However, as a precaution against transmission of exotic diseases all crustaceans at the centre were destroyed, feeding of prawns stopped and holding tanks and all associated equipment disinfected. Representative samples of crab tissue were collected for testing for WSSV.</w:t>
      </w:r>
    </w:p>
    <w:p w14:paraId="5DD0A136" w14:textId="293C1EFF" w:rsidR="00CC703E" w:rsidRDefault="00E37FDB">
      <w:pPr>
        <w:tabs>
          <w:tab w:val="clear" w:pos="567"/>
        </w:tabs>
        <w:spacing w:after="0"/>
        <w:rPr>
          <w:szCs w:val="24"/>
        </w:rPr>
      </w:pPr>
      <w:r>
        <w:rPr>
          <w:szCs w:val="24"/>
        </w:rPr>
        <w:t>On 20 November 2000 the Deputy Director of the NT Department of Primary Industry and Fisheries (NT DPIF) informed the Australian Chief Veterinary Officer (ACVO) of this incident and the actions taken. The ACVO then informed state and territory CVOs and Directors of Fisheries. A CCEAD Joint Technical Working Group on Imported Prawns subsequently oversaw the technical response.</w:t>
      </w:r>
    </w:p>
    <w:p w14:paraId="27C57F8B" w14:textId="027DEF70" w:rsidR="00CC703E" w:rsidRDefault="00E37FDB">
      <w:pPr>
        <w:tabs>
          <w:tab w:val="clear" w:pos="567"/>
        </w:tabs>
        <w:spacing w:after="0"/>
        <w:rPr>
          <w:szCs w:val="24"/>
        </w:rPr>
      </w:pPr>
      <w:r>
        <w:rPr>
          <w:szCs w:val="24"/>
        </w:rPr>
        <w:t xml:space="preserve">Following an audit of all NT institutions holding fish or shellfish, the NT DPIF identified that the Territory Wildlife Park had been feeding raw prawns to fish in its </w:t>
      </w:r>
      <w:r>
        <w:rPr>
          <w:szCs w:val="24"/>
        </w:rPr>
        <w:lastRenderedPageBreak/>
        <w:t>aquariums and to the raptors in its bird collection. The prawns were labelled ‘Product of Australia’, but there was concern that they may have been caught in Indonesian waters by Australian boats.</w:t>
      </w:r>
    </w:p>
    <w:p w14:paraId="5EBAB2B0" w14:textId="34574426" w:rsidR="00CC703E" w:rsidRDefault="00E37FDB">
      <w:pPr>
        <w:tabs>
          <w:tab w:val="clear" w:pos="567"/>
        </w:tabs>
        <w:spacing w:after="0"/>
        <w:rPr>
          <w:szCs w:val="24"/>
        </w:rPr>
      </w:pPr>
      <w:r>
        <w:rPr>
          <w:szCs w:val="24"/>
        </w:rPr>
        <w:t>The Darwin Aquaculture School of the Northern Territory University had been using uncooked prawns to feed its black tiger prawns (</w:t>
      </w:r>
      <w:r>
        <w:rPr>
          <w:i/>
          <w:szCs w:val="24"/>
        </w:rPr>
        <w:t>P. monodon</w:t>
      </w:r>
      <w:r>
        <w:rPr>
          <w:szCs w:val="24"/>
        </w:rPr>
        <w:t>). The cultured prawns were killed, samples were sent for testing and the facility was disinfected.</w:t>
      </w:r>
    </w:p>
    <w:p w14:paraId="3B65F6CF" w14:textId="77777777" w:rsidR="00CC703E" w:rsidRPr="00F014BC" w:rsidRDefault="00E37FDB">
      <w:pPr>
        <w:tabs>
          <w:tab w:val="clear" w:pos="567"/>
        </w:tabs>
        <w:spacing w:after="0"/>
        <w:rPr>
          <w:szCs w:val="24"/>
        </w:rPr>
      </w:pPr>
      <w:r>
        <w:rPr>
          <w:szCs w:val="24"/>
        </w:rPr>
        <w:t>By early December 2000 PCR results found WSSV in</w:t>
      </w:r>
      <w:r w:rsidRPr="00F014BC">
        <w:rPr>
          <w:szCs w:val="24"/>
        </w:rPr>
        <w:t>:</w:t>
      </w:r>
    </w:p>
    <w:p w14:paraId="51BA3A1E" w14:textId="3E071716" w:rsidR="00CC703E" w:rsidRPr="00F014BC" w:rsidRDefault="00E37FDB" w:rsidP="00F014BC">
      <w:pPr>
        <w:pStyle w:val="ListBullet"/>
      </w:pPr>
      <w:r w:rsidRPr="00E37FDB">
        <w:t>prawns imported from Indonesia</w:t>
      </w:r>
      <w:r w:rsidR="00D406CB">
        <w:t>,</w:t>
      </w:r>
    </w:p>
    <w:p w14:paraId="70545F59" w14:textId="310D8E65" w:rsidR="00CC703E" w:rsidRPr="00F014BC" w:rsidRDefault="00E37FDB" w:rsidP="00F014BC">
      <w:pPr>
        <w:pStyle w:val="ListBullet"/>
      </w:pPr>
      <w:r w:rsidRPr="00E37FDB">
        <w:t xml:space="preserve">Darwin Aquaculture School’s cultured </w:t>
      </w:r>
      <w:r w:rsidRPr="00F014BC">
        <w:rPr>
          <w:rStyle w:val="Emphasis"/>
        </w:rPr>
        <w:t>P. monodon</w:t>
      </w:r>
      <w:r w:rsidRPr="00E37FDB">
        <w:t>, which had been fed the</w:t>
      </w:r>
      <w:r w:rsidRPr="00F014BC">
        <w:t xml:space="preserve"> imported</w:t>
      </w:r>
      <w:r w:rsidRPr="00E37FDB">
        <w:t xml:space="preserve"> prawns</w:t>
      </w:r>
      <w:r w:rsidR="00D406CB">
        <w:t>,</w:t>
      </w:r>
    </w:p>
    <w:p w14:paraId="6FDAB9FD" w14:textId="701C85A4" w:rsidR="00CC703E" w:rsidRPr="00E37FDB" w:rsidRDefault="00E37FDB" w:rsidP="00F014BC">
      <w:pPr>
        <w:pStyle w:val="ListBullet"/>
      </w:pPr>
      <w:r w:rsidRPr="00F014BC">
        <w:t xml:space="preserve">Darwin Aquaculture Centre’s </w:t>
      </w:r>
      <w:r w:rsidRPr="00E37FDB">
        <w:t>cultured mud crabs, which had been fed th</w:t>
      </w:r>
      <w:r w:rsidRPr="00F014BC">
        <w:t>e imported</w:t>
      </w:r>
      <w:r w:rsidRPr="00E37FDB">
        <w:t xml:space="preserve"> prawns</w:t>
      </w:r>
      <w:r w:rsidR="00D406CB">
        <w:t>, and</w:t>
      </w:r>
    </w:p>
    <w:p w14:paraId="351E050A" w14:textId="4BBBAC0B" w:rsidR="00CC703E" w:rsidRPr="00900EC0" w:rsidRDefault="00E37FDB" w:rsidP="00F014BC">
      <w:pPr>
        <w:pStyle w:val="ListBullet"/>
      </w:pPr>
      <w:r w:rsidRPr="00E37FDB">
        <w:t>wild shore crabs and prawns adjacent to the discharge outlet of the Darwin Aquaculture Centre, Darwin Harbour.</w:t>
      </w:r>
    </w:p>
    <w:p w14:paraId="5BB41A49" w14:textId="79C4025A" w:rsidR="00CC703E" w:rsidRDefault="00E37FDB">
      <w:pPr>
        <w:tabs>
          <w:tab w:val="clear" w:pos="567"/>
        </w:tabs>
        <w:spacing w:after="0"/>
        <w:rPr>
          <w:szCs w:val="24"/>
        </w:rPr>
      </w:pPr>
      <w:r>
        <w:rPr>
          <w:szCs w:val="24"/>
        </w:rPr>
        <w:t>This led to several national initiatives:</w:t>
      </w:r>
    </w:p>
    <w:p w14:paraId="27615191" w14:textId="531650FB" w:rsidR="00CC703E" w:rsidRDefault="00E37FDB" w:rsidP="009433E4">
      <w:pPr>
        <w:pStyle w:val="ListNumber"/>
      </w:pPr>
      <w:r>
        <w:t>A 2001 national survey to determine the WSSV status of Australian wild and farmed crustaceans (including prawns and crabs)</w:t>
      </w:r>
      <w:r w:rsidR="00846148">
        <w:rPr>
          <w:vertAlign w:val="superscript"/>
        </w:rPr>
        <w:t>26</w:t>
      </w:r>
      <w:r w:rsidR="00C60E2F">
        <w:t xml:space="preserve"> </w:t>
      </w:r>
      <w:r>
        <w:t>showed that Australia was still free of WSSV, and infection in the shore crabs at Darwin no longer detectable. The WSSV PCR test developed by AAHL for the 2001 survey</w:t>
      </w:r>
      <w:r w:rsidR="00846148">
        <w:rPr>
          <w:vertAlign w:val="superscript"/>
        </w:rPr>
        <w:t>80</w:t>
      </w:r>
      <w:r w:rsidR="00C60E2F">
        <w:t xml:space="preserve"> </w:t>
      </w:r>
      <w:r>
        <w:t>would form the basis of the ‘AAHL test’ used subsequently by AAHL.</w:t>
      </w:r>
    </w:p>
    <w:p w14:paraId="5B82E27E" w14:textId="091815C3" w:rsidR="00CC703E" w:rsidRDefault="00E37FDB" w:rsidP="009433E4">
      <w:pPr>
        <w:pStyle w:val="ListNumber"/>
      </w:pPr>
      <w:r>
        <w:t>The Department of Agriculture and Water Resources implemented controls to avoid a recurrence of this incident and to protect Australia’s valuable aquaculture industries and the environment. Proposed controls included the department</w:t>
      </w:r>
      <w:r w:rsidR="00BA1A11">
        <w:t>:</w:t>
      </w:r>
    </w:p>
    <w:p w14:paraId="4737EC2A" w14:textId="68301B36" w:rsidR="00CC703E" w:rsidRDefault="00E37FDB" w:rsidP="009433E4">
      <w:pPr>
        <w:pStyle w:val="ListNumber2"/>
      </w:pPr>
      <w:r>
        <w:t>mandating interim conditions for the importation of uncooked prawns from all sources</w:t>
      </w:r>
      <w:r w:rsidR="00846148">
        <w:rPr>
          <w:vertAlign w:val="superscript"/>
        </w:rPr>
        <w:t>81</w:t>
      </w:r>
      <w:r>
        <w:t>, including testing of whole and unpeeled headless uncooked prawns from countries or zones unable to demonstrate freedom from WSSV; this required the prawns to enter a quarantine freezer in Australia, where samples would be tested. Shipments that were positive would either be destroyed or re-exported</w:t>
      </w:r>
      <w:r w:rsidR="00440BF2">
        <w:t>,</w:t>
      </w:r>
    </w:p>
    <w:p w14:paraId="476BF2C8" w14:textId="1890D55D" w:rsidR="00CC703E" w:rsidRDefault="00E37FDB" w:rsidP="009433E4">
      <w:pPr>
        <w:pStyle w:val="ListNumber2"/>
      </w:pPr>
      <w:r>
        <w:t>developing an education</w:t>
      </w:r>
      <w:r w:rsidR="00846148">
        <w:rPr>
          <w:vertAlign w:val="superscript"/>
        </w:rPr>
        <w:t>82</w:t>
      </w:r>
      <w:r w:rsidR="003A6D35">
        <w:t xml:space="preserve"> </w:t>
      </w:r>
      <w:r>
        <w:t>campaign with states and territories targeted at bait wholesalers, recreational fishers and restaurants</w:t>
      </w:r>
      <w:r w:rsidR="00440BF2">
        <w:t>,</w:t>
      </w:r>
    </w:p>
    <w:p w14:paraId="134DAF3C" w14:textId="4D23B8F9" w:rsidR="00CC703E" w:rsidRDefault="00E37FDB" w:rsidP="009433E4">
      <w:pPr>
        <w:pStyle w:val="ListNumber2"/>
      </w:pPr>
      <w:r>
        <w:t>developing codes of practice with industry for importers and domestic producers of prawns in the handling of waste</w:t>
      </w:r>
      <w:r w:rsidR="001C7475">
        <w:t>, and</w:t>
      </w:r>
    </w:p>
    <w:p w14:paraId="26485CB3" w14:textId="00BFC080" w:rsidR="00CC703E" w:rsidRDefault="00E37FDB" w:rsidP="009433E4">
      <w:pPr>
        <w:pStyle w:val="ListNumber2"/>
      </w:pPr>
      <w:r>
        <w:t>working with states and territories towards imposing post-entry controls to prevent diversion of imported prawns for bait</w:t>
      </w:r>
      <w:r w:rsidR="00846148">
        <w:rPr>
          <w:vertAlign w:val="superscript"/>
        </w:rPr>
        <w:t>83</w:t>
      </w:r>
      <w:r>
        <w:t>.</w:t>
      </w:r>
    </w:p>
    <w:p w14:paraId="411918F1" w14:textId="77777777" w:rsidR="00CC703E" w:rsidRDefault="00E37FDB" w:rsidP="00222BF7">
      <w:pPr>
        <w:rPr>
          <w:lang w:eastAsia="en-AU"/>
        </w:rPr>
      </w:pPr>
      <w:r>
        <w:t>Amendments to the interim import conditions continued until 2009, but over time most of the other initiatives lapsed.</w:t>
      </w:r>
    </w:p>
    <w:p w14:paraId="7ADEAE30" w14:textId="77777777" w:rsidR="00CC703E" w:rsidRDefault="00E37FDB" w:rsidP="00222BF7">
      <w:pPr>
        <w:pStyle w:val="Heading2"/>
      </w:pPr>
      <w:bookmarkStart w:id="102" w:name="_Toc490040469"/>
      <w:bookmarkStart w:id="103" w:name="_Toc500508391"/>
      <w:bookmarkStart w:id="104" w:name="_Toc490040477"/>
      <w:r>
        <w:lastRenderedPageBreak/>
        <w:t xml:space="preserve">Regulatory control of biosecurity risks </w:t>
      </w:r>
      <w:bookmarkEnd w:id="102"/>
      <w:r>
        <w:t>in Australia</w:t>
      </w:r>
      <w:bookmarkEnd w:id="103"/>
    </w:p>
    <w:p w14:paraId="4BCD6312" w14:textId="77777777" w:rsidR="00CC703E" w:rsidRPr="00222BF7" w:rsidRDefault="00E37FDB" w:rsidP="00222BF7">
      <w:pPr>
        <w:pStyle w:val="Heading3"/>
        <w:rPr>
          <w:rStyle w:val="Heading3Char"/>
          <w:rFonts w:eastAsia="Calibri"/>
          <w:b/>
          <w:bCs/>
        </w:rPr>
      </w:pPr>
      <w:bookmarkStart w:id="105" w:name="_Toc490040470"/>
      <w:bookmarkStart w:id="106" w:name="_Toc500508392"/>
      <w:r w:rsidRPr="00222BF7">
        <w:rPr>
          <w:rStyle w:val="Heading3Char"/>
          <w:rFonts w:eastAsia="Calibri"/>
          <w:b/>
          <w:bCs/>
        </w:rPr>
        <w:t>International obligations</w:t>
      </w:r>
      <w:bookmarkEnd w:id="105"/>
      <w:bookmarkEnd w:id="106"/>
    </w:p>
    <w:p w14:paraId="215E784A" w14:textId="08BCF528" w:rsidR="00CC703E" w:rsidRDefault="00E37FDB">
      <w:pPr>
        <w:tabs>
          <w:tab w:val="clear" w:pos="567"/>
        </w:tabs>
        <w:spacing w:after="0"/>
      </w:pPr>
      <w:r>
        <w:t>Biosecurity restrictions on imports must conform to Australia’s rights and obligations as a WTO member country. These rights and obligations derive principally from the WTO SPS agreement, proclaimed in 1995. Specific international guidelines on risk analysis developed under the OIE are also relevant. The WTO SPS agreement provides for the following:</w:t>
      </w:r>
    </w:p>
    <w:p w14:paraId="4039850D" w14:textId="77777777" w:rsidR="00CC703E" w:rsidRDefault="00E37FDB" w:rsidP="00B75462">
      <w:pPr>
        <w:pStyle w:val="ListBullet"/>
      </w:pPr>
      <w:r>
        <w:t>A WTO member determines the level of sanitary and phytosanitary protection it deems appropriate, known as the appropriate level of protection or ALOP.</w:t>
      </w:r>
    </w:p>
    <w:p w14:paraId="79B21936" w14:textId="77777777" w:rsidR="00CC703E" w:rsidRDefault="00E37FDB" w:rsidP="00B75462">
      <w:pPr>
        <w:pStyle w:val="ListBullet"/>
      </w:pPr>
      <w:r>
        <w:t>An importing member has the sovereign right to take measures to achieve the level of protection it deems appropriate to protect human, animal or plant life or health within its territory.</w:t>
      </w:r>
    </w:p>
    <w:p w14:paraId="407E367C" w14:textId="77777777" w:rsidR="00CC703E" w:rsidRDefault="00E37FDB" w:rsidP="00B75462">
      <w:pPr>
        <w:pStyle w:val="ListBullet"/>
      </w:pPr>
      <w:r>
        <w:t>An SPS measure must be based on scientific principles and must not be maintained without sufficient scientific evidence. An SPS measure is any measure applied to protect human, animal or plant life or health within the member’s territory from risks arising from the entry of pests and diseases or from contaminants in food.</w:t>
      </w:r>
    </w:p>
    <w:p w14:paraId="44FD1547" w14:textId="77777777" w:rsidR="00CC703E" w:rsidRDefault="00E37FDB" w:rsidP="00B75462">
      <w:pPr>
        <w:pStyle w:val="ListBullet"/>
      </w:pPr>
      <w:r>
        <w:t>An importing member must avoid arbitrary or unjustifiable distinctions in the levels of protection it considers to be appropriate in different situations, if such distinctions result in discrimination or a disguised restriction on international trade.</w:t>
      </w:r>
    </w:p>
    <w:p w14:paraId="3C2623A7" w14:textId="77777777" w:rsidR="00CC703E" w:rsidRDefault="00E37FDB" w:rsidP="00B75462">
      <w:pPr>
        <w:pStyle w:val="ListBullet"/>
      </w:pPr>
      <w:r>
        <w:t>An SPS measure must not be more trade restrictive than required to achieve an importing member’s ALOP, taking into account technical and economic feasibility.</w:t>
      </w:r>
    </w:p>
    <w:p w14:paraId="1E3295DC" w14:textId="77777777" w:rsidR="00CC703E" w:rsidRDefault="00E37FDB" w:rsidP="00B75462">
      <w:pPr>
        <w:pStyle w:val="ListBullet"/>
      </w:pPr>
      <w:r>
        <w:t>Where a relevant international standard, guideline or recommendation does not exist or where, in order to achieve an importing member’s ALOP, a measure needs to provide a higher level of protection than accorded by the relevant international standard, such a measure must be based on a risk assessment; the risk assessment must take into account available scientific evidence and relevant economic factors.</w:t>
      </w:r>
    </w:p>
    <w:p w14:paraId="15ABEABF" w14:textId="613BD17B" w:rsidR="00CC703E" w:rsidRDefault="00E37FDB" w:rsidP="00B75462">
      <w:pPr>
        <w:pStyle w:val="ListBullet"/>
      </w:pPr>
      <w:r>
        <w:t>Where the relevant scientific evidence is insufficient, an importing member may provisionally adopt SPS measures on the basis of available pertinent information. In such circumstances, members shall seek to obtain the additional information necessary for a more objective assessment of risk, and review the SPS measure</w:t>
      </w:r>
      <w:r w:rsidR="00F014BC">
        <w:t>s</w:t>
      </w:r>
      <w:r>
        <w:t xml:space="preserve"> accordingly within a reasonable period of time. An importing member must recognise the concepts of pest- or disease-free areas and areas of low pest or disease prevalence, and shall take into account, inter alia, the level of prevalence of specific pests or diseases, the existence of eradication or control programs and appropriate criteria and guidelines that may be developed by the relevant international organisations.</w:t>
      </w:r>
    </w:p>
    <w:p w14:paraId="7F596259" w14:textId="0FF89422" w:rsidR="00CC703E" w:rsidRDefault="001C7475" w:rsidP="00DE3D5E">
      <w:pPr>
        <w:spacing w:after="0"/>
      </w:pPr>
      <w:r>
        <w:lastRenderedPageBreak/>
        <w:t xml:space="preserve">A </w:t>
      </w:r>
      <w:r w:rsidR="00E37FDB">
        <w:t>dispute</w:t>
      </w:r>
      <w:r>
        <w:t xml:space="preserve"> about Canadian salmon imports to Australia from 1995 to 2000</w:t>
      </w:r>
      <w:r w:rsidR="00E37FDB">
        <w:t xml:space="preserve"> (</w:t>
      </w:r>
      <w:r w:rsidR="00E37FDB" w:rsidRPr="00E37FDB">
        <w:fldChar w:fldCharType="begin"/>
      </w:r>
      <w:r w:rsidR="00E37FDB">
        <w:instrText xml:space="preserve"> REF _Ref497220348 \h  \* MERGEFORMAT </w:instrText>
      </w:r>
      <w:r w:rsidR="00E37FDB" w:rsidRPr="00E37FDB">
        <w:fldChar w:fldCharType="separate"/>
      </w:r>
      <w:r w:rsidR="00121BC1">
        <w:t>Box 2</w:t>
      </w:r>
      <w:r w:rsidR="00E37FDB" w:rsidRPr="00E37FDB">
        <w:fldChar w:fldCharType="end"/>
      </w:r>
      <w:r w:rsidR="00E37FDB">
        <w:t>) had significant implications for the way Australia was to conduct import risk analyses. It showed that the WTO SPS agreement, backed by the WTO dispute settlement procedure, can exert very substantial discipline over design and implementation of quarantine restrictions.</w:t>
      </w:r>
    </w:p>
    <w:p w14:paraId="231EDCAE" w14:textId="77777777" w:rsidR="00CC703E" w:rsidRDefault="00E37FDB" w:rsidP="00F014BC">
      <w:pPr>
        <w:pStyle w:val="Caption"/>
        <w:pageBreakBefore/>
      </w:pPr>
      <w:bookmarkStart w:id="107" w:name="_Ref497220348"/>
      <w:r>
        <w:lastRenderedPageBreak/>
        <w:t xml:space="preserve">Box </w:t>
      </w:r>
      <w:r w:rsidR="00F329C0">
        <w:fldChar w:fldCharType="begin"/>
      </w:r>
      <w:r w:rsidR="00F329C0">
        <w:instrText xml:space="preserve"> SEQ Box \* ARABIC </w:instrText>
      </w:r>
      <w:r w:rsidR="00F329C0">
        <w:fldChar w:fldCharType="separate"/>
      </w:r>
      <w:r w:rsidR="00121BC1">
        <w:rPr>
          <w:noProof/>
        </w:rPr>
        <w:t>2</w:t>
      </w:r>
      <w:r w:rsidR="00F329C0">
        <w:rPr>
          <w:noProof/>
        </w:rPr>
        <w:fldChar w:fldCharType="end"/>
      </w:r>
      <w:bookmarkEnd w:id="107"/>
      <w:r>
        <w:t xml:space="preserve"> Case study on SPS application—the Canadian salmon dispute</w:t>
      </w:r>
    </w:p>
    <w:tbl>
      <w:tblPr>
        <w:tblStyle w:val="TableGrid"/>
        <w:tblW w:w="0" w:type="auto"/>
        <w:tblLook w:val="04A0" w:firstRow="1" w:lastRow="0" w:firstColumn="1" w:lastColumn="0" w:noHBand="0" w:noVBand="1"/>
      </w:tblPr>
      <w:tblGrid>
        <w:gridCol w:w="9402"/>
      </w:tblGrid>
      <w:tr w:rsidR="00CC703E" w14:paraId="790AC17D" w14:textId="77777777">
        <w:tc>
          <w:tcPr>
            <w:tcW w:w="9402" w:type="dxa"/>
          </w:tcPr>
          <w:p w14:paraId="7204CBDC" w14:textId="77777777" w:rsidR="00CC703E" w:rsidRDefault="00E37FDB">
            <w:pPr>
              <w:pStyle w:val="Tabletext"/>
              <w:rPr>
                <w:sz w:val="22"/>
              </w:rPr>
            </w:pPr>
            <w:bookmarkStart w:id="108" w:name="_Toc490040471"/>
            <w:r>
              <w:rPr>
                <w:sz w:val="22"/>
              </w:rPr>
              <w:t>Australia’s prawn import risk analysis process began in 1996 while a dispute with Canada over importing salmon was still being resolved.</w:t>
            </w:r>
          </w:p>
          <w:p w14:paraId="3D0DB028" w14:textId="76AA8D63" w:rsidR="00CC703E" w:rsidRDefault="00E37FDB">
            <w:pPr>
              <w:pStyle w:val="Tabletext"/>
              <w:rPr>
                <w:sz w:val="22"/>
              </w:rPr>
            </w:pPr>
            <w:r>
              <w:rPr>
                <w:sz w:val="22"/>
              </w:rPr>
              <w:t>October 1995—under WTO dispute provisions, Canada requested consultations with Australia over the prohibition of imports of salmon from Canada, alleging this was inconsistent with the WTO SPS agreement. Consultations were not successful.</w:t>
            </w:r>
          </w:p>
          <w:p w14:paraId="512BC479" w14:textId="77777777" w:rsidR="00CC703E" w:rsidRDefault="00E37FDB">
            <w:pPr>
              <w:pStyle w:val="Tabletext"/>
              <w:rPr>
                <w:sz w:val="22"/>
              </w:rPr>
            </w:pPr>
            <w:r>
              <w:rPr>
                <w:sz w:val="22"/>
              </w:rPr>
              <w:t>March 1997—Canada requested the establishment of a disputes panel.</w:t>
            </w:r>
          </w:p>
          <w:p w14:paraId="171D3CE9" w14:textId="2D368F2C" w:rsidR="00CC703E" w:rsidRDefault="00E37FDB">
            <w:pPr>
              <w:pStyle w:val="Tabletext"/>
              <w:rPr>
                <w:sz w:val="22"/>
              </w:rPr>
            </w:pPr>
            <w:r>
              <w:rPr>
                <w:sz w:val="22"/>
              </w:rPr>
              <w:t>June 1998—the panel report was circulated to members. The panel found against Australia, who appealed.</w:t>
            </w:r>
          </w:p>
          <w:p w14:paraId="57B68026" w14:textId="77777777" w:rsidR="00CC703E" w:rsidRDefault="00E37FDB">
            <w:pPr>
              <w:pStyle w:val="Tabletext"/>
              <w:rPr>
                <w:sz w:val="22"/>
              </w:rPr>
            </w:pPr>
            <w:r>
              <w:rPr>
                <w:sz w:val="22"/>
              </w:rPr>
              <w:t>October 1998—the Appellate Body report was circulated to members. As a result, Australia carried out new import risk assessments on non-viable salmonids and salmonid products, non-viable marine finfish, and live ornamental fish imports.</w:t>
            </w:r>
          </w:p>
          <w:p w14:paraId="0F5F12EA" w14:textId="77777777" w:rsidR="00CC703E" w:rsidRDefault="00E37FDB">
            <w:pPr>
              <w:pStyle w:val="Tabletext"/>
              <w:rPr>
                <w:sz w:val="22"/>
              </w:rPr>
            </w:pPr>
            <w:r>
              <w:rPr>
                <w:sz w:val="22"/>
              </w:rPr>
              <w:t>July 1999—Australia announced proposed new measures on salmonids/salmonid products. However, some aspects were again contested by Canada through further dispute settlement panel proceedings.</w:t>
            </w:r>
          </w:p>
          <w:p w14:paraId="4D655E11" w14:textId="77777777" w:rsidR="00CC703E" w:rsidRDefault="00E37FDB">
            <w:pPr>
              <w:pStyle w:val="Tabletext"/>
              <w:rPr>
                <w:sz w:val="22"/>
              </w:rPr>
            </w:pPr>
            <w:r>
              <w:rPr>
                <w:sz w:val="22"/>
              </w:rPr>
              <w:t>February 2000—the panel found that Australia’s requirement that imported fresh chilled or frozen salmon (other than from New Zealand) be imported in consumer-ready form was not supported by the risk assessment and was more trade restrictive than necessary to meet Australia’s ALOP.</w:t>
            </w:r>
          </w:p>
          <w:p w14:paraId="44D6A1D2" w14:textId="5748964A" w:rsidR="00CC703E" w:rsidRDefault="00E37FDB" w:rsidP="006D491D">
            <w:pPr>
              <w:pStyle w:val="Tabletext"/>
              <w:rPr>
                <w:sz w:val="22"/>
              </w:rPr>
            </w:pPr>
            <w:r>
              <w:rPr>
                <w:sz w:val="22"/>
              </w:rPr>
              <w:t>May 2000—the case was finally resolved after subsequent negotiation between the parties</w:t>
            </w:r>
            <w:r w:rsidR="00F90188">
              <w:rPr>
                <w:sz w:val="22"/>
              </w:rPr>
              <w:t xml:space="preserve"> </w:t>
            </w:r>
            <w:r w:rsidR="00F90188" w:rsidRPr="00F90188">
              <w:rPr>
                <w:sz w:val="22"/>
              </w:rPr>
              <w:t>that saw Canadian salmon permitted into Australia under specified conditions, but not into Tasmania</w:t>
            </w:r>
            <w:r w:rsidR="00846148">
              <w:rPr>
                <w:sz w:val="22"/>
                <w:vertAlign w:val="superscript"/>
              </w:rPr>
              <w:t>84</w:t>
            </w:r>
            <w:r>
              <w:rPr>
                <w:sz w:val="22"/>
              </w:rPr>
              <w:t>.</w:t>
            </w:r>
          </w:p>
        </w:tc>
      </w:tr>
    </w:tbl>
    <w:p w14:paraId="22CC42AF" w14:textId="14729EC2" w:rsidR="00CC703E" w:rsidRPr="00D83D47" w:rsidRDefault="00E37FDB" w:rsidP="00AE4DAC">
      <w:pPr>
        <w:pStyle w:val="Heading4"/>
      </w:pPr>
      <w:r>
        <w:t>Australia’s appropriate level of protection</w:t>
      </w:r>
    </w:p>
    <w:p w14:paraId="11270A58" w14:textId="78843E50" w:rsidR="00CC703E" w:rsidRDefault="00E37FDB">
      <w:pPr>
        <w:tabs>
          <w:tab w:val="clear" w:pos="567"/>
        </w:tabs>
        <w:spacing w:after="0"/>
      </w:pPr>
      <w:r>
        <w:t>The WTO SPS agreement defines the concept of an ALOP</w:t>
      </w:r>
      <w:r w:rsidR="00846148">
        <w:rPr>
          <w:vertAlign w:val="superscript"/>
        </w:rPr>
        <w:t>85</w:t>
      </w:r>
      <w:r w:rsidR="006D491D">
        <w:rPr>
          <w:vertAlign w:val="superscript"/>
        </w:rPr>
        <w:t xml:space="preserve"> (p</w:t>
      </w:r>
      <w:r w:rsidR="00846148">
        <w:rPr>
          <w:vertAlign w:val="superscript"/>
        </w:rPr>
        <w:t>p</w:t>
      </w:r>
      <w:r w:rsidR="006D491D">
        <w:rPr>
          <w:vertAlign w:val="superscript"/>
        </w:rPr>
        <w:t xml:space="preserve">. </w:t>
      </w:r>
      <w:r w:rsidR="00D406CB">
        <w:rPr>
          <w:vertAlign w:val="superscript"/>
        </w:rPr>
        <w:t>86</w:t>
      </w:r>
      <w:r w:rsidR="006D491D" w:rsidRPr="006D491D">
        <w:rPr>
          <w:rFonts w:ascii="Calibri" w:hAnsi="Calibri"/>
          <w:vertAlign w:val="superscript"/>
        </w:rPr>
        <w:t>–</w:t>
      </w:r>
      <w:r w:rsidR="00D406CB">
        <w:rPr>
          <w:rFonts w:ascii="Calibri" w:hAnsi="Calibri"/>
          <w:vertAlign w:val="superscript"/>
        </w:rPr>
        <w:t>87</w:t>
      </w:r>
      <w:r w:rsidR="006D491D">
        <w:rPr>
          <w:rFonts w:ascii="Calibri" w:hAnsi="Calibri"/>
          <w:vertAlign w:val="superscript"/>
        </w:rPr>
        <w:t>)</w:t>
      </w:r>
      <w:r>
        <w:t>. Australia’s ALOP is expressed qualitatively as being ‘a high level of sanitary and phytosanitary protection, aimed at reducing risk to a very low level but not to zero’. Successive Australian governments have adopted this conservative approach to managing biosecurity risks, reflecting community expectations about the importance of maintaining Australia’s relative freedom from exotic pests and diseases.</w:t>
      </w:r>
    </w:p>
    <w:p w14:paraId="21C4927C" w14:textId="77777777" w:rsidR="00CC703E" w:rsidRDefault="00E37FDB">
      <w:pPr>
        <w:tabs>
          <w:tab w:val="clear" w:pos="567"/>
        </w:tabs>
        <w:spacing w:after="0"/>
      </w:pPr>
      <w:r>
        <w:t>Under this approach, commodities may not be imported unless biosecurity risks are reduced to a level consistent with Australia’s ALOP. The Australian Government uses risk analyses to consider the level of biosecurity risk associated with importation of animals and animal material, consistent with SPS obligations and noting relevant OIE animal health standards.</w:t>
      </w:r>
    </w:p>
    <w:p w14:paraId="0D346196" w14:textId="77777777" w:rsidR="00CC703E" w:rsidRDefault="00E37FDB">
      <w:pPr>
        <w:tabs>
          <w:tab w:val="clear" w:pos="567"/>
        </w:tabs>
        <w:spacing w:after="0"/>
      </w:pPr>
      <w:r>
        <w:t>If the Director of Biosecurity finds that the risks associated with importing a commodity exceeds the level of risk acceptable to Australia, appropriate risk management measures are proposed to reduce them to that level. If biosecurity risks cannot be reduced to an acceptable level, those imports are not permitted.</w:t>
      </w:r>
    </w:p>
    <w:p w14:paraId="2D90765C" w14:textId="77777777" w:rsidR="00CC703E" w:rsidRDefault="00E37FDB">
      <w:pPr>
        <w:tabs>
          <w:tab w:val="clear" w:pos="567"/>
        </w:tabs>
        <w:spacing w:after="0"/>
      </w:pPr>
      <w:r>
        <w:t>Australia exports approximately two‐thirds of its agricultural production. Compliance with SPS rules and obligations allows Australia to expect similar compliance from its trading partners. This provides Australian exporters with significant benefits in accessing overseas markets.</w:t>
      </w:r>
    </w:p>
    <w:p w14:paraId="1A196A1C" w14:textId="77777777" w:rsidR="00CC703E" w:rsidRPr="00B75462" w:rsidRDefault="00E37FDB" w:rsidP="00B75462">
      <w:pPr>
        <w:pStyle w:val="Heading3"/>
        <w:rPr>
          <w:rStyle w:val="Heading3Char"/>
          <w:rFonts w:eastAsia="Calibri"/>
          <w:b/>
          <w:bCs/>
        </w:rPr>
      </w:pPr>
      <w:bookmarkStart w:id="109" w:name="_Toc500508393"/>
      <w:r w:rsidRPr="00B75462">
        <w:rPr>
          <w:rStyle w:val="Heading3Char"/>
          <w:rFonts w:eastAsia="Calibri"/>
          <w:b/>
          <w:bCs/>
        </w:rPr>
        <w:t>National regulatory framework</w:t>
      </w:r>
      <w:bookmarkEnd w:id="109"/>
    </w:p>
    <w:p w14:paraId="5C0880F9" w14:textId="7C04E77C" w:rsidR="00CC703E" w:rsidRDefault="00E37FDB" w:rsidP="00B75462">
      <w:r>
        <w:t xml:space="preserve">Australia manages the biosecurity risks associated with trade through the Department of Agriculture and Water Resources. As the lead regulatory authority, the department undertakes risk assessments and imposes various pre-border and border </w:t>
      </w:r>
      <w:r>
        <w:lastRenderedPageBreak/>
        <w:t xml:space="preserve">management measures to minimise the entry of regulated aquatic diseases into Australia through imported prawns and prawn products. Australia’s territorial sea extends from the coast out to 12 nautical miles. States and territories are responsible for biosecurity risk management and aquatic disease control within their boundaries, including 3 nautical miles out to sea. The Australian Government has jurisdiction in the </w:t>
      </w:r>
      <w:r w:rsidR="00292BC8" w:rsidRPr="00242EE8">
        <w:t>Australian Fishing Zone</w:t>
      </w:r>
      <w:r>
        <w:t xml:space="preserve">, from 3 to 200 nautical miles from the shore. However, these arrangements are frequently varied through instruments known as </w:t>
      </w:r>
      <w:r w:rsidR="00292BC8" w:rsidRPr="00242EE8">
        <w:t>Offshore Constitutional Settlement</w:t>
      </w:r>
      <w:r>
        <w:t xml:space="preserve"> arrangements.</w:t>
      </w:r>
    </w:p>
    <w:p w14:paraId="4D48B144" w14:textId="7A876D22" w:rsidR="00CC703E" w:rsidRDefault="00E56055" w:rsidP="00AE4DAC">
      <w:pPr>
        <w:pStyle w:val="Heading4"/>
      </w:pPr>
      <w:r>
        <w:t>Change from</w:t>
      </w:r>
      <w:r w:rsidR="00E37FDB">
        <w:t xml:space="preserve"> the </w:t>
      </w:r>
      <w:r w:rsidR="00E37FDB" w:rsidRPr="0012200D">
        <w:rPr>
          <w:i/>
        </w:rPr>
        <w:t>Quarantine Act 1908</w:t>
      </w:r>
      <w:r w:rsidR="00E37FDB">
        <w:t xml:space="preserve"> </w:t>
      </w:r>
      <w:r>
        <w:t xml:space="preserve">to the </w:t>
      </w:r>
      <w:r w:rsidR="00E37FDB" w:rsidRPr="0012200D">
        <w:rPr>
          <w:i/>
        </w:rPr>
        <w:t>Biosecurity Act 2015</w:t>
      </w:r>
    </w:p>
    <w:p w14:paraId="46DE2442" w14:textId="0C983823" w:rsidR="00E77420" w:rsidRDefault="00E56055" w:rsidP="00E77420">
      <w:pPr>
        <w:tabs>
          <w:tab w:val="clear" w:pos="567"/>
        </w:tabs>
        <w:spacing w:after="0"/>
        <w:rPr>
          <w:bCs/>
        </w:rPr>
      </w:pPr>
      <w:r>
        <w:rPr>
          <w:bCs/>
        </w:rPr>
        <w:t xml:space="preserve">Biosecurity regulation was managed under the Commonwealth </w:t>
      </w:r>
      <w:r w:rsidRPr="001B5D47">
        <w:rPr>
          <w:bCs/>
          <w:i/>
        </w:rPr>
        <w:t>Quarantine Act 1908</w:t>
      </w:r>
      <w:r w:rsidRPr="001B5D47">
        <w:rPr>
          <w:bCs/>
        </w:rPr>
        <w:t xml:space="preserve"> </w:t>
      </w:r>
      <w:r>
        <w:rPr>
          <w:bCs/>
        </w:rPr>
        <w:t>until 16</w:t>
      </w:r>
      <w:r w:rsidR="00440BF2" w:rsidRPr="00440BF2">
        <w:rPr>
          <w:bCs/>
          <w:i/>
        </w:rPr>
        <w:t> </w:t>
      </w:r>
      <w:r>
        <w:rPr>
          <w:bCs/>
        </w:rPr>
        <w:t>June 2016, when</w:t>
      </w:r>
      <w:r w:rsidR="001B5D47" w:rsidRPr="001B5D47">
        <w:rPr>
          <w:bCs/>
        </w:rPr>
        <w:t xml:space="preserve"> the Commonwealth </w:t>
      </w:r>
      <w:r w:rsidR="001B5D47" w:rsidRPr="001B5D47">
        <w:rPr>
          <w:bCs/>
          <w:i/>
        </w:rPr>
        <w:t>Biosecurity Act 2015</w:t>
      </w:r>
      <w:r w:rsidR="001B5D47" w:rsidRPr="001B5D47">
        <w:rPr>
          <w:bCs/>
        </w:rPr>
        <w:t xml:space="preserve"> </w:t>
      </w:r>
      <w:r w:rsidR="00E77420">
        <w:rPr>
          <w:bCs/>
        </w:rPr>
        <w:t>commenced</w:t>
      </w:r>
      <w:r w:rsidR="001B5D47" w:rsidRPr="001B5D47">
        <w:rPr>
          <w:bCs/>
        </w:rPr>
        <w:t xml:space="preserve">. </w:t>
      </w:r>
      <w:r w:rsidR="00E77420" w:rsidRPr="00E77420">
        <w:rPr>
          <w:bCs/>
        </w:rPr>
        <w:t>The</w:t>
      </w:r>
      <w:r w:rsidR="00E77420" w:rsidRPr="00924B7C">
        <w:rPr>
          <w:bCs/>
          <w:i/>
        </w:rPr>
        <w:t xml:space="preserve"> Quarantine</w:t>
      </w:r>
      <w:r w:rsidR="00440BF2" w:rsidRPr="00440BF2">
        <w:rPr>
          <w:bCs/>
          <w:i/>
        </w:rPr>
        <w:t> </w:t>
      </w:r>
      <w:r w:rsidR="00E77420" w:rsidRPr="00924B7C">
        <w:rPr>
          <w:bCs/>
          <w:i/>
        </w:rPr>
        <w:t>Act</w:t>
      </w:r>
      <w:r w:rsidR="00440BF2" w:rsidRPr="00440BF2">
        <w:rPr>
          <w:bCs/>
          <w:i/>
        </w:rPr>
        <w:t> </w:t>
      </w:r>
      <w:r w:rsidR="00E77420" w:rsidRPr="00924B7C">
        <w:rPr>
          <w:bCs/>
          <w:i/>
        </w:rPr>
        <w:t xml:space="preserve">1908 </w:t>
      </w:r>
      <w:r w:rsidR="00E77420">
        <w:rPr>
          <w:bCs/>
        </w:rPr>
        <w:t>had been designed to combat serious human diseases such as plague and yellow fever, rather than to cope with the complexity of biosecurity challenges posed by modern rapid movements of people and goods around the world, and the volumes entering Australia by sea and air.</w:t>
      </w:r>
    </w:p>
    <w:p w14:paraId="671B09D3" w14:textId="77777777" w:rsidR="00E77420" w:rsidRDefault="00E77420" w:rsidP="00E77420">
      <w:pPr>
        <w:tabs>
          <w:tab w:val="clear" w:pos="567"/>
        </w:tabs>
        <w:spacing w:after="0"/>
        <w:rPr>
          <w:szCs w:val="24"/>
        </w:rPr>
      </w:pPr>
      <w:r w:rsidRPr="00153556">
        <w:rPr>
          <w:szCs w:val="24"/>
        </w:rPr>
        <w:t xml:space="preserve">However, the </w:t>
      </w:r>
      <w:r w:rsidRPr="00153556">
        <w:rPr>
          <w:i/>
          <w:szCs w:val="24"/>
        </w:rPr>
        <w:t>Biosecurity Act 2015</w:t>
      </w:r>
      <w:r w:rsidRPr="00153556">
        <w:rPr>
          <w:szCs w:val="24"/>
        </w:rPr>
        <w:t xml:space="preserve"> aims to reflect a shared responsibility for biosecurity between government, business, industries, trading partners and the community. It provides a much better range of enforcement measures appropriate to achieve the regulatory outcome sought and reflect the level of biosecurity risk posed.</w:t>
      </w:r>
    </w:p>
    <w:p w14:paraId="4A555D66" w14:textId="3E997570" w:rsidR="00DC3A65" w:rsidRDefault="00E77420" w:rsidP="00E77420">
      <w:pPr>
        <w:tabs>
          <w:tab w:val="clear" w:pos="567"/>
        </w:tabs>
        <w:spacing w:after="0"/>
        <w:rPr>
          <w:bCs/>
        </w:rPr>
      </w:pPr>
      <w:r>
        <w:rPr>
          <w:bCs/>
        </w:rPr>
        <w:t>The</w:t>
      </w:r>
      <w:r w:rsidRPr="001B5D47">
        <w:rPr>
          <w:bCs/>
        </w:rPr>
        <w:t xml:space="preserve"> </w:t>
      </w:r>
      <w:r w:rsidR="00AE4490">
        <w:rPr>
          <w:bCs/>
        </w:rPr>
        <w:t xml:space="preserve">change of legislation </w:t>
      </w:r>
      <w:r w:rsidR="001B5D47" w:rsidRPr="001B5D47">
        <w:rPr>
          <w:bCs/>
        </w:rPr>
        <w:t xml:space="preserve">required a massive internal overhaul of policies, procedures, guidelines and training, as well as extensive stakeholder engagement. Implementation went smoothly and inspection and enforcement activities continued, but departmental resources were extremely stretched in the process. </w:t>
      </w:r>
    </w:p>
    <w:p w14:paraId="3D011218" w14:textId="7C07933B" w:rsidR="00CC703E" w:rsidRDefault="00E37FDB" w:rsidP="00AE4DAC">
      <w:pPr>
        <w:pStyle w:val="Heading4"/>
      </w:pPr>
      <w:r>
        <w:t>Intergovernmental Agreement on Biosecurity</w:t>
      </w:r>
      <w:r w:rsidR="00BA1A11">
        <w:rPr>
          <w:lang w:val="en-AU"/>
        </w:rPr>
        <w:t xml:space="preserve"> (IGAB)</w:t>
      </w:r>
    </w:p>
    <w:p w14:paraId="6D1FE7CD" w14:textId="50589178" w:rsidR="00CC703E" w:rsidRDefault="00E37FDB">
      <w:pPr>
        <w:spacing w:after="0"/>
      </w:pPr>
      <w:r>
        <w:rPr>
          <w:szCs w:val="24"/>
        </w:rPr>
        <w:t xml:space="preserve">The </w:t>
      </w:r>
      <w:r w:rsidR="00DB4AD1" w:rsidRPr="00DB4AD1">
        <w:rPr>
          <w:szCs w:val="24"/>
        </w:rPr>
        <w:t>IGAB</w:t>
      </w:r>
      <w:r>
        <w:rPr>
          <w:szCs w:val="24"/>
        </w:rPr>
        <w:t>, which came into effect in January 2012</w:t>
      </w:r>
      <w:r w:rsidR="004A5792" w:rsidRPr="0012200D">
        <w:rPr>
          <w:szCs w:val="24"/>
          <w:vertAlign w:val="superscript"/>
        </w:rPr>
        <w:t>86</w:t>
      </w:r>
      <w:r>
        <w:rPr>
          <w:szCs w:val="24"/>
        </w:rPr>
        <w:t xml:space="preserve">, is an agreement between the Australian Government and all state and territory governments except Tasmania. It </w:t>
      </w:r>
      <w:r>
        <w:t xml:space="preserve">has strengthened the working partnership between governments to deliver national biosecurity system improvements </w:t>
      </w:r>
      <w:r>
        <w:rPr>
          <w:szCs w:val="24"/>
        </w:rPr>
        <w:t xml:space="preserve">that minimise the impact of pests and diseases on Australia’s economy, environment and the community. </w:t>
      </w:r>
      <w:r>
        <w:t>A recent review</w:t>
      </w:r>
      <w:r w:rsidR="00F31BFC">
        <w:rPr>
          <w:vertAlign w:val="superscript"/>
        </w:rPr>
        <w:t>86</w:t>
      </w:r>
      <w:r w:rsidR="004841AC">
        <w:t xml:space="preserve"> </w:t>
      </w:r>
      <w:r>
        <w:t>has reaffirmed its value and re-prioritised areas for collaboration between governments.</w:t>
      </w:r>
    </w:p>
    <w:p w14:paraId="7C0C8F71" w14:textId="272D4DCD" w:rsidR="00CC703E" w:rsidRDefault="00E37FDB" w:rsidP="00AE4DAC">
      <w:r>
        <w:t xml:space="preserve">The first </w:t>
      </w:r>
      <w:r w:rsidRPr="00961B4F">
        <w:t>deliverable under the IGAB was the</w:t>
      </w:r>
      <w:r w:rsidR="00E77420">
        <w:t xml:space="preserve"> </w:t>
      </w:r>
      <w:hyperlink r:id="rId33" w:history="1">
        <w:r w:rsidR="00E77420" w:rsidRPr="00AD09D0">
          <w:rPr>
            <w:szCs w:val="24"/>
          </w:rPr>
          <w:t>National Environmental Biosecurity Response Agreement (NEBRA)</w:t>
        </w:r>
      </w:hyperlink>
      <w:r w:rsidR="00961B4F" w:rsidRPr="002D2F6A">
        <w:rPr>
          <w:rStyle w:val="Hyperlink"/>
          <w:color w:val="auto"/>
          <w:szCs w:val="24"/>
          <w:u w:val="none"/>
          <w:vertAlign w:val="superscript"/>
        </w:rPr>
        <w:t>87</w:t>
      </w:r>
      <w:r>
        <w:t xml:space="preserve">. The NEBRA sets out emergency response arrangements (including cost-sharing) for responding to biosecurity incidents that primarily affect the environment and/or social amenity and where the response is for the public good. It includes marine pest incursions and other incidents that are not covered under the </w:t>
      </w:r>
      <w:r w:rsidR="00DB4AD1" w:rsidRPr="00DB4AD1">
        <w:rPr>
          <w:szCs w:val="24"/>
        </w:rPr>
        <w:t xml:space="preserve">Emergency Animal Disease Response </w:t>
      </w:r>
      <w:r w:rsidR="00BA1A11">
        <w:rPr>
          <w:szCs w:val="24"/>
        </w:rPr>
        <w:t>A</w:t>
      </w:r>
      <w:r w:rsidR="00BA1A11" w:rsidRPr="00DB4AD1">
        <w:rPr>
          <w:szCs w:val="24"/>
        </w:rPr>
        <w:t>greement</w:t>
      </w:r>
      <w:r w:rsidR="00BA1A11">
        <w:t xml:space="preserve"> (EADRA)</w:t>
      </w:r>
      <w:r w:rsidR="004A5792" w:rsidRPr="0012200D">
        <w:rPr>
          <w:vertAlign w:val="superscript"/>
        </w:rPr>
        <w:t>88</w:t>
      </w:r>
      <w:r w:rsidR="00BA1A11">
        <w:t xml:space="preserve"> </w:t>
      </w:r>
      <w:r>
        <w:t xml:space="preserve">or </w:t>
      </w:r>
      <w:r w:rsidR="00DB4AD1" w:rsidRPr="00DB4AD1">
        <w:t>Emergency Plant Pest Response Deed (</w:t>
      </w:r>
      <w:r w:rsidR="00DB4AD1" w:rsidRPr="00DB4AD1">
        <w:rPr>
          <w:szCs w:val="24"/>
        </w:rPr>
        <w:t>EPPRD)</w:t>
      </w:r>
      <w:r>
        <w:t>. The Australian and all state and territory governments are signatories to the NEBRA.</w:t>
      </w:r>
    </w:p>
    <w:p w14:paraId="1112C457" w14:textId="77777777" w:rsidR="00A05A0E" w:rsidRDefault="00A05A0E">
      <w:pPr>
        <w:tabs>
          <w:tab w:val="clear" w:pos="567"/>
        </w:tabs>
        <w:spacing w:before="0" w:after="0"/>
        <w:rPr>
          <w:rStyle w:val="Heading3Char"/>
          <w:rFonts w:eastAsia="Calibri"/>
          <w:lang w:eastAsia="en-AU"/>
        </w:rPr>
      </w:pPr>
      <w:r>
        <w:rPr>
          <w:rStyle w:val="Heading3Char"/>
          <w:rFonts w:eastAsia="Calibri"/>
          <w:b w:val="0"/>
          <w:bCs w:val="0"/>
        </w:rPr>
        <w:br w:type="page"/>
      </w:r>
    </w:p>
    <w:p w14:paraId="08E7D884" w14:textId="3EEFD031" w:rsidR="00CC703E" w:rsidRPr="00AE4DAC" w:rsidRDefault="00E37FDB" w:rsidP="00AE4DAC">
      <w:pPr>
        <w:pStyle w:val="Heading3"/>
        <w:rPr>
          <w:rStyle w:val="Heading3Char"/>
          <w:rFonts w:eastAsia="Calibri"/>
          <w:b/>
          <w:bCs/>
        </w:rPr>
      </w:pPr>
      <w:bookmarkStart w:id="110" w:name="_Toc500508394"/>
      <w:r w:rsidRPr="00AE4DAC">
        <w:rPr>
          <w:rStyle w:val="Heading3Char"/>
          <w:rFonts w:eastAsia="Calibri"/>
          <w:b/>
          <w:bCs/>
        </w:rPr>
        <w:lastRenderedPageBreak/>
        <w:t xml:space="preserve">Sharing responsibility </w:t>
      </w:r>
      <w:bookmarkEnd w:id="108"/>
      <w:r w:rsidRPr="00AE4DAC">
        <w:rPr>
          <w:rStyle w:val="Heading3Char"/>
          <w:rFonts w:eastAsia="Calibri"/>
          <w:b/>
          <w:bCs/>
        </w:rPr>
        <w:t>between governments and industry</w:t>
      </w:r>
      <w:bookmarkEnd w:id="110"/>
    </w:p>
    <w:p w14:paraId="4169FA2C" w14:textId="77777777" w:rsidR="00CC703E" w:rsidRDefault="00E37FDB" w:rsidP="00AE4DAC">
      <w:pPr>
        <w:pStyle w:val="Heading4"/>
      </w:pPr>
      <w:bookmarkStart w:id="111" w:name="_Toc367702823"/>
      <w:bookmarkStart w:id="112" w:name="_Toc367706536"/>
      <w:bookmarkStart w:id="113" w:name="_Toc367707116"/>
      <w:bookmarkStart w:id="114" w:name="_Toc367707297"/>
      <w:bookmarkStart w:id="115" w:name="_Toc367708179"/>
      <w:r>
        <w:t>Animal Health Australia and the Emergency Animal Disease Response Agreement</w:t>
      </w:r>
    </w:p>
    <w:p w14:paraId="19AF48FF" w14:textId="67AF43A3" w:rsidR="00CC703E" w:rsidRDefault="00E37FDB">
      <w:pPr>
        <w:spacing w:after="0"/>
      </w:pPr>
      <w:r>
        <w:rPr>
          <w:szCs w:val="24"/>
        </w:rPr>
        <w:t xml:space="preserve">The concept of biosecurity being a shared responsibility has been incorporated into Australia’s biosecurity programs for many years. </w:t>
      </w:r>
      <w:r>
        <w:t xml:space="preserve">Governments alone cannot deliver biosecurity—agricultural industries must also be involved. This has been recognised since the 1990s with the formation of </w:t>
      </w:r>
      <w:r w:rsidR="002A74D4" w:rsidRPr="001C01AE">
        <w:t>Animal Health Australia (AHA)</w:t>
      </w:r>
      <w:r>
        <w:t xml:space="preserve"> and </w:t>
      </w:r>
      <w:r w:rsidR="002A74D4" w:rsidRPr="001C01AE">
        <w:t>Plant Health Australia (PHA)</w:t>
      </w:r>
      <w:r>
        <w:t xml:space="preserve">, and the inclusion of industry with governments in formal cost-sharing agreements for emergency animal and plant pest and disease incursion preparedness and response. All governments and relevant industries are involved in a range of national biosecurity cost-shared programs and in ongoing national surveillance, quarantine and compliance programs. These agreements have been invaluable in clarifying the roles of Australian, state and territory governments and industry in implementing their shared responsibility for post-border biosecurity outcomes. </w:t>
      </w:r>
      <w:r>
        <w:rPr>
          <w:szCs w:val="24"/>
        </w:rPr>
        <w:t xml:space="preserve">The agreements </w:t>
      </w:r>
      <w:r>
        <w:t>outline how industry and governments manage and fund responses to pest and disease outbreaks and detail roles and responsibilities for all participants and agreed cost-sharing formulas.</w:t>
      </w:r>
    </w:p>
    <w:p w14:paraId="74901E66" w14:textId="3585157B" w:rsidR="00CC703E" w:rsidRDefault="00E37FDB">
      <w:pPr>
        <w:spacing w:after="0"/>
        <w:rPr>
          <w:szCs w:val="24"/>
        </w:rPr>
      </w:pPr>
      <w:r>
        <w:rPr>
          <w:szCs w:val="24"/>
        </w:rPr>
        <w:t>The EADRA (ratified in March 2002</w:t>
      </w:r>
      <w:r w:rsidR="00595AEC">
        <w:rPr>
          <w:szCs w:val="24"/>
          <w:vertAlign w:val="superscript"/>
        </w:rPr>
        <w:t>88</w:t>
      </w:r>
      <w:r>
        <w:rPr>
          <w:szCs w:val="24"/>
        </w:rPr>
        <w:t>) is a formal, legally binding agreement (or deed) for managing and funding responses to emergency terrestrial animal disease incidents. The signatories are AHA, the Australian Government, all state and territory governments and 14 livestock industry bodies. The EPPRD binds PHA, governments and plant industry organisations in managing and funding emergency plant pest and disease responses.</w:t>
      </w:r>
    </w:p>
    <w:p w14:paraId="57EB1EFF" w14:textId="1E78B566" w:rsidR="00CC703E" w:rsidRDefault="00E37FDB" w:rsidP="00761F1A">
      <w:pPr>
        <w:pStyle w:val="Heading4"/>
      </w:pPr>
      <w:r>
        <w:t>Emergency Aquatic Animal Disease Response Agreement</w:t>
      </w:r>
    </w:p>
    <w:p w14:paraId="721104DC" w14:textId="204E6C8D" w:rsidR="00CC703E" w:rsidRDefault="00E37FDB">
      <w:pPr>
        <w:spacing w:after="0"/>
      </w:pPr>
      <w:r>
        <w:rPr>
          <w:szCs w:val="24"/>
        </w:rPr>
        <w:t>The existing agreements do not cover diseases affecting aquatic animals or the industries that rely on them. Extending the existing terrestrial EADRA has long been considered for aquatic animal industries but found inappropriate for several reasons, including the different operating environment and the wide range of stakeholders other than ‘farmers’ (the EADRA focuses on farmers). Marine aquaculture industries in Australia exist in a continuum, with wild fish stocks that are of interest to recreational fishers, indigenous communities, tourism operators and the general public. In some jurisdictions, the state legally owns the wild fish. Other jurisdictions have a ‘commons’ approach and most wild-capture fisheries industries do not ‘own’ the fish until it is legally caught. In such a diverse environment, it is difficult to resolve issues such as compensation and associated levies to recover monies spent on biosecurity. Nevertheless, aquatic industries and governments recognised that stronger cooperative arrangements were desirable to improve the management of aquatic emergency animal diseases.</w:t>
      </w:r>
    </w:p>
    <w:p w14:paraId="11F45F2A" w14:textId="4D95D059" w:rsidR="00CC703E" w:rsidRDefault="00E37FDB">
      <w:pPr>
        <w:spacing w:after="0"/>
        <w:rPr>
          <w:szCs w:val="24"/>
        </w:rPr>
      </w:pPr>
      <w:r>
        <w:rPr>
          <w:szCs w:val="24"/>
        </w:rPr>
        <w:t xml:space="preserve">In October 2014 AHA commenced managing a new four-year project (funded by the department) to develop a formal government–industry emergency </w:t>
      </w:r>
      <w:r w:rsidR="0060725B">
        <w:rPr>
          <w:szCs w:val="24"/>
        </w:rPr>
        <w:t xml:space="preserve">aquatic </w:t>
      </w:r>
      <w:r>
        <w:rPr>
          <w:szCs w:val="24"/>
        </w:rPr>
        <w:t xml:space="preserve">animal disease response agreement. An Aquatic Deed Working Group was formed, with representatives from governments and all major aquatic aquaculture and </w:t>
      </w:r>
      <w:r>
        <w:rPr>
          <w:szCs w:val="24"/>
        </w:rPr>
        <w:lastRenderedPageBreak/>
        <w:t>wild-capture industry sectors (tuna, abalone, salmon, prawns, edible oysters, pearl oysters, barramundi and aquarium industries).</w:t>
      </w:r>
    </w:p>
    <w:p w14:paraId="66F38FD1" w14:textId="0A7FD9D3" w:rsidR="00CC703E" w:rsidRDefault="00E37FDB">
      <w:pPr>
        <w:spacing w:after="0"/>
      </w:pPr>
      <w:r>
        <w:rPr>
          <w:szCs w:val="24"/>
        </w:rPr>
        <w:t>The IGAB review panel identified an emergency response deed for aquatic animals as one of the deliverables under ‘National priority pests and diseases’, a key priority reform area</w:t>
      </w:r>
      <w:r w:rsidR="00595AEC">
        <w:rPr>
          <w:szCs w:val="24"/>
          <w:vertAlign w:val="superscript"/>
        </w:rPr>
        <w:t>89</w:t>
      </w:r>
      <w:r w:rsidR="00931D58">
        <w:rPr>
          <w:szCs w:val="24"/>
        </w:rPr>
        <w:t xml:space="preserve"> </w:t>
      </w:r>
      <w:r>
        <w:rPr>
          <w:szCs w:val="24"/>
        </w:rPr>
        <w:t>and recommende</w:t>
      </w:r>
      <w:r>
        <w:t>d that it be finalised within 18 months of the IGAB review report</w:t>
      </w:r>
      <w:r w:rsidR="00595AEC">
        <w:rPr>
          <w:vertAlign w:val="superscript"/>
        </w:rPr>
        <w:t>89</w:t>
      </w:r>
      <w:r>
        <w:t>.</w:t>
      </w:r>
    </w:p>
    <w:p w14:paraId="28E142A8" w14:textId="77777777" w:rsidR="00CC703E" w:rsidRDefault="00E37FDB" w:rsidP="00761F1A">
      <w:pPr>
        <w:pStyle w:val="Heading4"/>
      </w:pPr>
      <w:r>
        <w:t>Industry biosecurity plans</w:t>
      </w:r>
    </w:p>
    <w:p w14:paraId="64C6F8ED" w14:textId="6D8CACB1" w:rsidR="00CC703E" w:rsidRDefault="00E37FDB">
      <w:pPr>
        <w:spacing w:after="0"/>
      </w:pPr>
      <w:r>
        <w:t xml:space="preserve">Industry biosecurity plans (IBPs) are industry-specific documents that identify and prioritise current and future biosecurity challenges for the industry and provide a framework for risk mitigation and preparedness activities. Each IBP describes how a specific industry operates in Australia and identifies exotic pests that could negatively affect that industry. It also guides the implementation of future biosecurity activity and post-response recovery to prevent or minimise the impact of an </w:t>
      </w:r>
      <w:r>
        <w:rPr>
          <w:szCs w:val="24"/>
        </w:rPr>
        <w:t>emergency animal disease</w:t>
      </w:r>
      <w:r>
        <w:t xml:space="preserve"> incident. Various risk mitigation activities are considered during development of an IBP:</w:t>
      </w:r>
    </w:p>
    <w:p w14:paraId="40488A64" w14:textId="3E01C9B2" w:rsidR="00CC703E" w:rsidRDefault="00E37FDB" w:rsidP="00AE4DAC">
      <w:pPr>
        <w:pStyle w:val="ListBullet"/>
      </w:pPr>
      <w:r>
        <w:t>biosecurity management—biosecurity officers implementing and coordinating biosecurity activities for the industry and biosecurity reference groups</w:t>
      </w:r>
      <w:r w:rsidR="00541E76">
        <w:t>,</w:t>
      </w:r>
    </w:p>
    <w:p w14:paraId="39F2068E" w14:textId="65A3905F" w:rsidR="00CC703E" w:rsidRDefault="00E37FDB" w:rsidP="00AE4DAC">
      <w:pPr>
        <w:pStyle w:val="ListBullet"/>
      </w:pPr>
      <w:r>
        <w:t>on-farm biosecurity practices—farm biosecurity manual development and inclusion of biosecurity in industry best management practice</w:t>
      </w:r>
      <w:r w:rsidR="00541E76">
        <w:t>,</w:t>
      </w:r>
    </w:p>
    <w:p w14:paraId="14F24277" w14:textId="4EE67D21" w:rsidR="00CC703E" w:rsidRDefault="00E37FDB" w:rsidP="00AE4DAC">
      <w:pPr>
        <w:pStyle w:val="ListBullet"/>
      </w:pPr>
      <w:r>
        <w:t>practices and/or quality assurance schemes—promotion of biosecurity signage, farm hygiene and surveillance, development of modules for testing on-farm biosecurity</w:t>
      </w:r>
      <w:r w:rsidR="00541E76">
        <w:t>,</w:t>
      </w:r>
    </w:p>
    <w:p w14:paraId="2CEC90A5" w14:textId="7B5B350C" w:rsidR="00CC703E" w:rsidRDefault="00E37FDB" w:rsidP="00AE4DAC">
      <w:pPr>
        <w:pStyle w:val="ListBullet"/>
      </w:pPr>
      <w:r>
        <w:t>surveillance—collection of surveillance data in a national database, increased general surveillance and implementation of surveillance for high-priority pests (for market access and/or early detection)</w:t>
      </w:r>
      <w:r w:rsidR="00541E76">
        <w:t>,</w:t>
      </w:r>
    </w:p>
    <w:p w14:paraId="0A75D360" w14:textId="750F1A4C" w:rsidR="00CC703E" w:rsidRDefault="00E37FDB" w:rsidP="00AE4DAC">
      <w:pPr>
        <w:pStyle w:val="ListBullet"/>
      </w:pPr>
      <w:r>
        <w:t>development of pest-specific documents for high-priority pests—contingency plans or business continuity plans, fact sheets and posters, pest risk reviews, diagnostic protocol</w:t>
      </w:r>
      <w:r w:rsidR="000A127D">
        <w:t>s</w:t>
      </w:r>
      <w:r w:rsidR="00541E76">
        <w:t>,</w:t>
      </w:r>
    </w:p>
    <w:p w14:paraId="653ABDA6" w14:textId="5F70C913" w:rsidR="00CC703E" w:rsidRDefault="00E37FDB" w:rsidP="00AE4DAC">
      <w:pPr>
        <w:pStyle w:val="ListBullet"/>
      </w:pPr>
      <w:r>
        <w:t>awareness activities—biosecurity awareness campaign, promotion of biosecurity practices to farmers and development of extension material</w:t>
      </w:r>
      <w:r w:rsidR="00541E76">
        <w:t>, and</w:t>
      </w:r>
    </w:p>
    <w:p w14:paraId="198A76DA" w14:textId="516CC9F3" w:rsidR="00CC703E" w:rsidRDefault="00E37FDB" w:rsidP="00AE4DAC">
      <w:pPr>
        <w:pStyle w:val="ListBullet"/>
      </w:pPr>
      <w:r>
        <w:t>training of industry personnel—in the application of the EADRA and aquatic deed and in on-farm training programs for best practice biosecurity.</w:t>
      </w:r>
    </w:p>
    <w:p w14:paraId="6FFE5219" w14:textId="77777777" w:rsidR="00CC703E" w:rsidRDefault="00E37FDB" w:rsidP="00AE4DAC">
      <w:pPr>
        <w:pStyle w:val="Heading4"/>
      </w:pPr>
      <w:r>
        <w:t>Aquaculture Farm Biosecurity Plan</w:t>
      </w:r>
    </w:p>
    <w:p w14:paraId="0AA07F2C" w14:textId="4F1EC89F" w:rsidR="00CC703E" w:rsidRDefault="00E37FDB">
      <w:pPr>
        <w:spacing w:after="0"/>
      </w:pPr>
      <w:r>
        <w:rPr>
          <w:lang w:val="en"/>
        </w:rPr>
        <w:t xml:space="preserve">In </w:t>
      </w:r>
      <w:r w:rsidRPr="00CD4416">
        <w:rPr>
          <w:lang w:val="en"/>
        </w:rPr>
        <w:t>2016 the Sub-Committee on Aquatic Animal Health released</w:t>
      </w:r>
      <w:r w:rsidRPr="00642C86">
        <w:rPr>
          <w:lang w:val="en"/>
        </w:rPr>
        <w:t xml:space="preserve"> </w:t>
      </w:r>
      <w:r w:rsidR="002A74D4" w:rsidRPr="002A74D4">
        <w:rPr>
          <w:i/>
        </w:rPr>
        <w:t>Aquaculture Farm Biosecurity Plan for prawn aquaculture in Australia: generic guidelines and template</w:t>
      </w:r>
      <w:r w:rsidR="00CD4416" w:rsidRPr="002D2F6A">
        <w:rPr>
          <w:rStyle w:val="Hyperlink"/>
          <w:color w:val="auto"/>
          <w:u w:val="none"/>
          <w:vertAlign w:val="superscript"/>
        </w:rPr>
        <w:t>90</w:t>
      </w:r>
      <w:r>
        <w:t xml:space="preserve"> to guide the development of biosecurity plans for application at the farm level. It is not targeted at a specific aquaculture sector but could be adapted for specific aquaculture sectors (for example, prawn farming).</w:t>
      </w:r>
    </w:p>
    <w:p w14:paraId="4A3B78A6" w14:textId="77777777" w:rsidR="00CC703E" w:rsidRPr="00AE4DAC" w:rsidRDefault="00E37FDB" w:rsidP="00AE4DAC">
      <w:pPr>
        <w:pStyle w:val="Heading3"/>
        <w:rPr>
          <w:rStyle w:val="Heading3Char"/>
          <w:rFonts w:eastAsia="Calibri"/>
          <w:b/>
          <w:bCs/>
        </w:rPr>
      </w:pPr>
      <w:bookmarkStart w:id="116" w:name="_Toc500508395"/>
      <w:r w:rsidRPr="00AE4DAC">
        <w:rPr>
          <w:rStyle w:val="Heading3Char"/>
          <w:rFonts w:eastAsia="Calibri"/>
          <w:b/>
          <w:bCs/>
        </w:rPr>
        <w:lastRenderedPageBreak/>
        <w:t>Governance of laboratory testing for international trade quality assurance</w:t>
      </w:r>
      <w:bookmarkEnd w:id="116"/>
    </w:p>
    <w:p w14:paraId="669064F3" w14:textId="37C85B82" w:rsidR="00CC703E" w:rsidRDefault="00E37FDB" w:rsidP="00AE4DAC">
      <w:pPr>
        <w:pStyle w:val="Heading4"/>
      </w:pPr>
      <w:r>
        <w:t>International OIE reference laboratories</w:t>
      </w:r>
    </w:p>
    <w:p w14:paraId="4C7DA6A7" w14:textId="5378E6CA" w:rsidR="00CC703E" w:rsidRDefault="00E37FDB">
      <w:pPr>
        <w:spacing w:after="0"/>
        <w:rPr>
          <w:szCs w:val="24"/>
        </w:rPr>
      </w:pPr>
      <w:r>
        <w:rPr>
          <w:szCs w:val="24"/>
        </w:rPr>
        <w:t>OIE reference laboratories are designated to pursue the scientific and technical problems relating to a named disease. The OIE also designates an expert (</w:t>
      </w:r>
      <w:r w:rsidRPr="000A127D">
        <w:rPr>
          <w:szCs w:val="24"/>
        </w:rPr>
        <w:t>a leading and active researcher</w:t>
      </w:r>
      <w:r>
        <w:rPr>
          <w:szCs w:val="24"/>
        </w:rPr>
        <w:t xml:space="preserve">) who is responsible to the OIE and its member countries. </w:t>
      </w:r>
      <w:r w:rsidRPr="000A127D">
        <w:rPr>
          <w:szCs w:val="24"/>
        </w:rPr>
        <w:t>The expert</w:t>
      </w:r>
      <w:r>
        <w:rPr>
          <w:szCs w:val="24"/>
        </w:rPr>
        <w:t xml:space="preserve"> helps the reference laboratory provide scientific and technical assistance and expert advice on topics linked to diagnosis and control of the named disease. Reference laboratories also provide scientific and technical training for personnel from OIE member countries and coordinate scientific and technical studies with other laboratories or organisations, including through the OIE Laboratory Twinning program.</w:t>
      </w:r>
    </w:p>
    <w:p w14:paraId="0B6F2F7C" w14:textId="77777777" w:rsidR="00CC703E" w:rsidRDefault="00E37FDB" w:rsidP="00AE4DAC">
      <w:pPr>
        <w:pStyle w:val="Heading4"/>
      </w:pPr>
      <w:r>
        <w:t>Australian national reference laboratories</w:t>
      </w:r>
    </w:p>
    <w:p w14:paraId="19F567E0" w14:textId="40FE0629" w:rsidR="00F035A0" w:rsidRDefault="00B1535C">
      <w:pPr>
        <w:spacing w:after="0"/>
        <w:rPr>
          <w:sz w:val="18"/>
          <w:szCs w:val="18"/>
          <w:lang w:eastAsia="ja-JP"/>
        </w:rPr>
      </w:pPr>
      <w:r w:rsidRPr="00B1535C">
        <w:rPr>
          <w:szCs w:val="24"/>
        </w:rPr>
        <w:t xml:space="preserve">Australian national animal health reference </w:t>
      </w:r>
      <w:r w:rsidRPr="00B1535C">
        <w:t>laboratories</w:t>
      </w:r>
      <w:r w:rsidR="00CD4416" w:rsidRPr="002D2F6A">
        <w:rPr>
          <w:rStyle w:val="Hyperlink"/>
          <w:color w:val="auto"/>
          <w:u w:val="none"/>
          <w:vertAlign w:val="superscript"/>
        </w:rPr>
        <w:t>91</w:t>
      </w:r>
      <w:r w:rsidR="00D83D47">
        <w:t xml:space="preserve"> </w:t>
      </w:r>
      <w:r w:rsidR="00D83D47" w:rsidRPr="00CD4416">
        <w:t>and designated experts</w:t>
      </w:r>
      <w:r w:rsidR="00E37FDB" w:rsidRPr="00CD4416">
        <w:rPr>
          <w:szCs w:val="24"/>
        </w:rPr>
        <w:t xml:space="preserve"> have</w:t>
      </w:r>
      <w:r w:rsidR="00E37FDB">
        <w:rPr>
          <w:szCs w:val="24"/>
        </w:rPr>
        <w:t xml:space="preserve"> a role in Australia that aligns with the OIE’s definitions of a reference laboratory. They are reviewed annually by the Australian Animal Health Committee (AHC). As with the OIE and NATA, AHC recognition of a reference laboratory depends on the expertise of named staff in that laboratory.</w:t>
      </w:r>
      <w:r w:rsidR="00F035A0">
        <w:rPr>
          <w:szCs w:val="24"/>
        </w:rPr>
        <w:t xml:space="preserve"> The section of QDAF’s BSL is an Australian national reference laboratory for WSSV</w:t>
      </w:r>
      <w:r w:rsidR="00062AD4">
        <w:rPr>
          <w:szCs w:val="24"/>
        </w:rPr>
        <w:t xml:space="preserve">, as is </w:t>
      </w:r>
      <w:r w:rsidR="00F035A0">
        <w:rPr>
          <w:lang w:eastAsia="en-AU"/>
        </w:rPr>
        <w:t xml:space="preserve">CSIRO’s Australian Animal Health Laboratory (AAHL), based in Geelong, Victoria, </w:t>
      </w:r>
      <w:r w:rsidR="00062AD4">
        <w:rPr>
          <w:lang w:eastAsia="en-AU"/>
        </w:rPr>
        <w:t xml:space="preserve">which </w:t>
      </w:r>
      <w:r w:rsidR="00F035A0">
        <w:rPr>
          <w:lang w:eastAsia="en-AU"/>
        </w:rPr>
        <w:t>is a high-security laboratory for emergency animal disease diagnosis and research. AAHL has its own aquatic research team, the AAHL Fish Diseases Laboratory.</w:t>
      </w:r>
    </w:p>
    <w:p w14:paraId="3C076B86" w14:textId="77777777" w:rsidR="00CC703E" w:rsidRDefault="00E37FDB" w:rsidP="00AE4DAC">
      <w:pPr>
        <w:pStyle w:val="Heading4"/>
      </w:pPr>
      <w:r>
        <w:t>ISO/IEC 17025 and NATA laboratory accreditation</w:t>
      </w:r>
    </w:p>
    <w:p w14:paraId="03B4C6C7" w14:textId="09CC5912" w:rsidR="00CC703E" w:rsidRPr="00932FC2" w:rsidRDefault="00E37FDB">
      <w:pPr>
        <w:spacing w:after="0"/>
      </w:pPr>
      <w:r>
        <w:rPr>
          <w:bCs/>
          <w:szCs w:val="24"/>
          <w:lang w:val="en"/>
        </w:rPr>
        <w:t xml:space="preserve">The International Organization for Standardization (ISO) and the International Electrotechnical Commission (IEC) jointly publish </w:t>
      </w:r>
      <w:r w:rsidRPr="000A127D">
        <w:rPr>
          <w:rStyle w:val="Emphasis"/>
        </w:rPr>
        <w:t>ISO/IEC 17025 General requirements for the competence of testing and calibration laboratories</w:t>
      </w:r>
      <w:r>
        <w:rPr>
          <w:szCs w:val="24"/>
          <w:lang w:val="en"/>
        </w:rPr>
        <w:t>. This standard is used by testing and calibration laboratories worldwide. Accreditation to the standard is mandatory for laboratories seeking to be deemed technically competent. In many cases, suppliers and regulatory authorities will not accept test or calibration results from a laboratory that is not accredited. Accreditation is provided through</w:t>
      </w:r>
      <w:r w:rsidR="000A127D">
        <w:rPr>
          <w:szCs w:val="24"/>
          <w:lang w:val="en"/>
        </w:rPr>
        <w:t xml:space="preserve"> </w:t>
      </w:r>
      <w:r>
        <w:rPr>
          <w:szCs w:val="24"/>
          <w:lang w:val="en"/>
        </w:rPr>
        <w:t>organisations affiliated to the International Laboratory Accreditation Corporation (ILAC). ILAC’s vision is ‘tested once, accepted everywhere’, which is critical in facilitating exports. ILAC established a global mutual recognition arrangement in 2000 to assist international trade. Under this arrangement, accreditation bodies must be evaluated every four years to ensure they comply with international standards.</w:t>
      </w:r>
    </w:p>
    <w:p w14:paraId="493A84A1" w14:textId="3C85EE77" w:rsidR="00CC703E" w:rsidRDefault="00E37FDB">
      <w:pPr>
        <w:spacing w:after="0"/>
        <w:rPr>
          <w:szCs w:val="24"/>
          <w:lang w:val="en"/>
        </w:rPr>
      </w:pPr>
      <w:r>
        <w:rPr>
          <w:szCs w:val="24"/>
          <w:lang w:val="en"/>
        </w:rPr>
        <w:t>NATA is a private not-for-profit Australian company whose members are testing laboratories. NATA’s primary role is to facilitate provision of a reliable calibration, measurement, testing and inspection infrastructure to government, industry and the wider community. It provides independent assurance of technical competence for laboratory testing and the means for laboratories to meet the auditing requirements of ISO/IEC 17025.</w:t>
      </w:r>
    </w:p>
    <w:p w14:paraId="64FEE123" w14:textId="791A296A" w:rsidR="00CC703E" w:rsidRDefault="00E37FDB">
      <w:pPr>
        <w:spacing w:after="0"/>
        <w:rPr>
          <w:szCs w:val="24"/>
          <w:lang w:val="en"/>
        </w:rPr>
      </w:pPr>
      <w:r>
        <w:rPr>
          <w:szCs w:val="24"/>
          <w:lang w:val="en"/>
        </w:rPr>
        <w:lastRenderedPageBreak/>
        <w:t xml:space="preserve">The Australian Government and NATA are signatories to a memorandum of understanding that </w:t>
      </w:r>
      <w:r>
        <w:t>recognises NATA’s role as the national authority for accreditation of laboratories</w:t>
      </w:r>
      <w:r>
        <w:rPr>
          <w:szCs w:val="24"/>
          <w:lang w:val="en"/>
        </w:rPr>
        <w:t xml:space="preserve"> and covers a number of government policy and regulatory interests. Under the memorandum, the department maintains a partnership with NATA for the quality assurance of national veterinary testing.</w:t>
      </w:r>
    </w:p>
    <w:p w14:paraId="210FF4F3" w14:textId="0A0F5DEE" w:rsidR="00CC703E" w:rsidRDefault="00E37FDB">
      <w:pPr>
        <w:spacing w:after="0"/>
        <w:rPr>
          <w:rFonts w:ascii="Cambria" w:hAnsi="Cambria"/>
          <w:b/>
          <w:bCs/>
          <w:szCs w:val="24"/>
        </w:rPr>
      </w:pPr>
      <w:r>
        <w:t xml:space="preserve">NATA, in a published ‘scope of accreditation’ for each laboratory, </w:t>
      </w:r>
      <w:r w:rsidR="0094680E">
        <w:t xml:space="preserve">states </w:t>
      </w:r>
      <w:r>
        <w:t>that its accreditation is ‘the procedure by which NATA gives formal recognition that a facility is competent to carry out specific tasks’. NATA lists the specific activities that an accredited facility has been peer assessed for and confirms that the facility has demonstrated its competence and capability. To gain accreditation, staff (not their qualifications) must be deemed competent to perform specific activities. NATA emphasises that ‘The best management systems will never compensate for an inadequate level of practical competence in an organisation and this competence must be demonstrated collectively through peer assessment as part of the accreditation process’.</w:t>
      </w:r>
    </w:p>
    <w:p w14:paraId="7C34E411" w14:textId="77777777" w:rsidR="00CC703E" w:rsidRDefault="00E37FDB" w:rsidP="00AE4DAC">
      <w:pPr>
        <w:pStyle w:val="Heading4"/>
      </w:pPr>
      <w:r>
        <w:t>National animal health laboratory coordination</w:t>
      </w:r>
    </w:p>
    <w:p w14:paraId="141E5F8F" w14:textId="193A2992" w:rsidR="00CC703E" w:rsidRDefault="00E37FDB">
      <w:pPr>
        <w:spacing w:after="0"/>
        <w:ind w:right="57"/>
        <w:rPr>
          <w:rFonts w:cs="Calibri"/>
          <w:szCs w:val="24"/>
        </w:rPr>
      </w:pPr>
      <w:r>
        <w:rPr>
          <w:rFonts w:cs="Calibri"/>
          <w:szCs w:val="24"/>
        </w:rPr>
        <w:t>Valid laboratory results are essential for diagnosis, surveillance and trade and can only be achieved by the use of quality-assured management practices. Australia’s Animal Health Committee (AHC) coordinates arrangements to maintain and continuously improve the national animal health diagnostic laboratory quality assurance system. Committee members include the chief veterinary officers of the Australian, state and territory governments and of New Zealand, representatives from AAHL, the Department of Agriculture and Water Resources and the Department of the Environment and Energy.</w:t>
      </w:r>
    </w:p>
    <w:p w14:paraId="6C449C55" w14:textId="6F668550" w:rsidR="00CC703E" w:rsidRDefault="00E37FDB">
      <w:pPr>
        <w:spacing w:after="0"/>
        <w:ind w:right="57"/>
        <w:rPr>
          <w:rFonts w:cs="Calibri"/>
          <w:szCs w:val="24"/>
        </w:rPr>
      </w:pPr>
      <w:r>
        <w:rPr>
          <w:rFonts w:cs="Calibri"/>
          <w:szCs w:val="24"/>
        </w:rPr>
        <w:t>From 1990 to 2014 AHC managed arrangements through its Sub-Committee on Animal Health Laboratory Standards (SCAHLS). Initially, SCAHLS members were from Australian and NZ government laboratories, then later from private, university and public health laboratories, Animal Health Australia (AHA) and NATA. By 2014 the functions of SCAHLS included:</w:t>
      </w:r>
    </w:p>
    <w:p w14:paraId="1F2E493D" w14:textId="300411E7" w:rsidR="00CC703E" w:rsidRDefault="00E37FDB" w:rsidP="007E7627">
      <w:pPr>
        <w:pStyle w:val="ListBullet"/>
      </w:pPr>
      <w:r>
        <w:t>Ov</w:t>
      </w:r>
      <w:r>
        <w:rPr>
          <w:spacing w:val="1"/>
        </w:rPr>
        <w:t>e</w:t>
      </w:r>
      <w:r>
        <w:t>rse</w:t>
      </w:r>
      <w:r>
        <w:rPr>
          <w:spacing w:val="1"/>
        </w:rPr>
        <w:t>e</w:t>
      </w:r>
      <w:r>
        <w:rPr>
          <w:spacing w:val="-2"/>
        </w:rPr>
        <w:t>i</w:t>
      </w:r>
      <w:r>
        <w:rPr>
          <w:spacing w:val="1"/>
        </w:rPr>
        <w:t>n</w:t>
      </w:r>
      <w:r>
        <w:t>g</w:t>
      </w:r>
      <w:r>
        <w:rPr>
          <w:spacing w:val="-10"/>
        </w:rPr>
        <w:t xml:space="preserve"> </w:t>
      </w:r>
      <w:r>
        <w:rPr>
          <w:spacing w:val="1"/>
        </w:rPr>
        <w:t>th</w:t>
      </w:r>
      <w:r>
        <w:t>e La</w:t>
      </w:r>
      <w:r>
        <w:rPr>
          <w:spacing w:val="1"/>
        </w:rPr>
        <w:t>b</w:t>
      </w:r>
      <w:r>
        <w:t>o</w:t>
      </w:r>
      <w:r>
        <w:rPr>
          <w:spacing w:val="1"/>
        </w:rPr>
        <w:t>r</w:t>
      </w:r>
      <w:r>
        <w:rPr>
          <w:spacing w:val="-2"/>
        </w:rPr>
        <w:t>a</w:t>
      </w:r>
      <w:r>
        <w:rPr>
          <w:spacing w:val="2"/>
        </w:rPr>
        <w:t>t</w:t>
      </w:r>
      <w:r>
        <w:t>o</w:t>
      </w:r>
      <w:r>
        <w:rPr>
          <w:spacing w:val="1"/>
        </w:rPr>
        <w:t>r</w:t>
      </w:r>
      <w:r>
        <w:t>ies</w:t>
      </w:r>
      <w:r>
        <w:rPr>
          <w:spacing w:val="-6"/>
        </w:rPr>
        <w:t xml:space="preserve"> </w:t>
      </w:r>
      <w:r>
        <w:rPr>
          <w:spacing w:val="1"/>
        </w:rPr>
        <w:t>f</w:t>
      </w:r>
      <w:r>
        <w:t>or</w:t>
      </w:r>
      <w:r>
        <w:rPr>
          <w:spacing w:val="-3"/>
        </w:rPr>
        <w:t xml:space="preserve"> </w:t>
      </w:r>
      <w:r>
        <w:t>Em</w:t>
      </w:r>
      <w:r>
        <w:rPr>
          <w:spacing w:val="1"/>
        </w:rPr>
        <w:t>e</w:t>
      </w:r>
      <w:r>
        <w:t>r</w:t>
      </w:r>
      <w:r>
        <w:rPr>
          <w:spacing w:val="-2"/>
        </w:rPr>
        <w:t>ge</w:t>
      </w:r>
      <w:r>
        <w:rPr>
          <w:spacing w:val="1"/>
        </w:rPr>
        <w:t>n</w:t>
      </w:r>
      <w:r>
        <w:rPr>
          <w:spacing w:val="-1"/>
        </w:rPr>
        <w:t>c</w:t>
      </w:r>
      <w:r>
        <w:t>y</w:t>
      </w:r>
      <w:r>
        <w:rPr>
          <w:spacing w:val="-10"/>
        </w:rPr>
        <w:t xml:space="preserve"> </w:t>
      </w:r>
      <w:r>
        <w:t>A</w:t>
      </w:r>
      <w:r>
        <w:rPr>
          <w:spacing w:val="1"/>
        </w:rPr>
        <w:t>n</w:t>
      </w:r>
      <w:r>
        <w:t>imal</w:t>
      </w:r>
      <w:r>
        <w:rPr>
          <w:spacing w:val="-1"/>
        </w:rPr>
        <w:t xml:space="preserve"> </w:t>
      </w:r>
      <w:r>
        <w:rPr>
          <w:spacing w:val="1"/>
        </w:rPr>
        <w:t>D</w:t>
      </w:r>
      <w:r>
        <w:t>isease</w:t>
      </w:r>
      <w:r>
        <w:rPr>
          <w:spacing w:val="-7"/>
        </w:rPr>
        <w:t xml:space="preserve"> </w:t>
      </w:r>
      <w:r>
        <w:rPr>
          <w:spacing w:val="1"/>
        </w:rPr>
        <w:t>D</w:t>
      </w:r>
      <w:r>
        <w:t>ia</w:t>
      </w:r>
      <w:r>
        <w:rPr>
          <w:spacing w:val="-2"/>
        </w:rPr>
        <w:t>g</w:t>
      </w:r>
      <w:r>
        <w:rPr>
          <w:spacing w:val="1"/>
        </w:rPr>
        <w:t>n</w:t>
      </w:r>
      <w:r>
        <w:t>osis</w:t>
      </w:r>
      <w:r>
        <w:rPr>
          <w:spacing w:val="1"/>
        </w:rPr>
        <w:t xml:space="preserve"> </w:t>
      </w:r>
      <w:r>
        <w:t>a</w:t>
      </w:r>
      <w:r>
        <w:rPr>
          <w:spacing w:val="-1"/>
        </w:rPr>
        <w:t>n</w:t>
      </w:r>
      <w:r>
        <w:t>d</w:t>
      </w:r>
      <w:r>
        <w:rPr>
          <w:spacing w:val="2"/>
        </w:rPr>
        <w:t xml:space="preserve"> </w:t>
      </w:r>
      <w:r>
        <w:t>Re</w:t>
      </w:r>
      <w:r>
        <w:rPr>
          <w:spacing w:val="-3"/>
        </w:rPr>
        <w:t>s</w:t>
      </w:r>
      <w:r>
        <w:rPr>
          <w:spacing w:val="1"/>
        </w:rPr>
        <w:t>p</w:t>
      </w:r>
      <w:r>
        <w:t>o</w:t>
      </w:r>
      <w:r>
        <w:rPr>
          <w:spacing w:val="2"/>
        </w:rPr>
        <w:t>n</w:t>
      </w:r>
      <w:r>
        <w:t>se</w:t>
      </w:r>
      <w:r>
        <w:rPr>
          <w:spacing w:val="-7"/>
        </w:rPr>
        <w:t xml:space="preserve"> </w:t>
      </w:r>
      <w:r>
        <w:t>(LE</w:t>
      </w:r>
      <w:r>
        <w:rPr>
          <w:spacing w:val="-3"/>
        </w:rPr>
        <w:t>A</w:t>
      </w:r>
      <w:r>
        <w:rPr>
          <w:spacing w:val="1"/>
        </w:rPr>
        <w:t>DD</w:t>
      </w:r>
      <w:r>
        <w:t>R)</w:t>
      </w:r>
      <w:r>
        <w:rPr>
          <w:spacing w:val="-1"/>
        </w:rPr>
        <w:t xml:space="preserve"> </w:t>
      </w:r>
      <w:r>
        <w:rPr>
          <w:spacing w:val="1"/>
        </w:rPr>
        <w:t>n</w:t>
      </w:r>
      <w:r>
        <w:rPr>
          <w:spacing w:val="-2"/>
        </w:rPr>
        <w:t>e</w:t>
      </w:r>
      <w:r>
        <w:rPr>
          <w:spacing w:val="1"/>
        </w:rPr>
        <w:t>t</w:t>
      </w:r>
      <w:r>
        <w:rPr>
          <w:spacing w:val="-1"/>
        </w:rPr>
        <w:t>w</w:t>
      </w:r>
      <w:r>
        <w:t>o</w:t>
      </w:r>
      <w:r>
        <w:rPr>
          <w:spacing w:val="1"/>
        </w:rPr>
        <w:t>r</w:t>
      </w:r>
      <w:r>
        <w:rPr>
          <w:spacing w:val="6"/>
        </w:rPr>
        <w:t>k</w:t>
      </w:r>
      <w:r>
        <w:rPr>
          <w:spacing w:val="1"/>
        </w:rPr>
        <w:t xml:space="preserve"> </w:t>
      </w:r>
      <w:r>
        <w:t>to ensure</w:t>
      </w:r>
      <w:r>
        <w:rPr>
          <w:spacing w:val="-1"/>
        </w:rPr>
        <w:t xml:space="preserve"> </w:t>
      </w:r>
      <w:r>
        <w:rPr>
          <w:spacing w:val="-2"/>
        </w:rPr>
        <w:t>r</w:t>
      </w:r>
      <w:r>
        <w:t>a</w:t>
      </w:r>
      <w:r>
        <w:rPr>
          <w:spacing w:val="1"/>
        </w:rPr>
        <w:t>p</w:t>
      </w:r>
      <w:r>
        <w:t>id</w:t>
      </w:r>
      <w:r>
        <w:rPr>
          <w:spacing w:val="-1"/>
        </w:rPr>
        <w:t xml:space="preserve"> </w:t>
      </w:r>
      <w:r>
        <w:t>a</w:t>
      </w:r>
      <w:r>
        <w:rPr>
          <w:spacing w:val="-1"/>
        </w:rPr>
        <w:t>n</w:t>
      </w:r>
      <w:r>
        <w:t>d</w:t>
      </w:r>
      <w:r>
        <w:rPr>
          <w:spacing w:val="-1"/>
        </w:rPr>
        <w:t xml:space="preserve"> </w:t>
      </w:r>
      <w:r>
        <w:t>eff</w:t>
      </w:r>
      <w:r>
        <w:rPr>
          <w:spacing w:val="1"/>
        </w:rPr>
        <w:t>e</w:t>
      </w:r>
      <w:r>
        <w:rPr>
          <w:spacing w:val="-1"/>
        </w:rPr>
        <w:t>c</w:t>
      </w:r>
      <w:r>
        <w:rPr>
          <w:spacing w:val="1"/>
        </w:rPr>
        <w:t>t</w:t>
      </w:r>
      <w:r>
        <w:t>ive</w:t>
      </w:r>
      <w:r>
        <w:rPr>
          <w:spacing w:val="-9"/>
        </w:rPr>
        <w:t xml:space="preserve"> </w:t>
      </w:r>
      <w:r>
        <w:t>r</w:t>
      </w:r>
      <w:r>
        <w:rPr>
          <w:spacing w:val="1"/>
        </w:rPr>
        <w:t>e</w:t>
      </w:r>
      <w:r>
        <w:t>s</w:t>
      </w:r>
      <w:r>
        <w:rPr>
          <w:spacing w:val="1"/>
        </w:rPr>
        <w:t>p</w:t>
      </w:r>
      <w:r>
        <w:rPr>
          <w:spacing w:val="-2"/>
        </w:rPr>
        <w:t>o</w:t>
      </w:r>
      <w:r>
        <w:rPr>
          <w:spacing w:val="1"/>
        </w:rPr>
        <w:t>n</w:t>
      </w:r>
      <w:r>
        <w:t>ses</w:t>
      </w:r>
      <w:r>
        <w:rPr>
          <w:spacing w:val="-6"/>
        </w:rPr>
        <w:t xml:space="preserve"> </w:t>
      </w:r>
      <w:r>
        <w:rPr>
          <w:spacing w:val="1"/>
        </w:rPr>
        <w:t>t</w:t>
      </w:r>
      <w:r>
        <w:t>o</w:t>
      </w:r>
      <w:r>
        <w:rPr>
          <w:spacing w:val="1"/>
        </w:rPr>
        <w:t xml:space="preserve"> </w:t>
      </w:r>
      <w:r>
        <w:t>ma</w:t>
      </w:r>
      <w:r>
        <w:rPr>
          <w:spacing w:val="-2"/>
        </w:rPr>
        <w:t>j</w:t>
      </w:r>
      <w:r>
        <w:t>or</w:t>
      </w:r>
      <w:r>
        <w:rPr>
          <w:spacing w:val="-1"/>
        </w:rPr>
        <w:t xml:space="preserve"> </w:t>
      </w:r>
      <w:r>
        <w:rPr>
          <w:spacing w:val="-2"/>
        </w:rPr>
        <w:t>e</w:t>
      </w:r>
      <w:r>
        <w:t>me</w:t>
      </w:r>
      <w:r>
        <w:rPr>
          <w:spacing w:val="1"/>
        </w:rPr>
        <w:t>r</w:t>
      </w:r>
      <w:r>
        <w:t>g</w:t>
      </w:r>
      <w:r>
        <w:rPr>
          <w:spacing w:val="-2"/>
        </w:rPr>
        <w:t>e</w:t>
      </w:r>
      <w:r>
        <w:rPr>
          <w:spacing w:val="1"/>
        </w:rPr>
        <w:t>n</w:t>
      </w:r>
      <w:r>
        <w:rPr>
          <w:spacing w:val="-1"/>
        </w:rPr>
        <w:t>c</w:t>
      </w:r>
      <w:r>
        <w:t>y</w:t>
      </w:r>
      <w:r>
        <w:rPr>
          <w:spacing w:val="-10"/>
        </w:rPr>
        <w:t xml:space="preserve"> </w:t>
      </w:r>
      <w:r>
        <w:t>a</w:t>
      </w:r>
      <w:r>
        <w:rPr>
          <w:spacing w:val="1"/>
        </w:rPr>
        <w:t>n</w:t>
      </w:r>
      <w:r>
        <w:rPr>
          <w:spacing w:val="-2"/>
        </w:rPr>
        <w:t>i</w:t>
      </w:r>
      <w:r>
        <w:t>mal</w:t>
      </w:r>
      <w:r>
        <w:rPr>
          <w:spacing w:val="1"/>
        </w:rPr>
        <w:t xml:space="preserve"> d</w:t>
      </w:r>
      <w:r>
        <w:t>isea</w:t>
      </w:r>
      <w:r>
        <w:rPr>
          <w:spacing w:val="-2"/>
        </w:rPr>
        <w:t>s</w:t>
      </w:r>
      <w:r>
        <w:t>e i</w:t>
      </w:r>
      <w:r>
        <w:rPr>
          <w:spacing w:val="1"/>
        </w:rPr>
        <w:t>n</w:t>
      </w:r>
      <w:r>
        <w:rPr>
          <w:spacing w:val="-1"/>
        </w:rPr>
        <w:t>c</w:t>
      </w:r>
      <w:r>
        <w:rPr>
          <w:spacing w:val="-2"/>
        </w:rPr>
        <w:t>i</w:t>
      </w:r>
      <w:r>
        <w:rPr>
          <w:spacing w:val="1"/>
        </w:rPr>
        <w:t>d</w:t>
      </w:r>
      <w:r>
        <w:t>e</w:t>
      </w:r>
      <w:r>
        <w:rPr>
          <w:spacing w:val="-1"/>
        </w:rPr>
        <w:t>n</w:t>
      </w:r>
      <w:r>
        <w:rPr>
          <w:spacing w:val="1"/>
        </w:rPr>
        <w:t>t</w:t>
      </w:r>
      <w:r>
        <w:t>s.</w:t>
      </w:r>
      <w:r>
        <w:rPr>
          <w:spacing w:val="-7"/>
        </w:rPr>
        <w:t xml:space="preserve"> </w:t>
      </w:r>
      <w:r>
        <w:t>Network</w:t>
      </w:r>
      <w:r>
        <w:rPr>
          <w:spacing w:val="-1"/>
        </w:rPr>
        <w:t xml:space="preserve"> members represent all government veterinary laboratories and the Department of Agriculture and Water Resources.</w:t>
      </w:r>
      <w:r>
        <w:t xml:space="preserve"> </w:t>
      </w:r>
      <w:r>
        <w:rPr>
          <w:spacing w:val="1"/>
        </w:rPr>
        <w:t>Th</w:t>
      </w:r>
      <w:r>
        <w:t xml:space="preserve">e </w:t>
      </w:r>
      <w:r>
        <w:rPr>
          <w:spacing w:val="1"/>
        </w:rPr>
        <w:t>n</w:t>
      </w:r>
      <w:r>
        <w:t>e</w:t>
      </w:r>
      <w:r>
        <w:rPr>
          <w:spacing w:val="1"/>
        </w:rPr>
        <w:t>t</w:t>
      </w:r>
      <w:r>
        <w:rPr>
          <w:spacing w:val="-1"/>
        </w:rPr>
        <w:t>w</w:t>
      </w:r>
      <w:r>
        <w:t>o</w:t>
      </w:r>
      <w:r>
        <w:rPr>
          <w:spacing w:val="1"/>
        </w:rPr>
        <w:t>r</w:t>
      </w:r>
      <w:r>
        <w:rPr>
          <w:spacing w:val="-1"/>
        </w:rPr>
        <w:t>k</w:t>
      </w:r>
      <w:r>
        <w:t>,</w:t>
      </w:r>
      <w:r>
        <w:rPr>
          <w:spacing w:val="1"/>
        </w:rPr>
        <w:t xml:space="preserve"> </w:t>
      </w:r>
      <w:r>
        <w:rPr>
          <w:spacing w:val="-1"/>
        </w:rPr>
        <w:t>c</w:t>
      </w:r>
      <w:r>
        <w:rPr>
          <w:spacing w:val="-2"/>
        </w:rPr>
        <w:t>o</w:t>
      </w:r>
      <w:r>
        <w:t>o</w:t>
      </w:r>
      <w:r>
        <w:rPr>
          <w:spacing w:val="1"/>
        </w:rPr>
        <w:t>rd</w:t>
      </w:r>
      <w:r>
        <w:rPr>
          <w:spacing w:val="-2"/>
        </w:rPr>
        <w:t>i</w:t>
      </w:r>
      <w:r>
        <w:rPr>
          <w:spacing w:val="1"/>
        </w:rPr>
        <w:t>n</w:t>
      </w:r>
      <w:r>
        <w:t>a</w:t>
      </w:r>
      <w:r>
        <w:rPr>
          <w:spacing w:val="1"/>
        </w:rPr>
        <w:t>t</w:t>
      </w:r>
      <w:r>
        <w:rPr>
          <w:spacing w:val="-2"/>
        </w:rPr>
        <w:t>e</w:t>
      </w:r>
      <w:r>
        <w:t>d</w:t>
      </w:r>
      <w:r>
        <w:rPr>
          <w:spacing w:val="-5"/>
        </w:rPr>
        <w:t xml:space="preserve"> </w:t>
      </w:r>
      <w:r>
        <w:rPr>
          <w:spacing w:val="1"/>
        </w:rPr>
        <w:t>b</w:t>
      </w:r>
      <w:r>
        <w:t>y</w:t>
      </w:r>
      <w:r>
        <w:rPr>
          <w:spacing w:val="-1"/>
        </w:rPr>
        <w:t xml:space="preserve"> </w:t>
      </w:r>
      <w:r>
        <w:rPr>
          <w:spacing w:val="-2"/>
        </w:rPr>
        <w:t>A</w:t>
      </w:r>
      <w:r>
        <w:t>AHL</w:t>
      </w:r>
      <w:r>
        <w:rPr>
          <w:spacing w:val="-1"/>
        </w:rPr>
        <w:t xml:space="preserve">, </w:t>
      </w:r>
      <w:r>
        <w:rPr>
          <w:spacing w:val="1"/>
        </w:rPr>
        <w:t>a</w:t>
      </w:r>
      <w:r>
        <w:t>ims</w:t>
      </w:r>
      <w:r>
        <w:rPr>
          <w:spacing w:val="1"/>
        </w:rPr>
        <w:t xml:space="preserve"> </w:t>
      </w:r>
      <w:r>
        <w:rPr>
          <w:spacing w:val="-1"/>
        </w:rPr>
        <w:t>t</w:t>
      </w:r>
      <w:r>
        <w:t>o</w:t>
      </w:r>
      <w:r>
        <w:rPr>
          <w:spacing w:val="1"/>
        </w:rPr>
        <w:t xml:space="preserve"> </w:t>
      </w:r>
      <w:r>
        <w:t>s</w:t>
      </w:r>
      <w:r>
        <w:rPr>
          <w:spacing w:val="-1"/>
        </w:rPr>
        <w:t>t</w:t>
      </w:r>
      <w:r>
        <w:t>a</w:t>
      </w:r>
      <w:r>
        <w:rPr>
          <w:spacing w:val="1"/>
        </w:rPr>
        <w:t>n</w:t>
      </w:r>
      <w:r>
        <w:rPr>
          <w:spacing w:val="-1"/>
        </w:rPr>
        <w:t>d</w:t>
      </w:r>
      <w:r>
        <w:t>ar</w:t>
      </w:r>
      <w:r>
        <w:rPr>
          <w:spacing w:val="1"/>
        </w:rPr>
        <w:t>d</w:t>
      </w:r>
      <w:r>
        <w:t>ise</w:t>
      </w:r>
      <w:r>
        <w:rPr>
          <w:spacing w:val="-1"/>
        </w:rPr>
        <w:t xml:space="preserve"> </w:t>
      </w:r>
      <w:r>
        <w:t xml:space="preserve">or </w:t>
      </w:r>
      <w:r>
        <w:rPr>
          <w:spacing w:val="-1"/>
        </w:rPr>
        <w:t>h</w:t>
      </w:r>
      <w:r>
        <w:t>arm</w:t>
      </w:r>
      <w:r>
        <w:rPr>
          <w:spacing w:val="-1"/>
        </w:rPr>
        <w:t>o</w:t>
      </w:r>
      <w:r>
        <w:rPr>
          <w:spacing w:val="1"/>
        </w:rPr>
        <w:t>n</w:t>
      </w:r>
      <w:r>
        <w:t>ise</w:t>
      </w:r>
      <w:r>
        <w:rPr>
          <w:spacing w:val="-5"/>
        </w:rPr>
        <w:t xml:space="preserve"> </w:t>
      </w:r>
      <w:r>
        <w:rPr>
          <w:spacing w:val="1"/>
        </w:rPr>
        <w:t>t</w:t>
      </w:r>
      <w:r>
        <w:t>es</w:t>
      </w:r>
      <w:r>
        <w:rPr>
          <w:spacing w:val="1"/>
        </w:rPr>
        <w:t>t</w:t>
      </w:r>
      <w:r>
        <w:rPr>
          <w:spacing w:val="-2"/>
        </w:rPr>
        <w:t>i</w:t>
      </w:r>
      <w:r>
        <w:rPr>
          <w:spacing w:val="1"/>
        </w:rPr>
        <w:t>n</w:t>
      </w:r>
      <w:r>
        <w:t>g</w:t>
      </w:r>
      <w:r>
        <w:rPr>
          <w:spacing w:val="-4"/>
        </w:rPr>
        <w:t xml:space="preserve"> </w:t>
      </w:r>
      <w:r>
        <w:rPr>
          <w:spacing w:val="1"/>
        </w:rPr>
        <w:t>p</w:t>
      </w:r>
      <w:r>
        <w:t>l</w:t>
      </w:r>
      <w:r>
        <w:rPr>
          <w:spacing w:val="-2"/>
        </w:rPr>
        <w:t>a</w:t>
      </w:r>
      <w:r>
        <w:rPr>
          <w:spacing w:val="1"/>
        </w:rPr>
        <w:t>t</w:t>
      </w:r>
      <w:r>
        <w:rPr>
          <w:spacing w:val="-1"/>
        </w:rPr>
        <w:t>f</w:t>
      </w:r>
      <w:r>
        <w:t>o</w:t>
      </w:r>
      <w:r>
        <w:rPr>
          <w:spacing w:val="1"/>
        </w:rPr>
        <w:t>r</w:t>
      </w:r>
      <w:r>
        <w:t>ms</w:t>
      </w:r>
      <w:r>
        <w:rPr>
          <w:spacing w:val="-5"/>
        </w:rPr>
        <w:t xml:space="preserve"> </w:t>
      </w:r>
      <w:r>
        <w:rPr>
          <w:spacing w:val="-2"/>
        </w:rPr>
        <w:t>a</w:t>
      </w:r>
      <w:r>
        <w:rPr>
          <w:spacing w:val="1"/>
        </w:rPr>
        <w:t>n</w:t>
      </w:r>
      <w:r>
        <w:t>d</w:t>
      </w:r>
      <w:r>
        <w:rPr>
          <w:spacing w:val="-1"/>
        </w:rPr>
        <w:t xml:space="preserve"> </w:t>
      </w:r>
      <w:r>
        <w:t>assa</w:t>
      </w:r>
      <w:r>
        <w:rPr>
          <w:spacing w:val="-1"/>
        </w:rPr>
        <w:t>y</w:t>
      </w:r>
      <w:r>
        <w:t>s</w:t>
      </w:r>
      <w:r>
        <w:rPr>
          <w:spacing w:val="-7"/>
        </w:rPr>
        <w:t xml:space="preserve"> </w:t>
      </w:r>
      <w:r>
        <w:rPr>
          <w:spacing w:val="1"/>
        </w:rPr>
        <w:t>f</w:t>
      </w:r>
      <w:r>
        <w:t>or</w:t>
      </w:r>
      <w:r>
        <w:rPr>
          <w:spacing w:val="-3"/>
        </w:rPr>
        <w:t xml:space="preserve"> </w:t>
      </w:r>
      <w:r>
        <w:rPr>
          <w:spacing w:val="1"/>
        </w:rPr>
        <w:t>t</w:t>
      </w:r>
      <w:r>
        <w:t>arg</w:t>
      </w:r>
      <w:r>
        <w:rPr>
          <w:spacing w:val="-1"/>
        </w:rPr>
        <w:t>e</w:t>
      </w:r>
      <w:r>
        <w:rPr>
          <w:spacing w:val="1"/>
        </w:rPr>
        <w:t>t</w:t>
      </w:r>
      <w:r>
        <w:t>ed em</w:t>
      </w:r>
      <w:r>
        <w:rPr>
          <w:spacing w:val="1"/>
        </w:rPr>
        <w:t>e</w:t>
      </w:r>
      <w:r>
        <w:t>rge</w:t>
      </w:r>
      <w:r>
        <w:rPr>
          <w:spacing w:val="2"/>
        </w:rPr>
        <w:t>n</w:t>
      </w:r>
      <w:r>
        <w:rPr>
          <w:spacing w:val="-1"/>
        </w:rPr>
        <w:t>c</w:t>
      </w:r>
      <w:r>
        <w:t>y</w:t>
      </w:r>
      <w:r>
        <w:rPr>
          <w:spacing w:val="-11"/>
        </w:rPr>
        <w:t xml:space="preserve"> </w:t>
      </w:r>
      <w:r>
        <w:rPr>
          <w:spacing w:val="-2"/>
        </w:rPr>
        <w:t>a</w:t>
      </w:r>
      <w:r>
        <w:rPr>
          <w:spacing w:val="1"/>
        </w:rPr>
        <w:t>n</w:t>
      </w:r>
      <w:r>
        <w:t>imal</w:t>
      </w:r>
      <w:r>
        <w:rPr>
          <w:spacing w:val="-1"/>
        </w:rPr>
        <w:t xml:space="preserve"> </w:t>
      </w:r>
      <w:r>
        <w:rPr>
          <w:spacing w:val="1"/>
        </w:rPr>
        <w:t>d</w:t>
      </w:r>
      <w:r>
        <w:t>isea</w:t>
      </w:r>
      <w:r>
        <w:rPr>
          <w:spacing w:val="-2"/>
        </w:rPr>
        <w:t>s</w:t>
      </w:r>
      <w:r>
        <w:t>e</w:t>
      </w:r>
      <w:r>
        <w:rPr>
          <w:spacing w:val="2"/>
        </w:rPr>
        <w:t>s</w:t>
      </w:r>
      <w:r>
        <w:t>.</w:t>
      </w:r>
    </w:p>
    <w:p w14:paraId="4DBC736A" w14:textId="198739D0" w:rsidR="00CC703E" w:rsidRDefault="00C60965" w:rsidP="007E7627">
      <w:pPr>
        <w:pStyle w:val="ListBullet"/>
      </w:pPr>
      <w:r>
        <w:rPr>
          <w:spacing w:val="1"/>
        </w:rPr>
        <w:t>Overseeing</w:t>
      </w:r>
      <w:r>
        <w:rPr>
          <w:spacing w:val="-3"/>
        </w:rPr>
        <w:t xml:space="preserve"> </w:t>
      </w:r>
      <w:r w:rsidR="00E37FDB">
        <w:t>l</w:t>
      </w:r>
      <w:r w:rsidR="00E37FDB">
        <w:rPr>
          <w:spacing w:val="-2"/>
        </w:rPr>
        <w:t>a</w:t>
      </w:r>
      <w:r w:rsidR="00E37FDB">
        <w:rPr>
          <w:spacing w:val="1"/>
        </w:rPr>
        <w:t>b</w:t>
      </w:r>
      <w:r w:rsidR="00E37FDB">
        <w:rPr>
          <w:spacing w:val="-2"/>
        </w:rPr>
        <w:t>o</w:t>
      </w:r>
      <w:r w:rsidR="00E37FDB">
        <w:t>ra</w:t>
      </w:r>
      <w:r w:rsidR="00E37FDB">
        <w:rPr>
          <w:spacing w:val="2"/>
        </w:rPr>
        <w:t>t</w:t>
      </w:r>
      <w:r w:rsidR="00E37FDB">
        <w:t>o</w:t>
      </w:r>
      <w:r w:rsidR="00E37FDB">
        <w:rPr>
          <w:spacing w:val="1"/>
        </w:rPr>
        <w:t>r</w:t>
      </w:r>
      <w:r w:rsidR="00E37FDB">
        <w:t>y</w:t>
      </w:r>
      <w:r w:rsidR="00E37FDB">
        <w:rPr>
          <w:spacing w:val="-7"/>
        </w:rPr>
        <w:t xml:space="preserve"> </w:t>
      </w:r>
      <w:r w:rsidR="00E37FDB">
        <w:rPr>
          <w:spacing w:val="1"/>
        </w:rPr>
        <w:t>p</w:t>
      </w:r>
      <w:r w:rsidR="00E37FDB">
        <w:t>r</w:t>
      </w:r>
      <w:r w:rsidR="00E37FDB">
        <w:rPr>
          <w:spacing w:val="-1"/>
        </w:rPr>
        <w:t>o</w:t>
      </w:r>
      <w:r w:rsidR="00E37FDB">
        <w:rPr>
          <w:spacing w:val="1"/>
        </w:rPr>
        <w:t>f</w:t>
      </w:r>
      <w:r w:rsidR="00E37FDB">
        <w:t>i</w:t>
      </w:r>
      <w:r w:rsidR="00E37FDB">
        <w:rPr>
          <w:spacing w:val="-1"/>
        </w:rPr>
        <w:t>c</w:t>
      </w:r>
      <w:r w:rsidR="00E37FDB">
        <w:t>ie</w:t>
      </w:r>
      <w:r w:rsidR="00E37FDB">
        <w:rPr>
          <w:spacing w:val="2"/>
        </w:rPr>
        <w:t>n</w:t>
      </w:r>
      <w:r w:rsidR="00E37FDB">
        <w:rPr>
          <w:spacing w:val="-1"/>
        </w:rPr>
        <w:t>c</w:t>
      </w:r>
      <w:r w:rsidR="00E37FDB">
        <w:t>y</w:t>
      </w:r>
      <w:r w:rsidR="00E37FDB">
        <w:rPr>
          <w:spacing w:val="-4"/>
        </w:rPr>
        <w:t xml:space="preserve"> </w:t>
      </w:r>
      <w:r w:rsidR="00E37FDB">
        <w:rPr>
          <w:spacing w:val="-1"/>
        </w:rPr>
        <w:t>t</w:t>
      </w:r>
      <w:r w:rsidR="00E37FDB">
        <w:t>es</w:t>
      </w:r>
      <w:r w:rsidR="00E37FDB">
        <w:rPr>
          <w:spacing w:val="1"/>
        </w:rPr>
        <w:t>t</w:t>
      </w:r>
      <w:r w:rsidR="00E37FDB">
        <w:rPr>
          <w:spacing w:val="-2"/>
        </w:rPr>
        <w:t>i</w:t>
      </w:r>
      <w:r w:rsidR="00E37FDB">
        <w:rPr>
          <w:spacing w:val="1"/>
        </w:rPr>
        <w:t>n</w:t>
      </w:r>
      <w:r w:rsidR="00E37FDB">
        <w:t>g</w:t>
      </w:r>
      <w:r w:rsidR="00E37FDB">
        <w:rPr>
          <w:spacing w:val="-3"/>
        </w:rPr>
        <w:t xml:space="preserve"> </w:t>
      </w:r>
      <w:r w:rsidR="00E37FDB">
        <w:t>ac</w:t>
      </w:r>
      <w:r w:rsidR="00E37FDB">
        <w:rPr>
          <w:spacing w:val="1"/>
        </w:rPr>
        <w:t>t</w:t>
      </w:r>
      <w:r w:rsidR="00E37FDB">
        <w:t>ivi</w:t>
      </w:r>
      <w:r w:rsidR="00E37FDB">
        <w:rPr>
          <w:spacing w:val="1"/>
        </w:rPr>
        <w:t>t</w:t>
      </w:r>
      <w:r w:rsidR="00E37FDB">
        <w:t>ies</w:t>
      </w:r>
      <w:r w:rsidR="00E37FDB">
        <w:rPr>
          <w:spacing w:val="-4"/>
        </w:rPr>
        <w:t xml:space="preserve"> </w:t>
      </w:r>
      <w:r w:rsidR="00E37FDB">
        <w:t>of</w:t>
      </w:r>
      <w:r w:rsidR="00E37FDB">
        <w:rPr>
          <w:spacing w:val="1"/>
        </w:rPr>
        <w:t xml:space="preserve"> </w:t>
      </w:r>
      <w:r w:rsidR="00E37FDB">
        <w:rPr>
          <w:spacing w:val="-1"/>
        </w:rPr>
        <w:t>t</w:t>
      </w:r>
      <w:r w:rsidR="00E37FDB">
        <w:rPr>
          <w:spacing w:val="1"/>
        </w:rPr>
        <w:t>h</w:t>
      </w:r>
      <w:r w:rsidR="00E37FDB">
        <w:t>e</w:t>
      </w:r>
      <w:r w:rsidR="00E37FDB">
        <w:rPr>
          <w:spacing w:val="-3"/>
        </w:rPr>
        <w:t xml:space="preserve"> </w:t>
      </w:r>
      <w:r w:rsidR="00E37FDB">
        <w:t>A</w:t>
      </w:r>
      <w:r w:rsidR="00E37FDB">
        <w:rPr>
          <w:spacing w:val="1"/>
        </w:rPr>
        <w:t>u</w:t>
      </w:r>
      <w:r w:rsidR="00E37FDB">
        <w:t>s</w:t>
      </w:r>
      <w:r w:rsidR="00E37FDB">
        <w:rPr>
          <w:spacing w:val="-1"/>
        </w:rPr>
        <w:t>t</w:t>
      </w:r>
      <w:r w:rsidR="00E37FDB">
        <w:t>ral</w:t>
      </w:r>
      <w:r w:rsidR="00E37FDB">
        <w:rPr>
          <w:spacing w:val="-2"/>
        </w:rPr>
        <w:t>i</w:t>
      </w:r>
      <w:r w:rsidR="00E37FDB">
        <w:t>an</w:t>
      </w:r>
      <w:r w:rsidR="00E37FDB">
        <w:rPr>
          <w:spacing w:val="2"/>
        </w:rPr>
        <w:t xml:space="preserve"> </w:t>
      </w:r>
      <w:r w:rsidR="00E37FDB">
        <w:rPr>
          <w:spacing w:val="1"/>
        </w:rPr>
        <w:t>N</w:t>
      </w:r>
      <w:r w:rsidR="00E37FDB">
        <w:rPr>
          <w:spacing w:val="-2"/>
        </w:rPr>
        <w:t>a</w:t>
      </w:r>
      <w:r w:rsidR="00E37FDB">
        <w:rPr>
          <w:spacing w:val="1"/>
        </w:rPr>
        <w:t>t</w:t>
      </w:r>
      <w:r w:rsidR="00E37FDB">
        <w:t>i</w:t>
      </w:r>
      <w:r w:rsidR="00E37FDB">
        <w:rPr>
          <w:spacing w:val="-2"/>
        </w:rPr>
        <w:t>o</w:t>
      </w:r>
      <w:r w:rsidR="00E37FDB">
        <w:rPr>
          <w:spacing w:val="1"/>
        </w:rPr>
        <w:t>n</w:t>
      </w:r>
      <w:r w:rsidR="00E37FDB">
        <w:t>al Quali</w:t>
      </w:r>
      <w:r w:rsidR="00E37FDB">
        <w:rPr>
          <w:spacing w:val="1"/>
        </w:rPr>
        <w:t>t</w:t>
      </w:r>
      <w:r w:rsidR="00E37FDB">
        <w:t>y</w:t>
      </w:r>
      <w:r w:rsidR="00E37FDB">
        <w:rPr>
          <w:spacing w:val="-1"/>
        </w:rPr>
        <w:t xml:space="preserve"> </w:t>
      </w:r>
      <w:r w:rsidR="00E37FDB">
        <w:t>Ass</w:t>
      </w:r>
      <w:r w:rsidR="00E37FDB">
        <w:rPr>
          <w:spacing w:val="1"/>
        </w:rPr>
        <w:t>u</w:t>
      </w:r>
      <w:r w:rsidR="00E37FDB">
        <w:rPr>
          <w:spacing w:val="-2"/>
        </w:rPr>
        <w:t>r</w:t>
      </w:r>
      <w:r w:rsidR="00E37FDB">
        <w:t>a</w:t>
      </w:r>
      <w:r w:rsidR="00E37FDB">
        <w:rPr>
          <w:spacing w:val="1"/>
        </w:rPr>
        <w:t>n</w:t>
      </w:r>
      <w:r w:rsidR="00E37FDB">
        <w:rPr>
          <w:spacing w:val="-1"/>
        </w:rPr>
        <w:t>c</w:t>
      </w:r>
      <w:r w:rsidR="00E37FDB">
        <w:t>e</w:t>
      </w:r>
      <w:r w:rsidR="00E37FDB">
        <w:rPr>
          <w:spacing w:val="-4"/>
        </w:rPr>
        <w:t xml:space="preserve"> </w:t>
      </w:r>
      <w:r w:rsidR="00E37FDB">
        <w:t>P</w:t>
      </w:r>
      <w:r w:rsidR="00E37FDB">
        <w:rPr>
          <w:spacing w:val="1"/>
        </w:rPr>
        <w:t>r</w:t>
      </w:r>
      <w:r w:rsidR="00E37FDB">
        <w:t>og</w:t>
      </w:r>
      <w:r w:rsidR="00E37FDB">
        <w:rPr>
          <w:spacing w:val="1"/>
        </w:rPr>
        <w:t>r</w:t>
      </w:r>
      <w:r w:rsidR="00E37FDB">
        <w:rPr>
          <w:spacing w:val="-2"/>
        </w:rPr>
        <w:t>a</w:t>
      </w:r>
      <w:r w:rsidR="00E37FDB">
        <w:t>m</w:t>
      </w:r>
      <w:r w:rsidR="00E37FDB">
        <w:rPr>
          <w:spacing w:val="-6"/>
        </w:rPr>
        <w:t xml:space="preserve"> </w:t>
      </w:r>
      <w:r w:rsidR="00E37FDB">
        <w:t>(ANQA</w:t>
      </w:r>
      <w:r w:rsidR="00E37FDB">
        <w:rPr>
          <w:spacing w:val="1"/>
        </w:rPr>
        <w:t>P</w:t>
      </w:r>
      <w:r w:rsidR="00E37FDB">
        <w:t>)</w:t>
      </w:r>
      <w:r w:rsidR="00E37FDB">
        <w:rPr>
          <w:spacing w:val="-8"/>
        </w:rPr>
        <w:t xml:space="preserve"> </w:t>
      </w:r>
      <w:r w:rsidR="00E37FDB">
        <w:rPr>
          <w:spacing w:val="-2"/>
        </w:rPr>
        <w:t>a</w:t>
      </w:r>
      <w:r w:rsidR="00E37FDB">
        <w:rPr>
          <w:spacing w:val="1"/>
        </w:rPr>
        <w:t>n</w:t>
      </w:r>
      <w:r w:rsidR="00E37FDB">
        <w:t>d</w:t>
      </w:r>
      <w:r w:rsidR="00E37FDB">
        <w:rPr>
          <w:spacing w:val="5"/>
        </w:rPr>
        <w:t xml:space="preserve"> </w:t>
      </w:r>
      <w:r w:rsidR="00E37FDB">
        <w:rPr>
          <w:spacing w:val="-2"/>
        </w:rPr>
        <w:t>o</w:t>
      </w:r>
      <w:r w:rsidR="00E37FDB">
        <w:rPr>
          <w:spacing w:val="1"/>
        </w:rPr>
        <w:t>t</w:t>
      </w:r>
      <w:r w:rsidR="00E37FDB">
        <w:rPr>
          <w:spacing w:val="-1"/>
        </w:rPr>
        <w:t>h</w:t>
      </w:r>
      <w:r w:rsidR="00E37FDB">
        <w:t>er</w:t>
      </w:r>
      <w:r w:rsidR="00E37FDB">
        <w:rPr>
          <w:spacing w:val="-3"/>
        </w:rPr>
        <w:t xml:space="preserve"> relevant </w:t>
      </w:r>
      <w:r w:rsidR="00E37FDB">
        <w:rPr>
          <w:spacing w:val="1"/>
        </w:rPr>
        <w:t>qu</w:t>
      </w:r>
      <w:r w:rsidR="00E37FDB">
        <w:t>al</w:t>
      </w:r>
      <w:r w:rsidR="00E37FDB">
        <w:rPr>
          <w:spacing w:val="-2"/>
        </w:rPr>
        <w:t>i</w:t>
      </w:r>
      <w:r w:rsidR="00E37FDB">
        <w:rPr>
          <w:spacing w:val="1"/>
        </w:rPr>
        <w:t>t</w:t>
      </w:r>
      <w:r w:rsidR="00E37FDB">
        <w:t>y</w:t>
      </w:r>
      <w:r w:rsidR="00E37FDB">
        <w:rPr>
          <w:spacing w:val="-2"/>
        </w:rPr>
        <w:t xml:space="preserve"> </w:t>
      </w:r>
      <w:r w:rsidR="00E37FDB">
        <w:t>ass</w:t>
      </w:r>
      <w:r w:rsidR="00E37FDB">
        <w:rPr>
          <w:spacing w:val="1"/>
        </w:rPr>
        <w:t>u</w:t>
      </w:r>
      <w:r w:rsidR="00E37FDB">
        <w:t>r</w:t>
      </w:r>
      <w:r w:rsidR="00E37FDB">
        <w:rPr>
          <w:spacing w:val="-2"/>
        </w:rPr>
        <w:t>a</w:t>
      </w:r>
      <w:r w:rsidR="00E37FDB">
        <w:rPr>
          <w:spacing w:val="-1"/>
        </w:rPr>
        <w:t>nc</w:t>
      </w:r>
      <w:r w:rsidR="00E37FDB">
        <w:t>e</w:t>
      </w:r>
      <w:r w:rsidR="00E37FDB">
        <w:rPr>
          <w:spacing w:val="-1"/>
        </w:rPr>
        <w:t xml:space="preserve"> </w:t>
      </w:r>
      <w:r w:rsidR="00E37FDB">
        <w:rPr>
          <w:spacing w:val="1"/>
        </w:rPr>
        <w:t>f</w:t>
      </w:r>
      <w:r w:rsidR="00E37FDB">
        <w:rPr>
          <w:spacing w:val="-1"/>
        </w:rPr>
        <w:t>u</w:t>
      </w:r>
      <w:r w:rsidR="00E37FDB">
        <w:rPr>
          <w:spacing w:val="1"/>
        </w:rPr>
        <w:t>n</w:t>
      </w:r>
      <w:r w:rsidR="00E37FDB">
        <w:rPr>
          <w:spacing w:val="-1"/>
        </w:rPr>
        <w:t>c</w:t>
      </w:r>
      <w:r w:rsidR="00E37FDB">
        <w:rPr>
          <w:spacing w:val="1"/>
        </w:rPr>
        <w:t>t</w:t>
      </w:r>
      <w:r w:rsidR="00E37FDB">
        <w:t>i</w:t>
      </w:r>
      <w:r w:rsidR="00E37FDB">
        <w:rPr>
          <w:spacing w:val="-2"/>
        </w:rPr>
        <w:t>o</w:t>
      </w:r>
      <w:r w:rsidR="00E37FDB">
        <w:rPr>
          <w:spacing w:val="1"/>
        </w:rPr>
        <w:t>n</w:t>
      </w:r>
      <w:r w:rsidR="00E37FDB">
        <w:t>s,</w:t>
      </w:r>
      <w:r w:rsidR="00E37FDB">
        <w:rPr>
          <w:spacing w:val="-2"/>
        </w:rPr>
        <w:t xml:space="preserve"> </w:t>
      </w:r>
      <w:r w:rsidR="00E37FDB">
        <w:t>i</w:t>
      </w:r>
      <w:r w:rsidR="00E37FDB">
        <w:rPr>
          <w:spacing w:val="1"/>
        </w:rPr>
        <w:t>n</w:t>
      </w:r>
      <w:r w:rsidR="00E37FDB">
        <w:rPr>
          <w:spacing w:val="-1"/>
        </w:rPr>
        <w:t>c</w:t>
      </w:r>
      <w:r w:rsidR="00E37FDB">
        <w:t>l</w:t>
      </w:r>
      <w:r w:rsidR="00E37FDB">
        <w:rPr>
          <w:spacing w:val="-1"/>
        </w:rPr>
        <w:t>u</w:t>
      </w:r>
      <w:r w:rsidR="00E37FDB">
        <w:rPr>
          <w:spacing w:val="1"/>
        </w:rPr>
        <w:t>d</w:t>
      </w:r>
      <w:r w:rsidR="00E37FDB">
        <w:t>i</w:t>
      </w:r>
      <w:r w:rsidR="00E37FDB">
        <w:rPr>
          <w:spacing w:val="1"/>
        </w:rPr>
        <w:t>n</w:t>
      </w:r>
      <w:r w:rsidR="00E37FDB">
        <w:t>g</w:t>
      </w:r>
      <w:r w:rsidR="00E37FDB">
        <w:rPr>
          <w:spacing w:val="-1"/>
        </w:rPr>
        <w:t xml:space="preserve"> </w:t>
      </w:r>
      <w:r w:rsidR="00E37FDB">
        <w:t>l</w:t>
      </w:r>
      <w:r w:rsidR="00E37FDB">
        <w:rPr>
          <w:spacing w:val="-2"/>
        </w:rPr>
        <w:t>i</w:t>
      </w:r>
      <w:r w:rsidR="00E37FDB">
        <w:t xml:space="preserve">aison </w:t>
      </w:r>
      <w:r w:rsidR="00E37FDB">
        <w:rPr>
          <w:spacing w:val="-1"/>
        </w:rPr>
        <w:t>w</w:t>
      </w:r>
      <w:r w:rsidR="00E37FDB">
        <w:t>i</w:t>
      </w:r>
      <w:r w:rsidR="00E37FDB">
        <w:rPr>
          <w:spacing w:val="1"/>
        </w:rPr>
        <w:t>t</w:t>
      </w:r>
      <w:r w:rsidR="00E37FDB">
        <w:t>h</w:t>
      </w:r>
      <w:r w:rsidR="00E37FDB">
        <w:rPr>
          <w:spacing w:val="-3"/>
        </w:rPr>
        <w:t xml:space="preserve"> </w:t>
      </w:r>
      <w:r w:rsidR="00E37FDB">
        <w:rPr>
          <w:spacing w:val="1"/>
        </w:rPr>
        <w:t>N</w:t>
      </w:r>
      <w:r w:rsidR="00E37FDB">
        <w:rPr>
          <w:spacing w:val="-2"/>
        </w:rPr>
        <w:t>A</w:t>
      </w:r>
      <w:r w:rsidR="00E37FDB">
        <w:t>TA</w:t>
      </w:r>
      <w:r w:rsidR="00E37FDB">
        <w:rPr>
          <w:spacing w:val="-4"/>
        </w:rPr>
        <w:t xml:space="preserve"> </w:t>
      </w:r>
      <w:r w:rsidR="00E37FDB">
        <w:t>a</w:t>
      </w:r>
      <w:r w:rsidR="00E37FDB">
        <w:rPr>
          <w:spacing w:val="-1"/>
        </w:rPr>
        <w:t>n</w:t>
      </w:r>
      <w:r w:rsidR="00E37FDB">
        <w:t>d</w:t>
      </w:r>
      <w:r w:rsidR="00E37FDB">
        <w:rPr>
          <w:spacing w:val="2"/>
        </w:rPr>
        <w:t xml:space="preserve"> </w:t>
      </w:r>
      <w:r w:rsidR="00E37FDB">
        <w:rPr>
          <w:spacing w:val="1"/>
        </w:rPr>
        <w:t>ot</w:t>
      </w:r>
      <w:r w:rsidR="00E37FDB">
        <w:rPr>
          <w:spacing w:val="-1"/>
        </w:rPr>
        <w:t>h</w:t>
      </w:r>
      <w:r w:rsidR="00E37FDB">
        <w:t>er la</w:t>
      </w:r>
      <w:r w:rsidR="00E37FDB">
        <w:rPr>
          <w:spacing w:val="1"/>
        </w:rPr>
        <w:t>b</w:t>
      </w:r>
      <w:r w:rsidR="00E37FDB">
        <w:t>o</w:t>
      </w:r>
      <w:r w:rsidR="00E37FDB">
        <w:rPr>
          <w:spacing w:val="1"/>
        </w:rPr>
        <w:t>r</w:t>
      </w:r>
      <w:r w:rsidR="00E37FDB">
        <w:rPr>
          <w:spacing w:val="-2"/>
        </w:rPr>
        <w:t>a</w:t>
      </w:r>
      <w:r w:rsidR="00E37FDB">
        <w:rPr>
          <w:spacing w:val="1"/>
        </w:rPr>
        <w:t>t</w:t>
      </w:r>
      <w:r w:rsidR="00E37FDB">
        <w:t>o</w:t>
      </w:r>
      <w:r w:rsidR="00E37FDB">
        <w:rPr>
          <w:spacing w:val="1"/>
        </w:rPr>
        <w:t>r</w:t>
      </w:r>
      <w:r w:rsidR="00E37FDB">
        <w:t>y</w:t>
      </w:r>
      <w:r w:rsidR="00E37FDB">
        <w:rPr>
          <w:spacing w:val="-8"/>
        </w:rPr>
        <w:t xml:space="preserve"> </w:t>
      </w:r>
      <w:r w:rsidR="00E37FDB">
        <w:rPr>
          <w:spacing w:val="1"/>
        </w:rPr>
        <w:t>qu</w:t>
      </w:r>
      <w:r w:rsidR="00E37FDB">
        <w:t>al</w:t>
      </w:r>
      <w:r w:rsidR="00E37FDB">
        <w:rPr>
          <w:spacing w:val="-2"/>
        </w:rPr>
        <w:t>i</w:t>
      </w:r>
      <w:r w:rsidR="00E37FDB">
        <w:rPr>
          <w:spacing w:val="1"/>
        </w:rPr>
        <w:t>t</w:t>
      </w:r>
      <w:r w:rsidR="00E37FDB">
        <w:t>y</w:t>
      </w:r>
      <w:r w:rsidR="00E37FDB">
        <w:rPr>
          <w:spacing w:val="-2"/>
        </w:rPr>
        <w:t xml:space="preserve"> </w:t>
      </w:r>
      <w:r w:rsidR="00E37FDB">
        <w:t>ass</w:t>
      </w:r>
      <w:r w:rsidR="00E37FDB">
        <w:rPr>
          <w:spacing w:val="1"/>
        </w:rPr>
        <w:t>u</w:t>
      </w:r>
      <w:r w:rsidR="00E37FDB">
        <w:t>r</w:t>
      </w:r>
      <w:r w:rsidR="00E37FDB">
        <w:rPr>
          <w:spacing w:val="-2"/>
        </w:rPr>
        <w:t>a</w:t>
      </w:r>
      <w:r w:rsidR="00E37FDB">
        <w:rPr>
          <w:spacing w:val="1"/>
        </w:rPr>
        <w:t>n</w:t>
      </w:r>
      <w:r w:rsidR="00E37FDB">
        <w:rPr>
          <w:spacing w:val="-1"/>
        </w:rPr>
        <w:t>c</w:t>
      </w:r>
      <w:r w:rsidR="00E37FDB">
        <w:t xml:space="preserve">e </w:t>
      </w:r>
      <w:r w:rsidR="00E37FDB">
        <w:rPr>
          <w:spacing w:val="1"/>
        </w:rPr>
        <w:t>p</w:t>
      </w:r>
      <w:r w:rsidR="00E37FDB">
        <w:rPr>
          <w:spacing w:val="-2"/>
        </w:rPr>
        <w:t>r</w:t>
      </w:r>
      <w:r w:rsidR="00E37FDB">
        <w:t>ovi</w:t>
      </w:r>
      <w:r w:rsidR="00E37FDB">
        <w:rPr>
          <w:spacing w:val="1"/>
        </w:rPr>
        <w:t>d</w:t>
      </w:r>
      <w:r w:rsidR="00E37FDB">
        <w:t>e</w:t>
      </w:r>
      <w:r w:rsidR="00E37FDB">
        <w:rPr>
          <w:spacing w:val="1"/>
        </w:rPr>
        <w:t>r</w:t>
      </w:r>
      <w:r w:rsidR="00E37FDB">
        <w:t xml:space="preserve">s through </w:t>
      </w:r>
      <w:r w:rsidR="00E37FDB">
        <w:rPr>
          <w:spacing w:val="1"/>
        </w:rPr>
        <w:t>N</w:t>
      </w:r>
      <w:r w:rsidR="00E37FDB">
        <w:t>A</w:t>
      </w:r>
      <w:r w:rsidR="00E37FDB">
        <w:rPr>
          <w:spacing w:val="1"/>
        </w:rPr>
        <w:t>T</w:t>
      </w:r>
      <w:r w:rsidR="00E37FDB">
        <w:t>A’s</w:t>
      </w:r>
      <w:r w:rsidR="00E37FDB">
        <w:rPr>
          <w:spacing w:val="-2"/>
        </w:rPr>
        <w:t xml:space="preserve"> </w:t>
      </w:r>
      <w:r w:rsidR="00E37FDB">
        <w:t>V</w:t>
      </w:r>
      <w:r w:rsidR="00E37FDB">
        <w:rPr>
          <w:spacing w:val="-2"/>
        </w:rPr>
        <w:t>e</w:t>
      </w:r>
      <w:r w:rsidR="00E37FDB">
        <w:rPr>
          <w:spacing w:val="1"/>
        </w:rPr>
        <w:t>t</w:t>
      </w:r>
      <w:r w:rsidR="00E37FDB">
        <w:t>eri</w:t>
      </w:r>
      <w:r w:rsidR="00E37FDB">
        <w:rPr>
          <w:spacing w:val="1"/>
        </w:rPr>
        <w:t>n</w:t>
      </w:r>
      <w:r w:rsidR="00E37FDB">
        <w:rPr>
          <w:spacing w:val="-2"/>
        </w:rPr>
        <w:t>a</w:t>
      </w:r>
      <w:r w:rsidR="00E37FDB">
        <w:t xml:space="preserve">ry </w:t>
      </w:r>
      <w:r w:rsidR="00E37FDB">
        <w:rPr>
          <w:spacing w:val="1"/>
        </w:rPr>
        <w:t>T</w:t>
      </w:r>
      <w:r w:rsidR="00E37FDB">
        <w:t>es</w:t>
      </w:r>
      <w:r w:rsidR="00E37FDB">
        <w:rPr>
          <w:spacing w:val="1"/>
        </w:rPr>
        <w:t>t</w:t>
      </w:r>
      <w:r w:rsidR="00E37FDB">
        <w:rPr>
          <w:spacing w:val="-2"/>
        </w:rPr>
        <w:t>i</w:t>
      </w:r>
      <w:r w:rsidR="00E37FDB">
        <w:rPr>
          <w:spacing w:val="1"/>
        </w:rPr>
        <w:t>n</w:t>
      </w:r>
      <w:r w:rsidR="00E37FDB">
        <w:t>g Ac</w:t>
      </w:r>
      <w:r w:rsidR="00E37FDB">
        <w:rPr>
          <w:spacing w:val="-1"/>
        </w:rPr>
        <w:t>c</w:t>
      </w:r>
      <w:r w:rsidR="00E37FDB">
        <w:t>r</w:t>
      </w:r>
      <w:r w:rsidR="00E37FDB">
        <w:rPr>
          <w:spacing w:val="1"/>
        </w:rPr>
        <w:t>ed</w:t>
      </w:r>
      <w:r w:rsidR="00E37FDB">
        <w:t>i</w:t>
      </w:r>
      <w:r w:rsidR="00E37FDB">
        <w:rPr>
          <w:spacing w:val="1"/>
        </w:rPr>
        <w:t>t</w:t>
      </w:r>
      <w:r w:rsidR="00E37FDB">
        <w:rPr>
          <w:spacing w:val="-2"/>
        </w:rPr>
        <w:t>a</w:t>
      </w:r>
      <w:r w:rsidR="00E37FDB">
        <w:rPr>
          <w:spacing w:val="1"/>
        </w:rPr>
        <w:t>ti</w:t>
      </w:r>
      <w:r w:rsidR="00E37FDB">
        <w:t>on</w:t>
      </w:r>
      <w:r w:rsidR="00E37FDB">
        <w:rPr>
          <w:spacing w:val="-6"/>
        </w:rPr>
        <w:t xml:space="preserve"> </w:t>
      </w:r>
      <w:r w:rsidR="00E37FDB">
        <w:t>A</w:t>
      </w:r>
      <w:r w:rsidR="00E37FDB">
        <w:rPr>
          <w:spacing w:val="2"/>
        </w:rPr>
        <w:t>d</w:t>
      </w:r>
      <w:r w:rsidR="00E37FDB">
        <w:t>vi</w:t>
      </w:r>
      <w:r w:rsidR="00E37FDB">
        <w:rPr>
          <w:spacing w:val="-1"/>
        </w:rPr>
        <w:t>s</w:t>
      </w:r>
      <w:r w:rsidR="00E37FDB">
        <w:t>o</w:t>
      </w:r>
      <w:r w:rsidR="00E37FDB">
        <w:rPr>
          <w:spacing w:val="1"/>
        </w:rPr>
        <w:t>r</w:t>
      </w:r>
      <w:r w:rsidR="00E37FDB">
        <w:t>y</w:t>
      </w:r>
      <w:r w:rsidR="00E37FDB">
        <w:rPr>
          <w:spacing w:val="-5"/>
        </w:rPr>
        <w:t xml:space="preserve"> </w:t>
      </w:r>
      <w:r w:rsidR="00E37FDB">
        <w:rPr>
          <w:spacing w:val="-1"/>
        </w:rPr>
        <w:t>C</w:t>
      </w:r>
      <w:r w:rsidR="00E37FDB">
        <w:t>o</w:t>
      </w:r>
      <w:r w:rsidR="00E37FDB">
        <w:rPr>
          <w:spacing w:val="1"/>
        </w:rPr>
        <w:t>m</w:t>
      </w:r>
      <w:r w:rsidR="00E37FDB">
        <w:t>mi</w:t>
      </w:r>
      <w:r w:rsidR="00E37FDB">
        <w:rPr>
          <w:spacing w:val="-1"/>
        </w:rPr>
        <w:t>t</w:t>
      </w:r>
      <w:r w:rsidR="00E37FDB">
        <w:rPr>
          <w:spacing w:val="1"/>
        </w:rPr>
        <w:t>t</w:t>
      </w:r>
      <w:r w:rsidR="00E37FDB">
        <w:t>e</w:t>
      </w:r>
      <w:r w:rsidR="00E37FDB">
        <w:rPr>
          <w:spacing w:val="1"/>
        </w:rPr>
        <w:t>e</w:t>
      </w:r>
      <w:r w:rsidR="00E37FDB">
        <w:t>.</w:t>
      </w:r>
    </w:p>
    <w:p w14:paraId="51A48392" w14:textId="272F9F5D" w:rsidR="00CC703E" w:rsidRDefault="00E37FDB" w:rsidP="007E7627">
      <w:pPr>
        <w:pStyle w:val="ListBullet"/>
      </w:pPr>
      <w:r>
        <w:t xml:space="preserve">Maintaining and improving Australian and NZ standard diagnostic procedures (ANZSDP) </w:t>
      </w:r>
      <w:r>
        <w:rPr>
          <w:spacing w:val="-2"/>
        </w:rPr>
        <w:t>i</w:t>
      </w:r>
      <w:r>
        <w:t>n</w:t>
      </w:r>
      <w:r>
        <w:rPr>
          <w:spacing w:val="2"/>
        </w:rPr>
        <w:t xml:space="preserve"> </w:t>
      </w:r>
      <w:r>
        <w:rPr>
          <w:spacing w:val="1"/>
        </w:rPr>
        <w:t>support</w:t>
      </w:r>
      <w:r>
        <w:rPr>
          <w:spacing w:val="-3"/>
        </w:rPr>
        <w:t xml:space="preserve"> </w:t>
      </w:r>
      <w:r>
        <w:rPr>
          <w:spacing w:val="-2"/>
        </w:rPr>
        <w:t>o</w:t>
      </w:r>
      <w:r>
        <w:t>f official</w:t>
      </w:r>
      <w:r>
        <w:rPr>
          <w:spacing w:val="1"/>
        </w:rPr>
        <w:t xml:space="preserve"> </w:t>
      </w:r>
      <w:r>
        <w:rPr>
          <w:spacing w:val="-1"/>
        </w:rPr>
        <w:t>t</w:t>
      </w:r>
      <w:r>
        <w:t>es</w:t>
      </w:r>
      <w:r>
        <w:rPr>
          <w:spacing w:val="1"/>
        </w:rPr>
        <w:t>t</w:t>
      </w:r>
      <w:r>
        <w:rPr>
          <w:spacing w:val="-2"/>
        </w:rPr>
        <w:t>i</w:t>
      </w:r>
      <w:r>
        <w:rPr>
          <w:spacing w:val="1"/>
        </w:rPr>
        <w:t>n</w:t>
      </w:r>
      <w:r>
        <w:t>g</w:t>
      </w:r>
      <w:r>
        <w:rPr>
          <w:spacing w:val="-4"/>
        </w:rPr>
        <w:t xml:space="preserve"> </w:t>
      </w:r>
      <w:r>
        <w:rPr>
          <w:spacing w:val="-1"/>
        </w:rPr>
        <w:t>f</w:t>
      </w:r>
      <w:r>
        <w:t>or</w:t>
      </w:r>
      <w:r>
        <w:rPr>
          <w:spacing w:val="-1"/>
        </w:rPr>
        <w:t xml:space="preserve"> </w:t>
      </w:r>
      <w:r>
        <w:rPr>
          <w:spacing w:val="-2"/>
        </w:rPr>
        <w:t>e</w:t>
      </w:r>
      <w:r>
        <w:rPr>
          <w:spacing w:val="1"/>
        </w:rPr>
        <w:t>n</w:t>
      </w:r>
      <w:r>
        <w:rPr>
          <w:spacing w:val="-1"/>
        </w:rPr>
        <w:t>d</w:t>
      </w:r>
      <w:r>
        <w:rPr>
          <w:spacing w:val="-2"/>
        </w:rPr>
        <w:t>e</w:t>
      </w:r>
      <w:r>
        <w:t>mic</w:t>
      </w:r>
      <w:r>
        <w:rPr>
          <w:spacing w:val="-2"/>
        </w:rPr>
        <w:t xml:space="preserve"> </w:t>
      </w:r>
      <w:r>
        <w:t>a</w:t>
      </w:r>
      <w:r>
        <w:rPr>
          <w:spacing w:val="2"/>
        </w:rPr>
        <w:t>n</w:t>
      </w:r>
      <w:r>
        <w:t>d</w:t>
      </w:r>
      <w:r>
        <w:rPr>
          <w:spacing w:val="-1"/>
        </w:rPr>
        <w:t xml:space="preserve"> </w:t>
      </w:r>
      <w:r>
        <w:t>em</w:t>
      </w:r>
      <w:r>
        <w:rPr>
          <w:spacing w:val="1"/>
        </w:rPr>
        <w:t>e</w:t>
      </w:r>
      <w:r>
        <w:t>r</w:t>
      </w:r>
      <w:r>
        <w:rPr>
          <w:spacing w:val="-2"/>
        </w:rPr>
        <w:t>g</w:t>
      </w:r>
      <w:r>
        <w:t>e</w:t>
      </w:r>
      <w:r>
        <w:rPr>
          <w:spacing w:val="1"/>
        </w:rPr>
        <w:t>n</w:t>
      </w:r>
      <w:r>
        <w:rPr>
          <w:spacing w:val="-1"/>
        </w:rPr>
        <w:t>c</w:t>
      </w:r>
      <w:r>
        <w:t>y</w:t>
      </w:r>
      <w:r>
        <w:rPr>
          <w:spacing w:val="-11"/>
        </w:rPr>
        <w:t xml:space="preserve"> </w:t>
      </w:r>
      <w:r>
        <w:t>a</w:t>
      </w:r>
      <w:r>
        <w:rPr>
          <w:spacing w:val="1"/>
        </w:rPr>
        <w:t>n</w:t>
      </w:r>
      <w:r>
        <w:rPr>
          <w:spacing w:val="-2"/>
        </w:rPr>
        <w:t>i</w:t>
      </w:r>
      <w:r>
        <w:rPr>
          <w:spacing w:val="5"/>
        </w:rPr>
        <w:t>m</w:t>
      </w:r>
      <w:r>
        <w:t>al</w:t>
      </w:r>
      <w:r>
        <w:rPr>
          <w:spacing w:val="-1"/>
        </w:rPr>
        <w:t xml:space="preserve"> </w:t>
      </w:r>
      <w:r>
        <w:rPr>
          <w:spacing w:val="1"/>
        </w:rPr>
        <w:t>d</w:t>
      </w:r>
      <w:r>
        <w:t>iseas</w:t>
      </w:r>
      <w:r>
        <w:rPr>
          <w:spacing w:val="1"/>
        </w:rPr>
        <w:t>e</w:t>
      </w:r>
      <w:r>
        <w:t>s</w:t>
      </w:r>
      <w:r>
        <w:rPr>
          <w:spacing w:val="-7"/>
        </w:rPr>
        <w:t xml:space="preserve"> </w:t>
      </w:r>
      <w:r>
        <w:t>in A</w:t>
      </w:r>
      <w:r>
        <w:rPr>
          <w:spacing w:val="1"/>
        </w:rPr>
        <w:t>u</w:t>
      </w:r>
      <w:r>
        <w:t>s</w:t>
      </w:r>
      <w:r>
        <w:rPr>
          <w:spacing w:val="1"/>
        </w:rPr>
        <w:t>t</w:t>
      </w:r>
      <w:r>
        <w:t>ralia</w:t>
      </w:r>
      <w:r>
        <w:rPr>
          <w:spacing w:val="-2"/>
        </w:rPr>
        <w:t xml:space="preserve"> </w:t>
      </w:r>
      <w:r>
        <w:t>a</w:t>
      </w:r>
      <w:r>
        <w:rPr>
          <w:spacing w:val="-1"/>
        </w:rPr>
        <w:t>n</w:t>
      </w:r>
      <w:r>
        <w:t>d</w:t>
      </w:r>
      <w:r>
        <w:rPr>
          <w:spacing w:val="-1"/>
        </w:rPr>
        <w:t xml:space="preserve"> </w:t>
      </w:r>
      <w:r>
        <w:rPr>
          <w:spacing w:val="1"/>
        </w:rPr>
        <w:t>N</w:t>
      </w:r>
      <w:r>
        <w:t>ew</w:t>
      </w:r>
      <w:r>
        <w:rPr>
          <w:spacing w:val="-4"/>
        </w:rPr>
        <w:t xml:space="preserve"> </w:t>
      </w:r>
      <w:r>
        <w:t>Ze</w:t>
      </w:r>
      <w:r>
        <w:rPr>
          <w:spacing w:val="1"/>
        </w:rPr>
        <w:t>a</w:t>
      </w:r>
      <w:r>
        <w:t>l</w:t>
      </w:r>
      <w:r>
        <w:rPr>
          <w:spacing w:val="-2"/>
        </w:rPr>
        <w:t>a</w:t>
      </w:r>
      <w:r>
        <w:rPr>
          <w:spacing w:val="1"/>
        </w:rPr>
        <w:t>n</w:t>
      </w:r>
      <w:r>
        <w:t>d,</w:t>
      </w:r>
      <w:r>
        <w:rPr>
          <w:spacing w:val="3"/>
        </w:rPr>
        <w:t xml:space="preserve"> </w:t>
      </w:r>
      <w:r>
        <w:rPr>
          <w:spacing w:val="-1"/>
        </w:rPr>
        <w:t>c</w:t>
      </w:r>
      <w:r>
        <w:rPr>
          <w:spacing w:val="-2"/>
        </w:rPr>
        <w:t>o</w:t>
      </w:r>
      <w:r>
        <w:rPr>
          <w:spacing w:val="1"/>
        </w:rPr>
        <w:t>n</w:t>
      </w:r>
      <w:r>
        <w:t>sis</w:t>
      </w:r>
      <w:r>
        <w:rPr>
          <w:spacing w:val="1"/>
        </w:rPr>
        <w:t>t</w:t>
      </w:r>
      <w:r>
        <w:rPr>
          <w:spacing w:val="-2"/>
        </w:rPr>
        <w:t>e</w:t>
      </w:r>
      <w:r>
        <w:rPr>
          <w:spacing w:val="1"/>
        </w:rPr>
        <w:t>n</w:t>
      </w:r>
      <w:r>
        <w:t>t</w:t>
      </w:r>
      <w:r>
        <w:rPr>
          <w:spacing w:val="-3"/>
        </w:rPr>
        <w:t xml:space="preserve"> </w:t>
      </w:r>
      <w:r>
        <w:rPr>
          <w:spacing w:val="-1"/>
        </w:rPr>
        <w:t>w</w:t>
      </w:r>
      <w:r>
        <w:t>i</w:t>
      </w:r>
      <w:r>
        <w:rPr>
          <w:spacing w:val="1"/>
        </w:rPr>
        <w:t>t</w:t>
      </w:r>
      <w:r>
        <w:t>h</w:t>
      </w:r>
      <w:r>
        <w:rPr>
          <w:spacing w:val="-3"/>
        </w:rPr>
        <w:t xml:space="preserve"> </w:t>
      </w:r>
      <w:r>
        <w:t>i</w:t>
      </w:r>
      <w:r>
        <w:rPr>
          <w:spacing w:val="-1"/>
        </w:rPr>
        <w:t>n</w:t>
      </w:r>
      <w:r>
        <w:rPr>
          <w:spacing w:val="1"/>
        </w:rPr>
        <w:t>t</w:t>
      </w:r>
      <w:r>
        <w:t>e</w:t>
      </w:r>
      <w:r>
        <w:rPr>
          <w:spacing w:val="1"/>
        </w:rPr>
        <w:t>r</w:t>
      </w:r>
      <w:r>
        <w:rPr>
          <w:spacing w:val="-1"/>
        </w:rPr>
        <w:t>n</w:t>
      </w:r>
      <w:r>
        <w:t>a</w:t>
      </w:r>
      <w:r>
        <w:rPr>
          <w:spacing w:val="1"/>
        </w:rPr>
        <w:t>t</w:t>
      </w:r>
      <w:r>
        <w:t>io</w:t>
      </w:r>
      <w:r>
        <w:rPr>
          <w:spacing w:val="2"/>
        </w:rPr>
        <w:t>n</w:t>
      </w:r>
      <w:r>
        <w:rPr>
          <w:spacing w:val="-2"/>
        </w:rPr>
        <w:t>a</w:t>
      </w:r>
      <w:r>
        <w:t>l</w:t>
      </w:r>
      <w:r>
        <w:rPr>
          <w:spacing w:val="-4"/>
        </w:rPr>
        <w:t xml:space="preserve"> </w:t>
      </w:r>
      <w:r>
        <w:t>s</w:t>
      </w:r>
      <w:r>
        <w:rPr>
          <w:spacing w:val="1"/>
        </w:rPr>
        <w:t>t</w:t>
      </w:r>
      <w:r>
        <w:rPr>
          <w:spacing w:val="-2"/>
        </w:rPr>
        <w:t>a</w:t>
      </w:r>
      <w:r>
        <w:rPr>
          <w:spacing w:val="1"/>
        </w:rPr>
        <w:t>nd</w:t>
      </w:r>
      <w:r>
        <w:rPr>
          <w:spacing w:val="-2"/>
        </w:rPr>
        <w:t>a</w:t>
      </w:r>
      <w:r>
        <w:t>r</w:t>
      </w:r>
      <w:r>
        <w:rPr>
          <w:spacing w:val="1"/>
        </w:rPr>
        <w:t>d</w:t>
      </w:r>
      <w:r>
        <w:t>s.</w:t>
      </w:r>
    </w:p>
    <w:p w14:paraId="2F585E9E" w14:textId="484BB412" w:rsidR="00CC703E" w:rsidRDefault="00E37FDB" w:rsidP="007E7627">
      <w:pPr>
        <w:pStyle w:val="ListBullet"/>
      </w:pPr>
      <w:r>
        <w:rPr>
          <w:spacing w:val="1"/>
        </w:rPr>
        <w:lastRenderedPageBreak/>
        <w:t>Encouraging</w:t>
      </w:r>
      <w:r>
        <w:rPr>
          <w:spacing w:val="-2"/>
        </w:rPr>
        <w:t xml:space="preserve"> </w:t>
      </w:r>
      <w:r>
        <w:rPr>
          <w:spacing w:val="1"/>
        </w:rPr>
        <w:t>n</w:t>
      </w:r>
      <w:r>
        <w:t>ew</w:t>
      </w:r>
      <w:r>
        <w:rPr>
          <w:spacing w:val="-3"/>
        </w:rPr>
        <w:t xml:space="preserve"> </w:t>
      </w:r>
      <w:r>
        <w:rPr>
          <w:spacing w:val="-2"/>
        </w:rPr>
        <w:t>o</w:t>
      </w:r>
      <w:r>
        <w:t>r m</w:t>
      </w:r>
      <w:r>
        <w:rPr>
          <w:spacing w:val="-1"/>
        </w:rPr>
        <w:t>o</w:t>
      </w:r>
      <w:r>
        <w:rPr>
          <w:spacing w:val="1"/>
        </w:rPr>
        <w:t>d</w:t>
      </w:r>
      <w:r>
        <w:t>i</w:t>
      </w:r>
      <w:r>
        <w:rPr>
          <w:spacing w:val="1"/>
        </w:rPr>
        <w:t>f</w:t>
      </w:r>
      <w:r>
        <w:rPr>
          <w:spacing w:val="-2"/>
        </w:rPr>
        <w:t>i</w:t>
      </w:r>
      <w:r>
        <w:t>ed</w:t>
      </w:r>
      <w:r>
        <w:rPr>
          <w:spacing w:val="-2"/>
        </w:rPr>
        <w:t xml:space="preserve"> </w:t>
      </w:r>
      <w:r>
        <w:rPr>
          <w:spacing w:val="1"/>
        </w:rPr>
        <w:t>t</w:t>
      </w:r>
      <w:r>
        <w:t>est</w:t>
      </w:r>
      <w:r>
        <w:rPr>
          <w:spacing w:val="-4"/>
        </w:rPr>
        <w:t xml:space="preserve"> </w:t>
      </w:r>
      <w:r>
        <w:rPr>
          <w:spacing w:val="1"/>
        </w:rPr>
        <w:t>d</w:t>
      </w:r>
      <w:r>
        <w:t>eve</w:t>
      </w:r>
      <w:r>
        <w:rPr>
          <w:spacing w:val="-2"/>
        </w:rPr>
        <w:t>l</w:t>
      </w:r>
      <w:r>
        <w:t>o</w:t>
      </w:r>
      <w:r>
        <w:rPr>
          <w:spacing w:val="2"/>
        </w:rPr>
        <w:t>p</w:t>
      </w:r>
      <w:r>
        <w:t>m</w:t>
      </w:r>
      <w:r>
        <w:rPr>
          <w:spacing w:val="-2"/>
        </w:rPr>
        <w:t>e</w:t>
      </w:r>
      <w:r>
        <w:rPr>
          <w:spacing w:val="1"/>
        </w:rPr>
        <w:t>n</w:t>
      </w:r>
      <w:r>
        <w:t>t</w:t>
      </w:r>
      <w:r>
        <w:rPr>
          <w:spacing w:val="-8"/>
        </w:rPr>
        <w:t xml:space="preserve"> </w:t>
      </w:r>
      <w:r>
        <w:t>a</w:t>
      </w:r>
      <w:r>
        <w:rPr>
          <w:spacing w:val="-1"/>
        </w:rPr>
        <w:t>n</w:t>
      </w:r>
      <w:r>
        <w:t>d</w:t>
      </w:r>
      <w:r>
        <w:rPr>
          <w:spacing w:val="-1"/>
        </w:rPr>
        <w:t xml:space="preserve"> </w:t>
      </w:r>
      <w:r>
        <w:t>eval</w:t>
      </w:r>
      <w:r>
        <w:rPr>
          <w:spacing w:val="1"/>
        </w:rPr>
        <w:t>u</w:t>
      </w:r>
      <w:r>
        <w:rPr>
          <w:spacing w:val="-2"/>
        </w:rPr>
        <w:t>a</w:t>
      </w:r>
      <w:r>
        <w:rPr>
          <w:spacing w:val="5"/>
        </w:rPr>
        <w:t>t</w:t>
      </w:r>
      <w:r>
        <w:t>io</w:t>
      </w:r>
      <w:r>
        <w:rPr>
          <w:spacing w:val="2"/>
        </w:rPr>
        <w:t>n</w:t>
      </w:r>
      <w:r>
        <w:t>, and</w:t>
      </w:r>
      <w:r>
        <w:rPr>
          <w:spacing w:val="-2"/>
        </w:rPr>
        <w:t xml:space="preserve"> </w:t>
      </w:r>
      <w:r>
        <w:t>mai</w:t>
      </w:r>
      <w:r>
        <w:rPr>
          <w:spacing w:val="-1"/>
        </w:rPr>
        <w:t>n</w:t>
      </w:r>
      <w:r>
        <w:rPr>
          <w:spacing w:val="2"/>
        </w:rPr>
        <w:t>t</w:t>
      </w:r>
      <w:r>
        <w:rPr>
          <w:spacing w:val="-2"/>
        </w:rPr>
        <w:t>ai</w:t>
      </w:r>
      <w:r>
        <w:rPr>
          <w:spacing w:val="1"/>
        </w:rPr>
        <w:t>n</w:t>
      </w:r>
      <w:r>
        <w:t>ing an o</w:t>
      </w:r>
      <w:r>
        <w:rPr>
          <w:spacing w:val="2"/>
        </w:rPr>
        <w:t>n</w:t>
      </w:r>
      <w:r>
        <w:t>l</w:t>
      </w:r>
      <w:r>
        <w:rPr>
          <w:spacing w:val="-2"/>
        </w:rPr>
        <w:t>i</w:t>
      </w:r>
      <w:r>
        <w:rPr>
          <w:spacing w:val="1"/>
        </w:rPr>
        <w:t>n</w:t>
      </w:r>
      <w:r>
        <w:t>e</w:t>
      </w:r>
      <w:r>
        <w:rPr>
          <w:spacing w:val="2"/>
        </w:rPr>
        <w:t xml:space="preserve"> </w:t>
      </w:r>
      <w:r>
        <w:rPr>
          <w:spacing w:val="-2"/>
        </w:rPr>
        <w:t>r</w:t>
      </w:r>
      <w:r>
        <w:t>egis</w:t>
      </w:r>
      <w:r>
        <w:rPr>
          <w:spacing w:val="1"/>
        </w:rPr>
        <w:t>t</w:t>
      </w:r>
      <w:r>
        <w:t>er</w:t>
      </w:r>
      <w:r>
        <w:rPr>
          <w:spacing w:val="-8"/>
        </w:rPr>
        <w:t xml:space="preserve"> </w:t>
      </w:r>
      <w:r>
        <w:rPr>
          <w:spacing w:val="-2"/>
        </w:rPr>
        <w:t>o</w:t>
      </w:r>
      <w:r>
        <w:t>f</w:t>
      </w:r>
      <w:r>
        <w:rPr>
          <w:spacing w:val="2"/>
        </w:rPr>
        <w:t xml:space="preserve"> </w:t>
      </w:r>
      <w:r>
        <w:rPr>
          <w:spacing w:val="-1"/>
        </w:rPr>
        <w:t>t</w:t>
      </w:r>
      <w:r>
        <w:t>est</w:t>
      </w:r>
      <w:r>
        <w:rPr>
          <w:spacing w:val="-3"/>
        </w:rPr>
        <w:t xml:space="preserve"> </w:t>
      </w:r>
      <w:r>
        <w:t>meth</w:t>
      </w:r>
      <w:r>
        <w:rPr>
          <w:spacing w:val="1"/>
        </w:rPr>
        <w:t>od</w:t>
      </w:r>
      <w:r>
        <w:t>s</w:t>
      </w:r>
      <w:r>
        <w:rPr>
          <w:spacing w:val="-2"/>
        </w:rPr>
        <w:t xml:space="preserve"> </w:t>
      </w:r>
      <w:r>
        <w:t>s</w:t>
      </w:r>
      <w:r>
        <w:rPr>
          <w:spacing w:val="1"/>
        </w:rPr>
        <w:t>u</w:t>
      </w:r>
      <w:r>
        <w:rPr>
          <w:spacing w:val="-2"/>
        </w:rPr>
        <w:t>i</w:t>
      </w:r>
      <w:r>
        <w:rPr>
          <w:spacing w:val="1"/>
        </w:rPr>
        <w:t>t</w:t>
      </w:r>
      <w:r>
        <w:t>a</w:t>
      </w:r>
      <w:r>
        <w:rPr>
          <w:spacing w:val="1"/>
        </w:rPr>
        <w:t>b</w:t>
      </w:r>
      <w:r>
        <w:t>le</w:t>
      </w:r>
      <w:r>
        <w:rPr>
          <w:spacing w:val="-2"/>
        </w:rPr>
        <w:t xml:space="preserve"> </w:t>
      </w:r>
      <w:r>
        <w:rPr>
          <w:spacing w:val="-1"/>
        </w:rPr>
        <w:t>f</w:t>
      </w:r>
      <w:r>
        <w:t>or</w:t>
      </w:r>
      <w:r>
        <w:rPr>
          <w:spacing w:val="-1"/>
        </w:rPr>
        <w:t xml:space="preserve"> </w:t>
      </w:r>
      <w:r>
        <w:rPr>
          <w:spacing w:val="1"/>
        </w:rPr>
        <w:t>n</w:t>
      </w:r>
      <w:r>
        <w:rPr>
          <w:spacing w:val="-2"/>
        </w:rPr>
        <w:t>a</w:t>
      </w:r>
      <w:r>
        <w:rPr>
          <w:spacing w:val="1"/>
        </w:rPr>
        <w:t>t</w:t>
      </w:r>
      <w:r>
        <w:t>i</w:t>
      </w:r>
      <w:r>
        <w:rPr>
          <w:spacing w:val="-2"/>
        </w:rPr>
        <w:t>o</w:t>
      </w:r>
      <w:r>
        <w:rPr>
          <w:spacing w:val="1"/>
        </w:rPr>
        <w:t>n</w:t>
      </w:r>
      <w:r>
        <w:t>al em</w:t>
      </w:r>
      <w:r>
        <w:rPr>
          <w:spacing w:val="1"/>
        </w:rPr>
        <w:t>e</w:t>
      </w:r>
      <w:r>
        <w:t>rge</w:t>
      </w:r>
      <w:r>
        <w:rPr>
          <w:spacing w:val="2"/>
        </w:rPr>
        <w:t>n</w:t>
      </w:r>
      <w:r>
        <w:rPr>
          <w:spacing w:val="-1"/>
        </w:rPr>
        <w:t>c</w:t>
      </w:r>
      <w:r>
        <w:t>y</w:t>
      </w:r>
      <w:r>
        <w:rPr>
          <w:spacing w:val="-11"/>
        </w:rPr>
        <w:t xml:space="preserve"> </w:t>
      </w:r>
      <w:r>
        <w:rPr>
          <w:spacing w:val="-2"/>
        </w:rPr>
        <w:t>a</w:t>
      </w:r>
      <w:r>
        <w:rPr>
          <w:spacing w:val="1"/>
        </w:rPr>
        <w:t>n</w:t>
      </w:r>
      <w:r>
        <w:t>imal</w:t>
      </w:r>
      <w:r>
        <w:rPr>
          <w:spacing w:val="-1"/>
        </w:rPr>
        <w:t xml:space="preserve"> </w:t>
      </w:r>
      <w:r>
        <w:rPr>
          <w:spacing w:val="1"/>
        </w:rPr>
        <w:t>d</w:t>
      </w:r>
      <w:r>
        <w:t>isea</w:t>
      </w:r>
      <w:r>
        <w:rPr>
          <w:spacing w:val="-2"/>
        </w:rPr>
        <w:t>s</w:t>
      </w:r>
      <w:r>
        <w:t>es.</w:t>
      </w:r>
    </w:p>
    <w:p w14:paraId="6C32A06C" w14:textId="77777777" w:rsidR="00CC703E" w:rsidRDefault="00E37FDB" w:rsidP="007E7627">
      <w:pPr>
        <w:pStyle w:val="ListBullet"/>
      </w:pPr>
      <w:r>
        <w:t>No</w:t>
      </w:r>
      <w:r>
        <w:rPr>
          <w:spacing w:val="1"/>
        </w:rPr>
        <w:t>m</w:t>
      </w:r>
      <w:r>
        <w:t>i</w:t>
      </w:r>
      <w:r>
        <w:rPr>
          <w:spacing w:val="1"/>
        </w:rPr>
        <w:t>n</w:t>
      </w:r>
      <w:r>
        <w:rPr>
          <w:spacing w:val="-2"/>
        </w:rPr>
        <w:t>a</w:t>
      </w:r>
      <w:r>
        <w:rPr>
          <w:spacing w:val="1"/>
        </w:rPr>
        <w:t>t</w:t>
      </w:r>
      <w:r>
        <w:rPr>
          <w:spacing w:val="-1"/>
        </w:rPr>
        <w:t>ing</w:t>
      </w:r>
      <w:r>
        <w:rPr>
          <w:spacing w:val="1"/>
        </w:rPr>
        <w:t xml:space="preserve"> </w:t>
      </w:r>
      <w:r>
        <w:rPr>
          <w:spacing w:val="-2"/>
        </w:rPr>
        <w:t>a</w:t>
      </w:r>
      <w:r>
        <w:rPr>
          <w:spacing w:val="1"/>
        </w:rPr>
        <w:t>n</w:t>
      </w:r>
      <w:r>
        <w:t>d</w:t>
      </w:r>
      <w:r>
        <w:rPr>
          <w:spacing w:val="-1"/>
        </w:rPr>
        <w:t xml:space="preserve"> </w:t>
      </w:r>
      <w:r>
        <w:t>m</w:t>
      </w:r>
      <w:r>
        <w:rPr>
          <w:spacing w:val="1"/>
        </w:rPr>
        <w:t>on</w:t>
      </w:r>
      <w:r>
        <w:t>i</w:t>
      </w:r>
      <w:r>
        <w:rPr>
          <w:spacing w:val="-1"/>
        </w:rPr>
        <w:t>t</w:t>
      </w:r>
      <w:r>
        <w:t>o</w:t>
      </w:r>
      <w:r>
        <w:rPr>
          <w:spacing w:val="2"/>
        </w:rPr>
        <w:t>r</w:t>
      </w:r>
      <w:r>
        <w:t>ing</w:t>
      </w:r>
      <w:r>
        <w:rPr>
          <w:b/>
          <w:spacing w:val="-5"/>
        </w:rPr>
        <w:t xml:space="preserve"> </w:t>
      </w:r>
      <w:r>
        <w:t>A</w:t>
      </w:r>
      <w:r>
        <w:rPr>
          <w:spacing w:val="1"/>
        </w:rPr>
        <w:t>u</w:t>
      </w:r>
      <w:r>
        <w:rPr>
          <w:spacing w:val="-3"/>
        </w:rPr>
        <w:t>s</w:t>
      </w:r>
      <w:r>
        <w:rPr>
          <w:spacing w:val="1"/>
        </w:rPr>
        <w:t>t</w:t>
      </w:r>
      <w:r>
        <w:t>rali</w:t>
      </w:r>
      <w:r>
        <w:rPr>
          <w:spacing w:val="-1"/>
        </w:rPr>
        <w:t>a</w:t>
      </w:r>
      <w:r>
        <w:t>n</w:t>
      </w:r>
      <w:r>
        <w:rPr>
          <w:spacing w:val="-2"/>
        </w:rPr>
        <w:t xml:space="preserve"> </w:t>
      </w:r>
      <w:r>
        <w:rPr>
          <w:spacing w:val="1"/>
        </w:rPr>
        <w:t>n</w:t>
      </w:r>
      <w:r>
        <w:t>a</w:t>
      </w:r>
      <w:r>
        <w:rPr>
          <w:spacing w:val="-1"/>
        </w:rPr>
        <w:t>t</w:t>
      </w:r>
      <w:r>
        <w:t>io</w:t>
      </w:r>
      <w:r>
        <w:rPr>
          <w:spacing w:val="2"/>
        </w:rPr>
        <w:t>n</w:t>
      </w:r>
      <w:r>
        <w:t>al</w:t>
      </w:r>
      <w:r>
        <w:rPr>
          <w:spacing w:val="-1"/>
        </w:rPr>
        <w:t xml:space="preserve"> </w:t>
      </w:r>
      <w:r>
        <w:rPr>
          <w:spacing w:val="-2"/>
        </w:rPr>
        <w:t>r</w:t>
      </w:r>
      <w:r>
        <w:t>e</w:t>
      </w:r>
      <w:r>
        <w:rPr>
          <w:spacing w:val="2"/>
        </w:rPr>
        <w:t>f</w:t>
      </w:r>
      <w:r>
        <w:rPr>
          <w:spacing w:val="-2"/>
        </w:rPr>
        <w:t>e</w:t>
      </w:r>
      <w:r>
        <w:t>r</w:t>
      </w:r>
      <w:r>
        <w:rPr>
          <w:spacing w:val="1"/>
        </w:rPr>
        <w:t>en</w:t>
      </w:r>
      <w:r>
        <w:rPr>
          <w:spacing w:val="-1"/>
        </w:rPr>
        <w:t>c</w:t>
      </w:r>
      <w:r>
        <w:t>e</w:t>
      </w:r>
      <w:r>
        <w:rPr>
          <w:spacing w:val="-9"/>
        </w:rPr>
        <w:t xml:space="preserve"> </w:t>
      </w:r>
      <w:r>
        <w:t>la</w:t>
      </w:r>
      <w:r>
        <w:rPr>
          <w:spacing w:val="1"/>
        </w:rPr>
        <w:t>b</w:t>
      </w:r>
      <w:r>
        <w:rPr>
          <w:spacing w:val="-2"/>
        </w:rPr>
        <w:t>o</w:t>
      </w:r>
      <w:r>
        <w:t>ra</w:t>
      </w:r>
      <w:r>
        <w:rPr>
          <w:spacing w:val="2"/>
        </w:rPr>
        <w:t>t</w:t>
      </w:r>
      <w:r>
        <w:rPr>
          <w:spacing w:val="-2"/>
        </w:rPr>
        <w:t>or</w:t>
      </w:r>
      <w:r>
        <w:t>ies</w:t>
      </w:r>
      <w:r>
        <w:rPr>
          <w:spacing w:val="-3"/>
        </w:rPr>
        <w:t xml:space="preserve"> </w:t>
      </w:r>
      <w:r>
        <w:rPr>
          <w:spacing w:val="1"/>
        </w:rPr>
        <w:t>for the</w:t>
      </w:r>
      <w:r>
        <w:t xml:space="preserve"> testing of</w:t>
      </w:r>
      <w:r>
        <w:rPr>
          <w:spacing w:val="-3"/>
        </w:rPr>
        <w:t xml:space="preserve"> </w:t>
      </w:r>
      <w:r>
        <w:t>s</w:t>
      </w:r>
      <w:r>
        <w:rPr>
          <w:spacing w:val="1"/>
        </w:rPr>
        <w:t>p</w:t>
      </w:r>
      <w:r>
        <w:t>ec</w:t>
      </w:r>
      <w:r>
        <w:rPr>
          <w:spacing w:val="-2"/>
        </w:rPr>
        <w:t>i</w:t>
      </w:r>
      <w:r>
        <w:rPr>
          <w:spacing w:val="1"/>
        </w:rPr>
        <w:t>f</w:t>
      </w:r>
      <w:r>
        <w:t xml:space="preserve">ic </w:t>
      </w:r>
      <w:r>
        <w:rPr>
          <w:spacing w:val="1"/>
        </w:rPr>
        <w:t>d</w:t>
      </w:r>
      <w:r>
        <w:t>iseas</w:t>
      </w:r>
      <w:r>
        <w:rPr>
          <w:spacing w:val="1"/>
        </w:rPr>
        <w:t>e</w:t>
      </w:r>
      <w:r>
        <w:t>s</w:t>
      </w:r>
      <w:r>
        <w:rPr>
          <w:spacing w:val="-8"/>
        </w:rPr>
        <w:t xml:space="preserve"> </w:t>
      </w:r>
      <w:r>
        <w:rPr>
          <w:spacing w:val="1"/>
        </w:rPr>
        <w:t xml:space="preserve">to </w:t>
      </w:r>
      <w:r>
        <w:rPr>
          <w:spacing w:val="-3"/>
        </w:rPr>
        <w:t>s</w:t>
      </w:r>
      <w:r>
        <w:rPr>
          <w:spacing w:val="1"/>
        </w:rPr>
        <w:t>u</w:t>
      </w:r>
      <w:r>
        <w:rPr>
          <w:spacing w:val="-1"/>
        </w:rPr>
        <w:t>p</w:t>
      </w:r>
      <w:r>
        <w:rPr>
          <w:spacing w:val="1"/>
        </w:rPr>
        <w:t>p</w:t>
      </w:r>
      <w:r>
        <w:t>o</w:t>
      </w:r>
      <w:r>
        <w:rPr>
          <w:spacing w:val="1"/>
        </w:rPr>
        <w:t>r</w:t>
      </w:r>
      <w:r>
        <w:t>t</w:t>
      </w:r>
      <w:r>
        <w:rPr>
          <w:spacing w:val="-3"/>
        </w:rPr>
        <w:t xml:space="preserve"> </w:t>
      </w:r>
      <w:r>
        <w:rPr>
          <w:spacing w:val="1"/>
        </w:rPr>
        <w:t>n</w:t>
      </w:r>
      <w:r>
        <w:rPr>
          <w:spacing w:val="-2"/>
        </w:rPr>
        <w:t>a</w:t>
      </w:r>
      <w:r>
        <w:rPr>
          <w:spacing w:val="1"/>
        </w:rPr>
        <w:t>t</w:t>
      </w:r>
      <w:r>
        <w:t>i</w:t>
      </w:r>
      <w:r>
        <w:rPr>
          <w:spacing w:val="-2"/>
        </w:rPr>
        <w:t>o</w:t>
      </w:r>
      <w:r>
        <w:rPr>
          <w:spacing w:val="1"/>
        </w:rPr>
        <w:t>n</w:t>
      </w:r>
      <w:r>
        <w:t>al</w:t>
      </w:r>
      <w:r>
        <w:rPr>
          <w:spacing w:val="-2"/>
        </w:rPr>
        <w:t xml:space="preserve"> </w:t>
      </w:r>
      <w:r>
        <w:rPr>
          <w:spacing w:val="1"/>
        </w:rPr>
        <w:t>d</w:t>
      </w:r>
      <w:r>
        <w:t>isease</w:t>
      </w:r>
      <w:r>
        <w:rPr>
          <w:spacing w:val="-2"/>
        </w:rPr>
        <w:t xml:space="preserve"> </w:t>
      </w:r>
      <w:r>
        <w:rPr>
          <w:spacing w:val="-1"/>
        </w:rPr>
        <w:t>c</w:t>
      </w:r>
      <w:r>
        <w:rPr>
          <w:spacing w:val="-2"/>
        </w:rPr>
        <w:t>o</w:t>
      </w:r>
      <w:r>
        <w:rPr>
          <w:spacing w:val="-1"/>
        </w:rPr>
        <w:t>n</w:t>
      </w:r>
      <w:r>
        <w:rPr>
          <w:spacing w:val="1"/>
        </w:rPr>
        <w:t>t</w:t>
      </w:r>
      <w:r>
        <w:t>r</w:t>
      </w:r>
      <w:r>
        <w:rPr>
          <w:spacing w:val="1"/>
        </w:rPr>
        <w:t>o</w:t>
      </w:r>
      <w:r>
        <w:t>l</w:t>
      </w:r>
      <w:r>
        <w:rPr>
          <w:spacing w:val="-3"/>
        </w:rPr>
        <w:t xml:space="preserve"> </w:t>
      </w:r>
      <w:r>
        <w:rPr>
          <w:spacing w:val="-2"/>
        </w:rPr>
        <w:t>a</w:t>
      </w:r>
      <w:r>
        <w:rPr>
          <w:spacing w:val="1"/>
        </w:rPr>
        <w:t>n</w:t>
      </w:r>
      <w:r>
        <w:t>d</w:t>
      </w:r>
      <w:r>
        <w:rPr>
          <w:spacing w:val="1"/>
        </w:rPr>
        <w:t xml:space="preserve"> </w:t>
      </w:r>
      <w:r>
        <w:t>ma</w:t>
      </w:r>
      <w:r>
        <w:rPr>
          <w:spacing w:val="1"/>
        </w:rPr>
        <w:t>n</w:t>
      </w:r>
      <w:r>
        <w:t>a</w:t>
      </w:r>
      <w:r>
        <w:rPr>
          <w:spacing w:val="-2"/>
        </w:rPr>
        <w:t>g</w:t>
      </w:r>
      <w:r>
        <w:t>em</w:t>
      </w:r>
      <w:r>
        <w:rPr>
          <w:spacing w:val="1"/>
        </w:rPr>
        <w:t>e</w:t>
      </w:r>
      <w:r>
        <w:rPr>
          <w:spacing w:val="-1"/>
        </w:rPr>
        <w:t>n</w:t>
      </w:r>
      <w:r>
        <w:t>t</w:t>
      </w:r>
      <w:r>
        <w:rPr>
          <w:spacing w:val="-7"/>
        </w:rPr>
        <w:t xml:space="preserve"> </w:t>
      </w:r>
      <w:r>
        <w:rPr>
          <w:spacing w:val="1"/>
        </w:rPr>
        <w:t>p</w:t>
      </w:r>
      <w:r>
        <w:rPr>
          <w:spacing w:val="-2"/>
        </w:rPr>
        <w:t>r</w:t>
      </w:r>
      <w:r>
        <w:t>og</w:t>
      </w:r>
      <w:r>
        <w:rPr>
          <w:spacing w:val="1"/>
        </w:rPr>
        <w:t>r</w:t>
      </w:r>
      <w:r>
        <w:t>ams.</w:t>
      </w:r>
    </w:p>
    <w:p w14:paraId="6D4144F2" w14:textId="77777777" w:rsidR="00CC703E" w:rsidRDefault="00E37FDB" w:rsidP="007E7627">
      <w:pPr>
        <w:pStyle w:val="ListBullet"/>
      </w:pPr>
      <w:r>
        <w:t>Pr</w:t>
      </w:r>
      <w:r>
        <w:rPr>
          <w:spacing w:val="1"/>
        </w:rPr>
        <w:t>o</w:t>
      </w:r>
      <w:r>
        <w:t>m</w:t>
      </w:r>
      <w:r>
        <w:rPr>
          <w:spacing w:val="1"/>
        </w:rPr>
        <w:t>o</w:t>
      </w:r>
      <w:r>
        <w:rPr>
          <w:spacing w:val="-1"/>
        </w:rPr>
        <w:t>t</w:t>
      </w:r>
      <w:r>
        <w:rPr>
          <w:spacing w:val="2"/>
        </w:rPr>
        <w:t>ing</w:t>
      </w:r>
      <w:r>
        <w:rPr>
          <w:spacing w:val="-2"/>
        </w:rPr>
        <w:t xml:space="preserve"> l</w:t>
      </w:r>
      <w:r>
        <w:t>a</w:t>
      </w:r>
      <w:r>
        <w:rPr>
          <w:spacing w:val="1"/>
        </w:rPr>
        <w:t>b</w:t>
      </w:r>
      <w:r>
        <w:t>o</w:t>
      </w:r>
      <w:r>
        <w:rPr>
          <w:spacing w:val="1"/>
        </w:rPr>
        <w:t>r</w:t>
      </w:r>
      <w:r>
        <w:rPr>
          <w:spacing w:val="-2"/>
        </w:rPr>
        <w:t>a</w:t>
      </w:r>
      <w:r>
        <w:rPr>
          <w:spacing w:val="1"/>
        </w:rPr>
        <w:t>t</w:t>
      </w:r>
      <w:r>
        <w:t>o</w:t>
      </w:r>
      <w:r>
        <w:rPr>
          <w:spacing w:val="1"/>
        </w:rPr>
        <w:t>r</w:t>
      </w:r>
      <w:r>
        <w:t>y</w:t>
      </w:r>
      <w:r>
        <w:rPr>
          <w:spacing w:val="-7"/>
        </w:rPr>
        <w:t xml:space="preserve"> </w:t>
      </w:r>
      <w:r>
        <w:rPr>
          <w:spacing w:val="1"/>
        </w:rPr>
        <w:t>b</w:t>
      </w:r>
      <w:r>
        <w:t>io</w:t>
      </w:r>
      <w:r>
        <w:rPr>
          <w:spacing w:val="-2"/>
        </w:rPr>
        <w:t>s</w:t>
      </w:r>
      <w:r>
        <w:t>a</w:t>
      </w:r>
      <w:r>
        <w:rPr>
          <w:spacing w:val="1"/>
        </w:rPr>
        <w:t>f</w:t>
      </w:r>
      <w:r>
        <w:t>e</w:t>
      </w:r>
      <w:r>
        <w:rPr>
          <w:spacing w:val="2"/>
        </w:rPr>
        <w:t>t</w:t>
      </w:r>
      <w:r>
        <w:t>y</w:t>
      </w:r>
      <w:r>
        <w:rPr>
          <w:spacing w:val="-5"/>
        </w:rPr>
        <w:t xml:space="preserve"> </w:t>
      </w:r>
      <w:r>
        <w:t>a</w:t>
      </w:r>
      <w:r>
        <w:rPr>
          <w:spacing w:val="1"/>
        </w:rPr>
        <w:t>n</w:t>
      </w:r>
      <w:r>
        <w:t>d</w:t>
      </w:r>
      <w:r>
        <w:rPr>
          <w:spacing w:val="-1"/>
        </w:rPr>
        <w:t xml:space="preserve"> </w:t>
      </w:r>
      <w:r>
        <w:rPr>
          <w:spacing w:val="1"/>
        </w:rPr>
        <w:t>b</w:t>
      </w:r>
      <w:r>
        <w:rPr>
          <w:spacing w:val="-2"/>
        </w:rPr>
        <w:t>i</w:t>
      </w:r>
      <w:r>
        <w:t>os</w:t>
      </w:r>
      <w:r>
        <w:rPr>
          <w:spacing w:val="1"/>
        </w:rPr>
        <w:t>e</w:t>
      </w:r>
      <w:r>
        <w:rPr>
          <w:spacing w:val="-1"/>
        </w:rPr>
        <w:t>c</w:t>
      </w:r>
      <w:r>
        <w:rPr>
          <w:spacing w:val="1"/>
        </w:rPr>
        <w:t>u</w:t>
      </w:r>
      <w:r>
        <w:t>r</w:t>
      </w:r>
      <w:r>
        <w:rPr>
          <w:spacing w:val="-2"/>
        </w:rPr>
        <w:t>i</w:t>
      </w:r>
      <w:r>
        <w:rPr>
          <w:spacing w:val="1"/>
        </w:rPr>
        <w:t>t</w:t>
      </w:r>
      <w:r>
        <w:t>y m</w:t>
      </w:r>
      <w:r>
        <w:rPr>
          <w:spacing w:val="-2"/>
        </w:rPr>
        <w:t>a</w:t>
      </w:r>
      <w:r>
        <w:rPr>
          <w:spacing w:val="1"/>
        </w:rPr>
        <w:t>tt</w:t>
      </w:r>
      <w:r>
        <w:t>e</w:t>
      </w:r>
      <w:r>
        <w:rPr>
          <w:spacing w:val="1"/>
        </w:rPr>
        <w:t>r</w:t>
      </w:r>
      <w:r>
        <w:t>s</w:t>
      </w:r>
      <w:r>
        <w:rPr>
          <w:spacing w:val="-8"/>
        </w:rPr>
        <w:t xml:space="preserve"> </w:t>
      </w:r>
      <w:r>
        <w:t>associa</w:t>
      </w:r>
      <w:r>
        <w:rPr>
          <w:spacing w:val="1"/>
        </w:rPr>
        <w:t>t</w:t>
      </w:r>
      <w:r>
        <w:rPr>
          <w:spacing w:val="-2"/>
        </w:rPr>
        <w:t>e</w:t>
      </w:r>
      <w:r>
        <w:t xml:space="preserve">d </w:t>
      </w:r>
      <w:r>
        <w:rPr>
          <w:spacing w:val="-1"/>
        </w:rPr>
        <w:t>w</w:t>
      </w:r>
      <w:r>
        <w:t>i</w:t>
      </w:r>
      <w:r>
        <w:rPr>
          <w:spacing w:val="1"/>
        </w:rPr>
        <w:t>t</w:t>
      </w:r>
      <w:r>
        <w:t xml:space="preserve">h </w:t>
      </w:r>
      <w:r>
        <w:rPr>
          <w:spacing w:val="-1"/>
        </w:rPr>
        <w:t>t</w:t>
      </w:r>
      <w:r>
        <w:rPr>
          <w:spacing w:val="1"/>
        </w:rPr>
        <w:t>h</w:t>
      </w:r>
      <w:r>
        <w:t>e</w:t>
      </w:r>
      <w:r>
        <w:rPr>
          <w:spacing w:val="-3"/>
        </w:rPr>
        <w:t xml:space="preserve"> </w:t>
      </w:r>
      <w:r>
        <w:rPr>
          <w:spacing w:val="1"/>
        </w:rPr>
        <w:t>h</w:t>
      </w:r>
      <w:r>
        <w:t>o</w:t>
      </w:r>
      <w:r>
        <w:rPr>
          <w:spacing w:val="-2"/>
        </w:rPr>
        <w:t>l</w:t>
      </w:r>
      <w:r>
        <w:rPr>
          <w:spacing w:val="1"/>
        </w:rPr>
        <w:t>d</w:t>
      </w:r>
      <w:r>
        <w:t>i</w:t>
      </w:r>
      <w:r>
        <w:rPr>
          <w:spacing w:val="1"/>
        </w:rPr>
        <w:t>n</w:t>
      </w:r>
      <w:r>
        <w:t>g</w:t>
      </w:r>
      <w:r>
        <w:rPr>
          <w:spacing w:val="-2"/>
        </w:rPr>
        <w:t xml:space="preserve"> </w:t>
      </w:r>
      <w:r>
        <w:t>a</w:t>
      </w:r>
      <w:r>
        <w:rPr>
          <w:spacing w:val="-1"/>
        </w:rPr>
        <w:t>n</w:t>
      </w:r>
      <w:r>
        <w:t>d</w:t>
      </w:r>
      <w:r>
        <w:rPr>
          <w:spacing w:val="2"/>
        </w:rPr>
        <w:t xml:space="preserve"> </w:t>
      </w:r>
      <w:r>
        <w:rPr>
          <w:spacing w:val="-1"/>
        </w:rPr>
        <w:t>t</w:t>
      </w:r>
      <w:r>
        <w:t>es</w:t>
      </w:r>
      <w:r>
        <w:rPr>
          <w:spacing w:val="-1"/>
        </w:rPr>
        <w:t>t</w:t>
      </w:r>
      <w:r>
        <w:t>i</w:t>
      </w:r>
      <w:r>
        <w:rPr>
          <w:spacing w:val="1"/>
        </w:rPr>
        <w:t>n</w:t>
      </w:r>
      <w:r>
        <w:t>g</w:t>
      </w:r>
      <w:r>
        <w:rPr>
          <w:spacing w:val="-4"/>
        </w:rPr>
        <w:t xml:space="preserve"> </w:t>
      </w:r>
      <w:r>
        <w:rPr>
          <w:spacing w:val="-2"/>
        </w:rPr>
        <w:t>o</w:t>
      </w:r>
      <w:r>
        <w:t>f</w:t>
      </w:r>
      <w:r>
        <w:rPr>
          <w:spacing w:val="2"/>
        </w:rPr>
        <w:t xml:space="preserve"> </w:t>
      </w:r>
      <w:r>
        <w:t>s</w:t>
      </w:r>
      <w:r>
        <w:rPr>
          <w:spacing w:val="-2"/>
        </w:rPr>
        <w:t>p</w:t>
      </w:r>
      <w:r>
        <w:t>ecime</w:t>
      </w:r>
      <w:r>
        <w:rPr>
          <w:spacing w:val="2"/>
        </w:rPr>
        <w:t>n</w:t>
      </w:r>
      <w:r>
        <w:t>s</w:t>
      </w:r>
      <w:r>
        <w:rPr>
          <w:spacing w:val="-4"/>
        </w:rPr>
        <w:t xml:space="preserve"> </w:t>
      </w:r>
      <w:r>
        <w:rPr>
          <w:spacing w:val="-2"/>
        </w:rPr>
        <w:t>a</w:t>
      </w:r>
      <w:r>
        <w:rPr>
          <w:spacing w:val="1"/>
        </w:rPr>
        <w:t>n</w:t>
      </w:r>
      <w:r>
        <w:t>d</w:t>
      </w:r>
      <w:r>
        <w:rPr>
          <w:spacing w:val="-1"/>
        </w:rPr>
        <w:t xml:space="preserve"> </w:t>
      </w:r>
      <w:r>
        <w:t>m</w:t>
      </w:r>
      <w:r>
        <w:rPr>
          <w:spacing w:val="-2"/>
        </w:rPr>
        <w:t>a</w:t>
      </w:r>
      <w:r>
        <w:rPr>
          <w:spacing w:val="1"/>
        </w:rPr>
        <w:t>t</w:t>
      </w:r>
      <w:r>
        <w:t>e</w:t>
      </w:r>
      <w:r>
        <w:rPr>
          <w:spacing w:val="1"/>
        </w:rPr>
        <w:t>r</w:t>
      </w:r>
      <w:r>
        <w:t>ials</w:t>
      </w:r>
      <w:r>
        <w:rPr>
          <w:spacing w:val="-4"/>
        </w:rPr>
        <w:t xml:space="preserve"> </w:t>
      </w:r>
      <w:r>
        <w:rPr>
          <w:spacing w:val="-1"/>
        </w:rPr>
        <w:t>c</w:t>
      </w:r>
      <w:r>
        <w:rPr>
          <w:spacing w:val="-2"/>
        </w:rPr>
        <w:t>o</w:t>
      </w:r>
      <w:r>
        <w:rPr>
          <w:spacing w:val="1"/>
        </w:rPr>
        <w:t>nt</w:t>
      </w:r>
      <w:r>
        <w:t>a</w:t>
      </w:r>
      <w:r>
        <w:rPr>
          <w:spacing w:val="-2"/>
        </w:rPr>
        <w:t>i</w:t>
      </w:r>
      <w:r>
        <w:rPr>
          <w:spacing w:val="1"/>
        </w:rPr>
        <w:t>n</w:t>
      </w:r>
      <w:r>
        <w:t>i</w:t>
      </w:r>
      <w:r>
        <w:rPr>
          <w:spacing w:val="1"/>
        </w:rPr>
        <w:t>n</w:t>
      </w:r>
      <w:r>
        <w:t>g</w:t>
      </w:r>
      <w:r>
        <w:rPr>
          <w:spacing w:val="-3"/>
        </w:rPr>
        <w:t xml:space="preserve"> </w:t>
      </w:r>
      <w:r>
        <w:t>a</w:t>
      </w:r>
      <w:r>
        <w:rPr>
          <w:spacing w:val="1"/>
        </w:rPr>
        <w:t>n</w:t>
      </w:r>
      <w:r>
        <w:t>i</w:t>
      </w:r>
      <w:r>
        <w:rPr>
          <w:spacing w:val="-2"/>
        </w:rPr>
        <w:t>m</w:t>
      </w:r>
      <w:r>
        <w:t>al</w:t>
      </w:r>
      <w:r>
        <w:rPr>
          <w:spacing w:val="-1"/>
        </w:rPr>
        <w:t xml:space="preserve"> </w:t>
      </w:r>
      <w:r>
        <w:t>a</w:t>
      </w:r>
      <w:r>
        <w:rPr>
          <w:spacing w:val="1"/>
        </w:rPr>
        <w:t>n</w:t>
      </w:r>
      <w:r>
        <w:t xml:space="preserve">d </w:t>
      </w:r>
      <w:r>
        <w:rPr>
          <w:spacing w:val="1"/>
        </w:rPr>
        <w:t>z</w:t>
      </w:r>
      <w:r>
        <w:t>o</w:t>
      </w:r>
      <w:r>
        <w:rPr>
          <w:spacing w:val="-1"/>
        </w:rPr>
        <w:t>o</w:t>
      </w:r>
      <w:r>
        <w:rPr>
          <w:spacing w:val="1"/>
        </w:rPr>
        <w:t>n</w:t>
      </w:r>
      <w:r>
        <w:rPr>
          <w:spacing w:val="-2"/>
        </w:rPr>
        <w:t>o</w:t>
      </w:r>
      <w:r>
        <w:rPr>
          <w:spacing w:val="1"/>
        </w:rPr>
        <w:t>t</w:t>
      </w:r>
      <w:r>
        <w:t xml:space="preserve">ic </w:t>
      </w:r>
      <w:r>
        <w:rPr>
          <w:spacing w:val="1"/>
        </w:rPr>
        <w:t>d</w:t>
      </w:r>
      <w:r>
        <w:t>isease</w:t>
      </w:r>
      <w:r>
        <w:rPr>
          <w:spacing w:val="-4"/>
        </w:rPr>
        <w:t xml:space="preserve"> </w:t>
      </w:r>
      <w:r>
        <w:t>a</w:t>
      </w:r>
      <w:r>
        <w:rPr>
          <w:spacing w:val="-2"/>
        </w:rPr>
        <w:t>g</w:t>
      </w:r>
      <w:r>
        <w:t>e</w:t>
      </w:r>
      <w:r>
        <w:rPr>
          <w:spacing w:val="1"/>
        </w:rPr>
        <w:t>nt</w:t>
      </w:r>
      <w:r>
        <w:t>s.</w:t>
      </w:r>
    </w:p>
    <w:p w14:paraId="7BFEDF89" w14:textId="77777777" w:rsidR="00CC703E" w:rsidRDefault="00E37FDB" w:rsidP="007E7627">
      <w:pPr>
        <w:pStyle w:val="ListBullet"/>
      </w:pPr>
      <w:r>
        <w:t>Foster</w:t>
      </w:r>
      <w:r>
        <w:rPr>
          <w:spacing w:val="-1"/>
        </w:rPr>
        <w:t>ing</w:t>
      </w:r>
      <w:r>
        <w:rPr>
          <w:spacing w:val="-5"/>
        </w:rPr>
        <w:t xml:space="preserve"> </w:t>
      </w:r>
      <w:r>
        <w:rPr>
          <w:spacing w:val="1"/>
        </w:rPr>
        <w:t>n</w:t>
      </w:r>
      <w:r>
        <w:rPr>
          <w:spacing w:val="-2"/>
        </w:rPr>
        <w:t>a</w:t>
      </w:r>
      <w:r>
        <w:rPr>
          <w:spacing w:val="1"/>
        </w:rPr>
        <w:t>ti</w:t>
      </w:r>
      <w:r>
        <w:t>o</w:t>
      </w:r>
      <w:r>
        <w:rPr>
          <w:spacing w:val="2"/>
        </w:rPr>
        <w:t>n</w:t>
      </w:r>
      <w:r>
        <w:t>al</w:t>
      </w:r>
      <w:r>
        <w:rPr>
          <w:spacing w:val="-2"/>
        </w:rPr>
        <w:t xml:space="preserve"> </w:t>
      </w:r>
      <w:r>
        <w:t>la</w:t>
      </w:r>
      <w:r>
        <w:rPr>
          <w:spacing w:val="-1"/>
        </w:rPr>
        <w:t>b</w:t>
      </w:r>
      <w:r>
        <w:t>o</w:t>
      </w:r>
      <w:r>
        <w:rPr>
          <w:spacing w:val="-1"/>
        </w:rPr>
        <w:t>r</w:t>
      </w:r>
      <w:r>
        <w:t>a</w:t>
      </w:r>
      <w:r>
        <w:rPr>
          <w:spacing w:val="1"/>
        </w:rPr>
        <w:t>t</w:t>
      </w:r>
      <w:r>
        <w:t>o</w:t>
      </w:r>
      <w:r>
        <w:rPr>
          <w:spacing w:val="1"/>
        </w:rPr>
        <w:t>r</w:t>
      </w:r>
      <w:r>
        <w:t>y</w:t>
      </w:r>
      <w:r>
        <w:rPr>
          <w:spacing w:val="-5"/>
        </w:rPr>
        <w:t xml:space="preserve"> </w:t>
      </w:r>
      <w:r>
        <w:rPr>
          <w:spacing w:val="-1"/>
        </w:rPr>
        <w:t>c</w:t>
      </w:r>
      <w:r>
        <w:t>a</w:t>
      </w:r>
      <w:r>
        <w:rPr>
          <w:spacing w:val="1"/>
        </w:rPr>
        <w:t>p</w:t>
      </w:r>
      <w:r>
        <w:rPr>
          <w:spacing w:val="-2"/>
        </w:rPr>
        <w:t>a</w:t>
      </w:r>
      <w:r>
        <w:rPr>
          <w:spacing w:val="1"/>
        </w:rPr>
        <w:t>b</w:t>
      </w:r>
      <w:r>
        <w:t>il</w:t>
      </w:r>
      <w:r>
        <w:rPr>
          <w:spacing w:val="-2"/>
        </w:rPr>
        <w:t>i</w:t>
      </w:r>
      <w:r>
        <w:rPr>
          <w:spacing w:val="1"/>
        </w:rPr>
        <w:t>t</w:t>
      </w:r>
      <w:r>
        <w:t>y</w:t>
      </w:r>
      <w:r>
        <w:rPr>
          <w:spacing w:val="-3"/>
        </w:rPr>
        <w:t xml:space="preserve"> </w:t>
      </w:r>
      <w:r>
        <w:t>a</w:t>
      </w:r>
      <w:r>
        <w:rPr>
          <w:spacing w:val="-1"/>
        </w:rPr>
        <w:t>n</w:t>
      </w:r>
      <w:r>
        <w:t>d</w:t>
      </w:r>
      <w:r>
        <w:rPr>
          <w:spacing w:val="-1"/>
        </w:rPr>
        <w:t xml:space="preserve"> </w:t>
      </w:r>
      <w:r>
        <w:rPr>
          <w:spacing w:val="1"/>
        </w:rPr>
        <w:t>p</w:t>
      </w:r>
      <w:r>
        <w:t>e</w:t>
      </w:r>
      <w:r>
        <w:rPr>
          <w:spacing w:val="1"/>
        </w:rPr>
        <w:t>r</w:t>
      </w:r>
      <w:r>
        <w:rPr>
          <w:spacing w:val="-1"/>
        </w:rPr>
        <w:t>f</w:t>
      </w:r>
      <w:r>
        <w:t>o</w:t>
      </w:r>
      <w:r>
        <w:rPr>
          <w:spacing w:val="1"/>
        </w:rPr>
        <w:t>r</w:t>
      </w:r>
      <w:r>
        <w:t>ma</w:t>
      </w:r>
      <w:r>
        <w:rPr>
          <w:spacing w:val="1"/>
        </w:rPr>
        <w:t>n</w:t>
      </w:r>
      <w:r>
        <w:rPr>
          <w:spacing w:val="-1"/>
        </w:rPr>
        <w:t>c</w:t>
      </w:r>
      <w:r>
        <w:t>e</w:t>
      </w:r>
      <w:r>
        <w:rPr>
          <w:spacing w:val="-2"/>
        </w:rPr>
        <w:t xml:space="preserve"> </w:t>
      </w:r>
      <w:r>
        <w:rPr>
          <w:spacing w:val="-3"/>
        </w:rPr>
        <w:t>s</w:t>
      </w:r>
      <w:r>
        <w:rPr>
          <w:spacing w:val="1"/>
        </w:rPr>
        <w:t>t</w:t>
      </w:r>
      <w:r>
        <w:t>a</w:t>
      </w:r>
      <w:r>
        <w:rPr>
          <w:spacing w:val="-1"/>
        </w:rPr>
        <w:t>n</w:t>
      </w:r>
      <w:r>
        <w:rPr>
          <w:spacing w:val="1"/>
        </w:rPr>
        <w:t>d</w:t>
      </w:r>
      <w:r>
        <w:t>ar</w:t>
      </w:r>
      <w:r>
        <w:rPr>
          <w:spacing w:val="1"/>
        </w:rPr>
        <w:t>d</w:t>
      </w:r>
      <w:r>
        <w:t xml:space="preserve">s </w:t>
      </w:r>
      <w:r>
        <w:rPr>
          <w:spacing w:val="1"/>
        </w:rPr>
        <w:t>th</w:t>
      </w:r>
      <w:r>
        <w:t>r</w:t>
      </w:r>
      <w:r>
        <w:rPr>
          <w:spacing w:val="-1"/>
        </w:rPr>
        <w:t>o</w:t>
      </w:r>
      <w:r>
        <w:rPr>
          <w:spacing w:val="1"/>
        </w:rPr>
        <w:t>u</w:t>
      </w:r>
      <w:r>
        <w:t>gh</w:t>
      </w:r>
      <w:r>
        <w:rPr>
          <w:spacing w:val="-4"/>
        </w:rPr>
        <w:t xml:space="preserve"> </w:t>
      </w:r>
      <w:r>
        <w:t>a</w:t>
      </w:r>
      <w:r>
        <w:rPr>
          <w:spacing w:val="-1"/>
        </w:rPr>
        <w:t>p</w:t>
      </w:r>
      <w:r>
        <w:rPr>
          <w:spacing w:val="1"/>
        </w:rPr>
        <w:t>p</w:t>
      </w:r>
      <w:r>
        <w:t>r</w:t>
      </w:r>
      <w:r>
        <w:rPr>
          <w:spacing w:val="-1"/>
        </w:rPr>
        <w:t>o</w:t>
      </w:r>
      <w:r>
        <w:rPr>
          <w:spacing w:val="1"/>
        </w:rPr>
        <w:t>p</w:t>
      </w:r>
      <w:r>
        <w:t>ria</w:t>
      </w:r>
      <w:r>
        <w:rPr>
          <w:spacing w:val="2"/>
        </w:rPr>
        <w:t>t</w:t>
      </w:r>
      <w:r>
        <w:t>e</w:t>
      </w:r>
      <w:r>
        <w:rPr>
          <w:spacing w:val="-3"/>
        </w:rPr>
        <w:t xml:space="preserve"> </w:t>
      </w:r>
      <w:r>
        <w:rPr>
          <w:spacing w:val="-1"/>
        </w:rPr>
        <w:t>t</w:t>
      </w:r>
      <w:r>
        <w:t>rai</w:t>
      </w:r>
      <w:r>
        <w:rPr>
          <w:spacing w:val="2"/>
        </w:rPr>
        <w:t>n</w:t>
      </w:r>
      <w:r>
        <w:rPr>
          <w:spacing w:val="-2"/>
        </w:rPr>
        <w:t>i</w:t>
      </w:r>
      <w:r>
        <w:rPr>
          <w:spacing w:val="1"/>
        </w:rPr>
        <w:t>n</w:t>
      </w:r>
      <w:r>
        <w:t>g</w:t>
      </w:r>
      <w:r>
        <w:rPr>
          <w:spacing w:val="-1"/>
        </w:rPr>
        <w:t xml:space="preserve"> p</w:t>
      </w:r>
      <w:r>
        <w:t>r</w:t>
      </w:r>
      <w:r>
        <w:rPr>
          <w:spacing w:val="1"/>
        </w:rPr>
        <w:t>o</w:t>
      </w:r>
      <w:r>
        <w:t>grams</w:t>
      </w:r>
      <w:r>
        <w:rPr>
          <w:spacing w:val="-8"/>
        </w:rPr>
        <w:t xml:space="preserve"> </w:t>
      </w:r>
      <w:r>
        <w:t>a</w:t>
      </w:r>
      <w:r>
        <w:rPr>
          <w:spacing w:val="1"/>
        </w:rPr>
        <w:t>n</w:t>
      </w:r>
      <w:r>
        <w:t>d</w:t>
      </w:r>
      <w:r>
        <w:rPr>
          <w:spacing w:val="-1"/>
        </w:rPr>
        <w:t xml:space="preserve"> </w:t>
      </w:r>
      <w:r>
        <w:t>opp</w:t>
      </w:r>
      <w:r>
        <w:rPr>
          <w:spacing w:val="1"/>
        </w:rPr>
        <w:t>o</w:t>
      </w:r>
      <w:r>
        <w:t>r</w:t>
      </w:r>
      <w:r>
        <w:rPr>
          <w:spacing w:val="-1"/>
        </w:rPr>
        <w:t>t</w:t>
      </w:r>
      <w:r>
        <w:rPr>
          <w:spacing w:val="1"/>
        </w:rPr>
        <w:t>un</w:t>
      </w:r>
      <w:r>
        <w:rPr>
          <w:spacing w:val="-2"/>
        </w:rPr>
        <w:t>i</w:t>
      </w:r>
      <w:r>
        <w:rPr>
          <w:spacing w:val="1"/>
        </w:rPr>
        <w:t>t</w:t>
      </w:r>
      <w:r>
        <w:t>ies</w:t>
      </w:r>
      <w:r>
        <w:rPr>
          <w:spacing w:val="-1"/>
        </w:rPr>
        <w:t xml:space="preserve"> </w:t>
      </w:r>
      <w:r>
        <w:rPr>
          <w:spacing w:val="1"/>
        </w:rPr>
        <w:t>f</w:t>
      </w:r>
      <w:r>
        <w:t>or</w:t>
      </w:r>
      <w:r>
        <w:rPr>
          <w:spacing w:val="-3"/>
        </w:rPr>
        <w:t xml:space="preserve"> developing </w:t>
      </w:r>
      <w:r>
        <w:t>r</w:t>
      </w:r>
      <w:r>
        <w:rPr>
          <w:spacing w:val="1"/>
        </w:rPr>
        <w:t>e</w:t>
      </w:r>
      <w:r>
        <w:rPr>
          <w:spacing w:val="-2"/>
        </w:rPr>
        <w:t>l</w:t>
      </w:r>
      <w:r>
        <w:t>eva</w:t>
      </w:r>
      <w:r>
        <w:rPr>
          <w:spacing w:val="1"/>
        </w:rPr>
        <w:t>n</w:t>
      </w:r>
      <w:r>
        <w:t>t</w:t>
      </w:r>
      <w:r>
        <w:rPr>
          <w:spacing w:val="-7"/>
        </w:rPr>
        <w:t xml:space="preserve"> </w:t>
      </w:r>
      <w:r>
        <w:rPr>
          <w:spacing w:val="1"/>
        </w:rPr>
        <w:t>p</w:t>
      </w:r>
      <w:r>
        <w:t>r</w:t>
      </w:r>
      <w:r>
        <w:rPr>
          <w:spacing w:val="-1"/>
        </w:rPr>
        <w:t>o</w:t>
      </w:r>
      <w:r>
        <w:rPr>
          <w:spacing w:val="1"/>
        </w:rPr>
        <w:t>f</w:t>
      </w:r>
      <w:r>
        <w:t>essi</w:t>
      </w:r>
      <w:r>
        <w:rPr>
          <w:spacing w:val="-2"/>
        </w:rPr>
        <w:t>o</w:t>
      </w:r>
      <w:r>
        <w:rPr>
          <w:spacing w:val="1"/>
        </w:rPr>
        <w:t>n</w:t>
      </w:r>
      <w:r>
        <w:t>al s</w:t>
      </w:r>
      <w:r>
        <w:rPr>
          <w:spacing w:val="-1"/>
        </w:rPr>
        <w:t>k</w:t>
      </w:r>
      <w:r>
        <w:t>ills.</w:t>
      </w:r>
    </w:p>
    <w:p w14:paraId="7BD29310" w14:textId="77777777" w:rsidR="00CC703E" w:rsidRDefault="00E37FDB" w:rsidP="007E7627">
      <w:pPr>
        <w:pStyle w:val="ListBullet"/>
      </w:pPr>
      <w:r>
        <w:rPr>
          <w:spacing w:val="1"/>
        </w:rPr>
        <w:t>Sup</w:t>
      </w:r>
      <w:r>
        <w:rPr>
          <w:spacing w:val="-1"/>
        </w:rPr>
        <w:t>p</w:t>
      </w:r>
      <w:r>
        <w:t>o</w:t>
      </w:r>
      <w:r>
        <w:rPr>
          <w:spacing w:val="1"/>
        </w:rPr>
        <w:t>r</w:t>
      </w:r>
      <w:r>
        <w:rPr>
          <w:spacing w:val="2"/>
        </w:rPr>
        <w:t>ting</w:t>
      </w:r>
      <w:r>
        <w:rPr>
          <w:spacing w:val="-5"/>
        </w:rPr>
        <w:t xml:space="preserve"> </w:t>
      </w:r>
      <w:r>
        <w:rPr>
          <w:spacing w:val="1"/>
        </w:rPr>
        <w:t>t</w:t>
      </w:r>
      <w:r>
        <w:rPr>
          <w:spacing w:val="-1"/>
        </w:rPr>
        <w:t>h</w:t>
      </w:r>
      <w:r>
        <w:t>e r</w:t>
      </w:r>
      <w:r>
        <w:rPr>
          <w:spacing w:val="1"/>
        </w:rPr>
        <w:t>o</w:t>
      </w:r>
      <w:r>
        <w:t>le</w:t>
      </w:r>
      <w:r>
        <w:rPr>
          <w:spacing w:val="-1"/>
        </w:rPr>
        <w:t xml:space="preserve"> </w:t>
      </w:r>
      <w:r>
        <w:rPr>
          <w:spacing w:val="-2"/>
        </w:rPr>
        <w:t>a</w:t>
      </w:r>
      <w:r>
        <w:rPr>
          <w:spacing w:val="1"/>
        </w:rPr>
        <w:t>n</w:t>
      </w:r>
      <w:r>
        <w:t>d</w:t>
      </w:r>
      <w:r>
        <w:rPr>
          <w:spacing w:val="-1"/>
        </w:rPr>
        <w:t xml:space="preserve"> </w:t>
      </w:r>
      <w:r>
        <w:rPr>
          <w:spacing w:val="1"/>
        </w:rPr>
        <w:t>f</w:t>
      </w:r>
      <w:r>
        <w:rPr>
          <w:spacing w:val="-1"/>
        </w:rPr>
        <w:t>u</w:t>
      </w:r>
      <w:r>
        <w:rPr>
          <w:spacing w:val="1"/>
        </w:rPr>
        <w:t>n</w:t>
      </w:r>
      <w:r>
        <w:rPr>
          <w:spacing w:val="-1"/>
        </w:rPr>
        <w:t>c</w:t>
      </w:r>
      <w:r>
        <w:rPr>
          <w:spacing w:val="1"/>
        </w:rPr>
        <w:t>t</w:t>
      </w:r>
      <w:r>
        <w:t>i</w:t>
      </w:r>
      <w:r>
        <w:rPr>
          <w:spacing w:val="-2"/>
        </w:rPr>
        <w:t>o</w:t>
      </w:r>
      <w:r>
        <w:rPr>
          <w:spacing w:val="1"/>
        </w:rPr>
        <w:t>n</w:t>
      </w:r>
      <w:r>
        <w:t>s</w:t>
      </w:r>
      <w:r>
        <w:rPr>
          <w:spacing w:val="-2"/>
        </w:rPr>
        <w:t xml:space="preserve"> o</w:t>
      </w:r>
      <w:r>
        <w:t>f</w:t>
      </w:r>
      <w:r>
        <w:rPr>
          <w:spacing w:val="2"/>
        </w:rPr>
        <w:t xml:space="preserve"> </w:t>
      </w:r>
      <w:r>
        <w:rPr>
          <w:spacing w:val="1"/>
        </w:rPr>
        <w:t>th</w:t>
      </w:r>
      <w:r>
        <w:t>e</w:t>
      </w:r>
      <w:r>
        <w:rPr>
          <w:spacing w:val="-3"/>
        </w:rPr>
        <w:t xml:space="preserve"> </w:t>
      </w:r>
      <w:r>
        <w:t xml:space="preserve">OIE </w:t>
      </w:r>
      <w:r>
        <w:rPr>
          <w:spacing w:val="1"/>
        </w:rPr>
        <w:t>N</w:t>
      </w:r>
      <w:r>
        <w:t>a</w:t>
      </w:r>
      <w:r>
        <w:rPr>
          <w:spacing w:val="1"/>
        </w:rPr>
        <w:t>t</w:t>
      </w:r>
      <w:r>
        <w:rPr>
          <w:spacing w:val="-2"/>
        </w:rPr>
        <w:t>i</w:t>
      </w:r>
      <w:r>
        <w:t>o</w:t>
      </w:r>
      <w:r>
        <w:rPr>
          <w:spacing w:val="2"/>
        </w:rPr>
        <w:t>n</w:t>
      </w:r>
      <w:r>
        <w:t>al</w:t>
      </w:r>
      <w:r>
        <w:rPr>
          <w:spacing w:val="-2"/>
        </w:rPr>
        <w:t xml:space="preserve"> F</w:t>
      </w:r>
      <w:r>
        <w:t>ocal</w:t>
      </w:r>
      <w:r>
        <w:rPr>
          <w:spacing w:val="1"/>
        </w:rPr>
        <w:t xml:space="preserve"> </w:t>
      </w:r>
      <w:r>
        <w:t>P</w:t>
      </w:r>
      <w:r>
        <w:rPr>
          <w:spacing w:val="1"/>
        </w:rPr>
        <w:t>o</w:t>
      </w:r>
      <w:r>
        <w:rPr>
          <w:spacing w:val="-2"/>
        </w:rPr>
        <w:t>i</w:t>
      </w:r>
      <w:r>
        <w:rPr>
          <w:spacing w:val="1"/>
        </w:rPr>
        <w:t>n</w:t>
      </w:r>
      <w:r>
        <w:t>t</w:t>
      </w:r>
      <w:r>
        <w:rPr>
          <w:spacing w:val="-3"/>
        </w:rPr>
        <w:t xml:space="preserve"> </w:t>
      </w:r>
      <w:r>
        <w:rPr>
          <w:spacing w:val="-1"/>
        </w:rPr>
        <w:t>f</w:t>
      </w:r>
      <w:r>
        <w:t>or Ve</w:t>
      </w:r>
      <w:r>
        <w:rPr>
          <w:spacing w:val="2"/>
        </w:rPr>
        <w:t>t</w:t>
      </w:r>
      <w:r>
        <w:t>e</w:t>
      </w:r>
      <w:r>
        <w:rPr>
          <w:spacing w:val="1"/>
        </w:rPr>
        <w:t>r</w:t>
      </w:r>
      <w:r>
        <w:rPr>
          <w:spacing w:val="-2"/>
        </w:rPr>
        <w:t>i</w:t>
      </w:r>
      <w:r>
        <w:rPr>
          <w:spacing w:val="1"/>
        </w:rPr>
        <w:t>n</w:t>
      </w:r>
      <w:r>
        <w:t>ary</w:t>
      </w:r>
      <w:r>
        <w:rPr>
          <w:spacing w:val="-6"/>
        </w:rPr>
        <w:t xml:space="preserve"> </w:t>
      </w:r>
      <w:r>
        <w:t>L</w:t>
      </w:r>
      <w:r>
        <w:rPr>
          <w:spacing w:val="-2"/>
        </w:rPr>
        <w:t>a</w:t>
      </w:r>
      <w:r>
        <w:rPr>
          <w:spacing w:val="1"/>
        </w:rPr>
        <w:t>b</w:t>
      </w:r>
      <w:r>
        <w:t>o</w:t>
      </w:r>
      <w:r>
        <w:rPr>
          <w:spacing w:val="1"/>
        </w:rPr>
        <w:t>r</w:t>
      </w:r>
      <w:r>
        <w:rPr>
          <w:spacing w:val="-2"/>
        </w:rPr>
        <w:t>a</w:t>
      </w:r>
      <w:r>
        <w:rPr>
          <w:spacing w:val="1"/>
        </w:rPr>
        <w:t>t</w:t>
      </w:r>
      <w:r>
        <w:t>o</w:t>
      </w:r>
      <w:r>
        <w:rPr>
          <w:spacing w:val="1"/>
        </w:rPr>
        <w:t>r</w:t>
      </w:r>
      <w:r>
        <w:t>ies.</w:t>
      </w:r>
    </w:p>
    <w:p w14:paraId="5860B63C" w14:textId="696338CB" w:rsidR="00CC703E" w:rsidRDefault="00E37FDB">
      <w:pPr>
        <w:spacing w:after="0"/>
        <w:ind w:right="125"/>
        <w:rPr>
          <w:rFonts w:cs="Calibri"/>
          <w:szCs w:val="24"/>
        </w:rPr>
      </w:pPr>
      <w:r>
        <w:rPr>
          <w:rFonts w:cs="Calibri"/>
          <w:szCs w:val="24"/>
        </w:rPr>
        <w:t>In 2014 SCAHLS was abolished as part of a regular government review of committees. However, in 2015 an</w:t>
      </w:r>
      <w:r>
        <w:rPr>
          <w:rFonts w:cs="Calibri"/>
          <w:spacing w:val="1"/>
          <w:szCs w:val="24"/>
        </w:rPr>
        <w:t xml:space="preserve"> </w:t>
      </w:r>
      <w:r>
        <w:rPr>
          <w:rFonts w:cs="Calibri"/>
          <w:szCs w:val="24"/>
        </w:rPr>
        <w:t>AHC</w:t>
      </w:r>
      <w:r>
        <w:rPr>
          <w:rFonts w:cs="Calibri"/>
          <w:spacing w:val="-4"/>
          <w:szCs w:val="24"/>
        </w:rPr>
        <w:t xml:space="preserve"> </w:t>
      </w:r>
      <w:r>
        <w:rPr>
          <w:rFonts w:cs="Calibri"/>
          <w:spacing w:val="-2"/>
          <w:szCs w:val="24"/>
        </w:rPr>
        <w:t>r</w:t>
      </w:r>
      <w:r>
        <w:rPr>
          <w:rFonts w:cs="Calibri"/>
          <w:szCs w:val="24"/>
        </w:rPr>
        <w:t>eview</w:t>
      </w:r>
      <w:r>
        <w:rPr>
          <w:rFonts w:cs="Calibri"/>
          <w:spacing w:val="-6"/>
          <w:szCs w:val="24"/>
        </w:rPr>
        <w:t xml:space="preserve"> </w:t>
      </w:r>
      <w:r>
        <w:rPr>
          <w:rFonts w:cs="Calibri"/>
          <w:szCs w:val="24"/>
        </w:rPr>
        <w:t>of SCA</w:t>
      </w:r>
      <w:r>
        <w:rPr>
          <w:rFonts w:cs="Calibri"/>
          <w:spacing w:val="-1"/>
          <w:szCs w:val="24"/>
        </w:rPr>
        <w:t>H</w:t>
      </w:r>
      <w:r>
        <w:rPr>
          <w:rFonts w:cs="Calibri"/>
          <w:szCs w:val="24"/>
        </w:rPr>
        <w:t>LS</w:t>
      </w:r>
      <w:r>
        <w:rPr>
          <w:rFonts w:cs="Calibri"/>
          <w:spacing w:val="-1"/>
          <w:szCs w:val="24"/>
        </w:rPr>
        <w:t xml:space="preserve"> </w:t>
      </w:r>
      <w:r>
        <w:rPr>
          <w:rFonts w:cs="Calibri"/>
          <w:spacing w:val="1"/>
          <w:szCs w:val="24"/>
        </w:rPr>
        <w:t>f</w:t>
      </w:r>
      <w:r>
        <w:rPr>
          <w:rFonts w:cs="Calibri"/>
          <w:spacing w:val="-1"/>
          <w:szCs w:val="24"/>
        </w:rPr>
        <w:t>u</w:t>
      </w:r>
      <w:r>
        <w:rPr>
          <w:rFonts w:cs="Calibri"/>
          <w:spacing w:val="1"/>
          <w:szCs w:val="24"/>
        </w:rPr>
        <w:t>n</w:t>
      </w:r>
      <w:r>
        <w:rPr>
          <w:rFonts w:cs="Calibri"/>
          <w:spacing w:val="-1"/>
          <w:szCs w:val="24"/>
        </w:rPr>
        <w:t>c</w:t>
      </w:r>
      <w:r>
        <w:rPr>
          <w:rFonts w:cs="Calibri"/>
          <w:spacing w:val="1"/>
          <w:szCs w:val="24"/>
        </w:rPr>
        <w:t>t</w:t>
      </w:r>
      <w:r>
        <w:rPr>
          <w:rFonts w:cs="Calibri"/>
          <w:szCs w:val="24"/>
        </w:rPr>
        <w:t>io</w:t>
      </w:r>
      <w:r>
        <w:rPr>
          <w:rFonts w:cs="Calibri"/>
          <w:spacing w:val="2"/>
          <w:szCs w:val="24"/>
        </w:rPr>
        <w:t>n</w:t>
      </w:r>
      <w:r>
        <w:rPr>
          <w:rFonts w:cs="Calibri"/>
          <w:szCs w:val="24"/>
        </w:rPr>
        <w:t>s</w:t>
      </w:r>
      <w:r>
        <w:rPr>
          <w:rFonts w:cs="Calibri"/>
          <w:spacing w:val="-2"/>
          <w:szCs w:val="24"/>
        </w:rPr>
        <w:t xml:space="preserve"> </w:t>
      </w:r>
      <w:r>
        <w:rPr>
          <w:rFonts w:cs="Calibri"/>
          <w:spacing w:val="-3"/>
          <w:szCs w:val="24"/>
        </w:rPr>
        <w:t>s</w:t>
      </w:r>
      <w:r>
        <w:rPr>
          <w:rFonts w:cs="Calibri"/>
          <w:spacing w:val="1"/>
          <w:szCs w:val="24"/>
        </w:rPr>
        <w:t>up</w:t>
      </w:r>
      <w:r>
        <w:rPr>
          <w:rFonts w:cs="Calibri"/>
          <w:spacing w:val="-1"/>
          <w:szCs w:val="24"/>
        </w:rPr>
        <w:t>p</w:t>
      </w:r>
      <w:r>
        <w:rPr>
          <w:rFonts w:cs="Calibri"/>
          <w:szCs w:val="24"/>
        </w:rPr>
        <w:t>o</w:t>
      </w:r>
      <w:r>
        <w:rPr>
          <w:rFonts w:cs="Calibri"/>
          <w:spacing w:val="1"/>
          <w:szCs w:val="24"/>
        </w:rPr>
        <w:t>r</w:t>
      </w:r>
      <w:r>
        <w:rPr>
          <w:rFonts w:cs="Calibri"/>
          <w:spacing w:val="-1"/>
          <w:szCs w:val="24"/>
        </w:rPr>
        <w:t>t</w:t>
      </w:r>
      <w:r>
        <w:rPr>
          <w:rFonts w:cs="Calibri"/>
          <w:szCs w:val="24"/>
        </w:rPr>
        <w:t>ed</w:t>
      </w:r>
      <w:r>
        <w:rPr>
          <w:rFonts w:cs="Calibri"/>
          <w:spacing w:val="-5"/>
          <w:szCs w:val="24"/>
        </w:rPr>
        <w:t xml:space="preserve"> </w:t>
      </w:r>
      <w:r>
        <w:rPr>
          <w:rFonts w:cs="Calibri"/>
          <w:spacing w:val="1"/>
          <w:szCs w:val="24"/>
        </w:rPr>
        <w:t>t</w:t>
      </w:r>
      <w:r>
        <w:rPr>
          <w:rFonts w:cs="Calibri"/>
          <w:spacing w:val="-1"/>
          <w:szCs w:val="24"/>
        </w:rPr>
        <w:t>h</w:t>
      </w:r>
      <w:r>
        <w:rPr>
          <w:rFonts w:cs="Calibri"/>
          <w:szCs w:val="24"/>
        </w:rPr>
        <w:t>e</w:t>
      </w:r>
      <w:r>
        <w:rPr>
          <w:rFonts w:cs="Calibri"/>
          <w:spacing w:val="1"/>
          <w:szCs w:val="24"/>
        </w:rPr>
        <w:t xml:space="preserve"> </w:t>
      </w:r>
      <w:r>
        <w:rPr>
          <w:rFonts w:cs="Calibri"/>
          <w:spacing w:val="-1"/>
          <w:szCs w:val="24"/>
        </w:rPr>
        <w:t>n</w:t>
      </w:r>
      <w:r>
        <w:rPr>
          <w:rFonts w:cs="Calibri"/>
          <w:szCs w:val="24"/>
        </w:rPr>
        <w:t>e</w:t>
      </w:r>
      <w:r>
        <w:rPr>
          <w:rFonts w:cs="Calibri"/>
          <w:spacing w:val="1"/>
          <w:szCs w:val="24"/>
        </w:rPr>
        <w:t>e</w:t>
      </w:r>
      <w:r>
        <w:rPr>
          <w:rFonts w:cs="Calibri"/>
          <w:szCs w:val="24"/>
        </w:rPr>
        <w:t>d</w:t>
      </w:r>
      <w:r>
        <w:rPr>
          <w:rFonts w:cs="Calibri"/>
          <w:spacing w:val="-3"/>
          <w:szCs w:val="24"/>
        </w:rPr>
        <w:t xml:space="preserve"> </w:t>
      </w:r>
      <w:r>
        <w:rPr>
          <w:rFonts w:cs="Calibri"/>
          <w:spacing w:val="1"/>
          <w:szCs w:val="24"/>
        </w:rPr>
        <w:t>f</w:t>
      </w:r>
      <w:r>
        <w:rPr>
          <w:rFonts w:cs="Calibri"/>
          <w:spacing w:val="-2"/>
          <w:szCs w:val="24"/>
        </w:rPr>
        <w:t>o</w:t>
      </w:r>
      <w:r>
        <w:rPr>
          <w:rFonts w:cs="Calibri"/>
          <w:szCs w:val="24"/>
        </w:rPr>
        <w:t>r its</w:t>
      </w:r>
      <w:r>
        <w:rPr>
          <w:rFonts w:cs="Calibri"/>
          <w:spacing w:val="-1"/>
          <w:szCs w:val="24"/>
        </w:rPr>
        <w:t xml:space="preserve"> c</w:t>
      </w:r>
      <w:r>
        <w:rPr>
          <w:rFonts w:cs="Calibri"/>
          <w:szCs w:val="24"/>
        </w:rPr>
        <w:t>ontinua</w:t>
      </w:r>
      <w:r>
        <w:rPr>
          <w:rFonts w:cs="Calibri"/>
          <w:spacing w:val="1"/>
          <w:szCs w:val="24"/>
        </w:rPr>
        <w:t>t</w:t>
      </w:r>
      <w:r>
        <w:rPr>
          <w:rFonts w:cs="Calibri"/>
          <w:szCs w:val="24"/>
        </w:rPr>
        <w:t>i</w:t>
      </w:r>
      <w:r>
        <w:rPr>
          <w:rFonts w:cs="Calibri"/>
          <w:spacing w:val="-2"/>
          <w:szCs w:val="24"/>
        </w:rPr>
        <w:t>o</w:t>
      </w:r>
      <w:r>
        <w:rPr>
          <w:rFonts w:cs="Calibri"/>
          <w:szCs w:val="24"/>
        </w:rPr>
        <w:t>n</w:t>
      </w:r>
      <w:r>
        <w:rPr>
          <w:rFonts w:cs="Calibri"/>
          <w:spacing w:val="-2"/>
          <w:szCs w:val="24"/>
        </w:rPr>
        <w:t xml:space="preserve"> </w:t>
      </w:r>
      <w:r>
        <w:rPr>
          <w:rFonts w:cs="Calibri"/>
          <w:szCs w:val="24"/>
        </w:rPr>
        <w:t>a</w:t>
      </w:r>
      <w:r>
        <w:rPr>
          <w:rFonts w:cs="Calibri"/>
          <w:spacing w:val="1"/>
          <w:szCs w:val="24"/>
        </w:rPr>
        <w:t>n</w:t>
      </w:r>
      <w:r>
        <w:rPr>
          <w:rFonts w:cs="Calibri"/>
          <w:szCs w:val="24"/>
        </w:rPr>
        <w:t xml:space="preserve">d </w:t>
      </w:r>
      <w:r>
        <w:rPr>
          <w:rFonts w:cs="Calibri"/>
          <w:spacing w:val="2"/>
          <w:szCs w:val="24"/>
        </w:rPr>
        <w:t>n</w:t>
      </w:r>
      <w:r>
        <w:rPr>
          <w:rFonts w:cs="Calibri"/>
          <w:szCs w:val="24"/>
        </w:rPr>
        <w:t>ew</w:t>
      </w:r>
      <w:r>
        <w:rPr>
          <w:rFonts w:cs="Calibri"/>
          <w:spacing w:val="-3"/>
          <w:szCs w:val="24"/>
        </w:rPr>
        <w:t xml:space="preserve"> </w:t>
      </w:r>
      <w:r>
        <w:rPr>
          <w:rFonts w:cs="Calibri"/>
          <w:spacing w:val="-2"/>
          <w:szCs w:val="24"/>
        </w:rPr>
        <w:t>a</w:t>
      </w:r>
      <w:r>
        <w:rPr>
          <w:rFonts w:cs="Calibri"/>
          <w:szCs w:val="24"/>
        </w:rPr>
        <w:t>rra</w:t>
      </w:r>
      <w:r>
        <w:rPr>
          <w:rFonts w:cs="Calibri"/>
          <w:spacing w:val="2"/>
          <w:szCs w:val="24"/>
        </w:rPr>
        <w:t>n</w:t>
      </w:r>
      <w:r>
        <w:rPr>
          <w:rFonts w:cs="Calibri"/>
          <w:szCs w:val="24"/>
        </w:rPr>
        <w:t>g</w:t>
      </w:r>
      <w:r>
        <w:rPr>
          <w:rFonts w:cs="Calibri"/>
          <w:spacing w:val="-2"/>
          <w:szCs w:val="24"/>
        </w:rPr>
        <w:t>em</w:t>
      </w:r>
      <w:r>
        <w:rPr>
          <w:rFonts w:cs="Calibri"/>
          <w:szCs w:val="24"/>
        </w:rPr>
        <w:t>e</w:t>
      </w:r>
      <w:r>
        <w:rPr>
          <w:rFonts w:cs="Calibri"/>
          <w:spacing w:val="1"/>
          <w:szCs w:val="24"/>
        </w:rPr>
        <w:t>nt</w:t>
      </w:r>
      <w:r>
        <w:rPr>
          <w:rFonts w:cs="Calibri"/>
          <w:szCs w:val="24"/>
        </w:rPr>
        <w:t>s</w:t>
      </w:r>
      <w:r>
        <w:rPr>
          <w:rFonts w:cs="Calibri"/>
          <w:spacing w:val="-13"/>
          <w:szCs w:val="24"/>
        </w:rPr>
        <w:t xml:space="preserve"> </w:t>
      </w:r>
      <w:r>
        <w:rPr>
          <w:rFonts w:cs="Calibri"/>
          <w:spacing w:val="1"/>
          <w:szCs w:val="24"/>
        </w:rPr>
        <w:t>t</w:t>
      </w:r>
      <w:r>
        <w:rPr>
          <w:rFonts w:cs="Calibri"/>
          <w:szCs w:val="24"/>
        </w:rPr>
        <w:t>o</w:t>
      </w:r>
      <w:r>
        <w:rPr>
          <w:rFonts w:cs="Calibri"/>
          <w:spacing w:val="-1"/>
          <w:szCs w:val="24"/>
        </w:rPr>
        <w:t xml:space="preserve"> </w:t>
      </w:r>
      <w:r>
        <w:rPr>
          <w:rFonts w:cs="Calibri"/>
          <w:szCs w:val="24"/>
        </w:rPr>
        <w:t>ra</w:t>
      </w:r>
      <w:r>
        <w:rPr>
          <w:rFonts w:cs="Calibri"/>
          <w:spacing w:val="2"/>
          <w:szCs w:val="24"/>
        </w:rPr>
        <w:t>t</w:t>
      </w:r>
      <w:r>
        <w:rPr>
          <w:rFonts w:cs="Calibri"/>
          <w:spacing w:val="-2"/>
          <w:szCs w:val="24"/>
        </w:rPr>
        <w:t>i</w:t>
      </w:r>
      <w:r>
        <w:rPr>
          <w:rFonts w:cs="Calibri"/>
          <w:szCs w:val="24"/>
        </w:rPr>
        <w:t>o</w:t>
      </w:r>
      <w:r>
        <w:rPr>
          <w:rFonts w:cs="Calibri"/>
          <w:spacing w:val="2"/>
          <w:szCs w:val="24"/>
        </w:rPr>
        <w:t>n</w:t>
      </w:r>
      <w:r>
        <w:rPr>
          <w:rFonts w:cs="Calibri"/>
          <w:szCs w:val="24"/>
        </w:rPr>
        <w:t>alise</w:t>
      </w:r>
      <w:r>
        <w:rPr>
          <w:rFonts w:cs="Calibri"/>
          <w:spacing w:val="-4"/>
          <w:szCs w:val="24"/>
        </w:rPr>
        <w:t xml:space="preserve"> </w:t>
      </w:r>
      <w:r>
        <w:rPr>
          <w:rFonts w:cs="Calibri"/>
          <w:szCs w:val="24"/>
        </w:rPr>
        <w:t>its</w:t>
      </w:r>
      <w:r>
        <w:rPr>
          <w:rFonts w:cs="Calibri"/>
          <w:spacing w:val="-2"/>
          <w:szCs w:val="24"/>
        </w:rPr>
        <w:t xml:space="preserve"> </w:t>
      </w:r>
      <w:r>
        <w:rPr>
          <w:rFonts w:cs="Calibri"/>
          <w:spacing w:val="-1"/>
          <w:szCs w:val="24"/>
        </w:rPr>
        <w:t>c</w:t>
      </w:r>
      <w:r>
        <w:rPr>
          <w:rFonts w:cs="Calibri"/>
          <w:szCs w:val="24"/>
        </w:rPr>
        <w:t>o</w:t>
      </w:r>
      <w:r>
        <w:rPr>
          <w:rFonts w:cs="Calibri"/>
          <w:spacing w:val="1"/>
          <w:szCs w:val="24"/>
        </w:rPr>
        <w:t>o</w:t>
      </w:r>
      <w:r>
        <w:rPr>
          <w:rFonts w:cs="Calibri"/>
          <w:szCs w:val="24"/>
        </w:rPr>
        <w:t>r</w:t>
      </w:r>
      <w:r>
        <w:rPr>
          <w:rFonts w:cs="Calibri"/>
          <w:spacing w:val="1"/>
          <w:szCs w:val="24"/>
        </w:rPr>
        <w:t>d</w:t>
      </w:r>
      <w:r>
        <w:rPr>
          <w:rFonts w:cs="Calibri"/>
          <w:spacing w:val="-2"/>
          <w:szCs w:val="24"/>
        </w:rPr>
        <w:t>i</w:t>
      </w:r>
      <w:r>
        <w:rPr>
          <w:rFonts w:cs="Calibri"/>
          <w:spacing w:val="1"/>
          <w:szCs w:val="24"/>
        </w:rPr>
        <w:t>n</w:t>
      </w:r>
      <w:r>
        <w:rPr>
          <w:rFonts w:cs="Calibri"/>
          <w:szCs w:val="24"/>
        </w:rPr>
        <w:t>a</w:t>
      </w:r>
      <w:r>
        <w:rPr>
          <w:rFonts w:cs="Calibri"/>
          <w:spacing w:val="1"/>
          <w:szCs w:val="24"/>
        </w:rPr>
        <w:t>t</w:t>
      </w:r>
      <w:r>
        <w:rPr>
          <w:rFonts w:cs="Calibri"/>
          <w:spacing w:val="-1"/>
          <w:szCs w:val="24"/>
        </w:rPr>
        <w:t>i</w:t>
      </w:r>
      <w:r>
        <w:rPr>
          <w:rFonts w:cs="Calibri"/>
          <w:spacing w:val="1"/>
          <w:szCs w:val="24"/>
        </w:rPr>
        <w:t>o</w:t>
      </w:r>
      <w:r>
        <w:rPr>
          <w:rFonts w:cs="Calibri"/>
          <w:szCs w:val="24"/>
        </w:rPr>
        <w:t>n</w:t>
      </w:r>
      <w:r>
        <w:rPr>
          <w:rFonts w:cs="Calibri"/>
          <w:spacing w:val="-3"/>
          <w:szCs w:val="24"/>
        </w:rPr>
        <w:t xml:space="preserve"> </w:t>
      </w:r>
      <w:r>
        <w:rPr>
          <w:rFonts w:cs="Calibri"/>
          <w:szCs w:val="24"/>
        </w:rPr>
        <w:t>or ma</w:t>
      </w:r>
      <w:r>
        <w:rPr>
          <w:rFonts w:cs="Calibri"/>
          <w:spacing w:val="1"/>
          <w:szCs w:val="24"/>
        </w:rPr>
        <w:t>n</w:t>
      </w:r>
      <w:r>
        <w:rPr>
          <w:rFonts w:cs="Calibri"/>
          <w:szCs w:val="24"/>
        </w:rPr>
        <w:t>age</w:t>
      </w:r>
      <w:r>
        <w:rPr>
          <w:rFonts w:cs="Calibri"/>
          <w:spacing w:val="1"/>
          <w:szCs w:val="24"/>
        </w:rPr>
        <w:t>m</w:t>
      </w:r>
      <w:r>
        <w:rPr>
          <w:rFonts w:cs="Calibri"/>
          <w:spacing w:val="-2"/>
          <w:szCs w:val="24"/>
        </w:rPr>
        <w:t>e</w:t>
      </w:r>
      <w:r>
        <w:rPr>
          <w:rFonts w:cs="Calibri"/>
          <w:spacing w:val="1"/>
          <w:szCs w:val="24"/>
        </w:rPr>
        <w:t>n</w:t>
      </w:r>
      <w:r>
        <w:rPr>
          <w:rFonts w:cs="Calibri"/>
          <w:spacing w:val="2"/>
          <w:szCs w:val="24"/>
        </w:rPr>
        <w:t>t</w:t>
      </w:r>
      <w:r>
        <w:rPr>
          <w:rFonts w:cs="Calibri"/>
          <w:szCs w:val="24"/>
        </w:rPr>
        <w:t>. Most</w:t>
      </w:r>
      <w:r>
        <w:rPr>
          <w:rFonts w:cs="Calibri"/>
          <w:spacing w:val="-4"/>
          <w:szCs w:val="24"/>
        </w:rPr>
        <w:t xml:space="preserve"> </w:t>
      </w:r>
      <w:r>
        <w:rPr>
          <w:rFonts w:cs="Calibri"/>
          <w:szCs w:val="24"/>
        </w:rPr>
        <w:t>ac</w:t>
      </w:r>
      <w:r>
        <w:rPr>
          <w:rFonts w:cs="Calibri"/>
          <w:spacing w:val="1"/>
          <w:szCs w:val="24"/>
        </w:rPr>
        <w:t>t</w:t>
      </w:r>
      <w:r>
        <w:rPr>
          <w:rFonts w:cs="Calibri"/>
          <w:szCs w:val="24"/>
        </w:rPr>
        <w:t>ivi</w:t>
      </w:r>
      <w:r>
        <w:rPr>
          <w:rFonts w:cs="Calibri"/>
          <w:spacing w:val="1"/>
          <w:szCs w:val="24"/>
        </w:rPr>
        <w:t>t</w:t>
      </w:r>
      <w:r>
        <w:rPr>
          <w:rFonts w:cs="Calibri"/>
          <w:spacing w:val="-2"/>
          <w:szCs w:val="24"/>
        </w:rPr>
        <w:t>i</w:t>
      </w:r>
      <w:r>
        <w:rPr>
          <w:rFonts w:cs="Calibri"/>
          <w:szCs w:val="24"/>
        </w:rPr>
        <w:t>es</w:t>
      </w:r>
      <w:r>
        <w:rPr>
          <w:rFonts w:cs="Calibri"/>
          <w:spacing w:val="-3"/>
          <w:szCs w:val="24"/>
        </w:rPr>
        <w:t xml:space="preserve"> </w:t>
      </w:r>
      <w:r>
        <w:rPr>
          <w:rFonts w:cs="Calibri"/>
          <w:spacing w:val="-1"/>
          <w:szCs w:val="24"/>
        </w:rPr>
        <w:t>are now c</w:t>
      </w:r>
      <w:r>
        <w:rPr>
          <w:rFonts w:cs="Calibri"/>
          <w:szCs w:val="24"/>
        </w:rPr>
        <w:t>o</w:t>
      </w:r>
      <w:r>
        <w:rPr>
          <w:rFonts w:cs="Calibri"/>
          <w:spacing w:val="1"/>
          <w:szCs w:val="24"/>
        </w:rPr>
        <w:t>o</w:t>
      </w:r>
      <w:r>
        <w:rPr>
          <w:rFonts w:cs="Calibri"/>
          <w:szCs w:val="24"/>
        </w:rPr>
        <w:t>r</w:t>
      </w:r>
      <w:r>
        <w:rPr>
          <w:rFonts w:cs="Calibri"/>
          <w:spacing w:val="1"/>
          <w:szCs w:val="24"/>
        </w:rPr>
        <w:t>d</w:t>
      </w:r>
      <w:r>
        <w:rPr>
          <w:rFonts w:cs="Calibri"/>
          <w:spacing w:val="-2"/>
          <w:szCs w:val="24"/>
        </w:rPr>
        <w:t>i</w:t>
      </w:r>
      <w:r>
        <w:rPr>
          <w:rFonts w:cs="Calibri"/>
          <w:spacing w:val="1"/>
          <w:szCs w:val="24"/>
        </w:rPr>
        <w:t>n</w:t>
      </w:r>
      <w:r>
        <w:rPr>
          <w:rFonts w:cs="Calibri"/>
          <w:szCs w:val="24"/>
        </w:rPr>
        <w:t>a</w:t>
      </w:r>
      <w:r>
        <w:rPr>
          <w:rFonts w:cs="Calibri"/>
          <w:spacing w:val="-1"/>
          <w:szCs w:val="24"/>
        </w:rPr>
        <w:t>t</w:t>
      </w:r>
      <w:r>
        <w:rPr>
          <w:rFonts w:cs="Calibri"/>
          <w:szCs w:val="24"/>
        </w:rPr>
        <w:t>ed</w:t>
      </w:r>
      <w:r>
        <w:rPr>
          <w:rFonts w:cs="Calibri"/>
          <w:spacing w:val="-5"/>
          <w:szCs w:val="24"/>
        </w:rPr>
        <w:t xml:space="preserve"> </w:t>
      </w:r>
      <w:r>
        <w:rPr>
          <w:rFonts w:cs="Calibri"/>
          <w:spacing w:val="1"/>
          <w:szCs w:val="24"/>
        </w:rPr>
        <w:t>b</w:t>
      </w:r>
      <w:r>
        <w:rPr>
          <w:rFonts w:cs="Calibri"/>
          <w:szCs w:val="24"/>
        </w:rPr>
        <w:t>y</w:t>
      </w:r>
      <w:r>
        <w:rPr>
          <w:rFonts w:cs="Calibri"/>
          <w:spacing w:val="1"/>
          <w:szCs w:val="24"/>
        </w:rPr>
        <w:t xml:space="preserve"> </w:t>
      </w:r>
      <w:r>
        <w:rPr>
          <w:rFonts w:cs="Calibri"/>
          <w:szCs w:val="24"/>
        </w:rPr>
        <w:t>a</w:t>
      </w:r>
      <w:r w:rsidRPr="000A127D">
        <w:rPr>
          <w:rFonts w:cs="Calibri"/>
          <w:spacing w:val="-2"/>
          <w:szCs w:val="24"/>
        </w:rPr>
        <w:t>n</w:t>
      </w:r>
      <w:r>
        <w:rPr>
          <w:rFonts w:cs="Calibri"/>
          <w:b/>
          <w:spacing w:val="-2"/>
          <w:szCs w:val="24"/>
        </w:rPr>
        <w:t xml:space="preserve"> </w:t>
      </w:r>
      <w:r>
        <w:rPr>
          <w:rFonts w:cs="Calibri"/>
          <w:spacing w:val="-2"/>
          <w:szCs w:val="24"/>
        </w:rPr>
        <w:t>A</w:t>
      </w:r>
      <w:r>
        <w:rPr>
          <w:rFonts w:cs="Calibri"/>
          <w:spacing w:val="-1"/>
          <w:szCs w:val="24"/>
        </w:rPr>
        <w:t>H</w:t>
      </w:r>
      <w:r>
        <w:rPr>
          <w:rFonts w:cs="Calibri"/>
          <w:szCs w:val="24"/>
        </w:rPr>
        <w:t>C</w:t>
      </w:r>
      <w:r>
        <w:rPr>
          <w:rFonts w:cs="Calibri"/>
          <w:spacing w:val="-1"/>
          <w:szCs w:val="24"/>
        </w:rPr>
        <w:t xml:space="preserve"> </w:t>
      </w:r>
      <w:r>
        <w:rPr>
          <w:rFonts w:cs="Calibri"/>
          <w:spacing w:val="1"/>
          <w:szCs w:val="24"/>
        </w:rPr>
        <w:t>N</w:t>
      </w:r>
      <w:r>
        <w:rPr>
          <w:rFonts w:cs="Calibri"/>
          <w:szCs w:val="24"/>
        </w:rPr>
        <w:t>a</w:t>
      </w:r>
      <w:r>
        <w:rPr>
          <w:rFonts w:cs="Calibri"/>
          <w:spacing w:val="1"/>
          <w:szCs w:val="24"/>
        </w:rPr>
        <w:t>t</w:t>
      </w:r>
      <w:r>
        <w:rPr>
          <w:rFonts w:cs="Calibri"/>
          <w:szCs w:val="24"/>
        </w:rPr>
        <w:t>i</w:t>
      </w:r>
      <w:r>
        <w:rPr>
          <w:rFonts w:cs="Calibri"/>
          <w:spacing w:val="-2"/>
          <w:szCs w:val="24"/>
        </w:rPr>
        <w:t>o</w:t>
      </w:r>
      <w:r>
        <w:rPr>
          <w:rFonts w:cs="Calibri"/>
          <w:spacing w:val="2"/>
          <w:szCs w:val="24"/>
        </w:rPr>
        <w:t>n</w:t>
      </w:r>
      <w:r>
        <w:rPr>
          <w:rFonts w:cs="Calibri"/>
          <w:szCs w:val="24"/>
        </w:rPr>
        <w:t>al</w:t>
      </w:r>
      <w:r>
        <w:rPr>
          <w:rFonts w:cs="Calibri"/>
          <w:spacing w:val="-1"/>
          <w:szCs w:val="24"/>
        </w:rPr>
        <w:t xml:space="preserve"> </w:t>
      </w:r>
      <w:r>
        <w:rPr>
          <w:rFonts w:cs="Calibri"/>
          <w:szCs w:val="24"/>
        </w:rPr>
        <w:t>L</w:t>
      </w:r>
      <w:r>
        <w:rPr>
          <w:rFonts w:cs="Calibri"/>
          <w:spacing w:val="-2"/>
          <w:szCs w:val="24"/>
        </w:rPr>
        <w:t>a</w:t>
      </w:r>
      <w:r>
        <w:rPr>
          <w:rFonts w:cs="Calibri"/>
          <w:spacing w:val="1"/>
          <w:szCs w:val="24"/>
        </w:rPr>
        <w:t>b</w:t>
      </w:r>
      <w:r>
        <w:rPr>
          <w:rFonts w:cs="Calibri"/>
          <w:szCs w:val="24"/>
        </w:rPr>
        <w:t>o</w:t>
      </w:r>
      <w:r>
        <w:rPr>
          <w:rFonts w:cs="Calibri"/>
          <w:spacing w:val="1"/>
          <w:szCs w:val="24"/>
        </w:rPr>
        <w:t>r</w:t>
      </w:r>
      <w:r>
        <w:rPr>
          <w:rFonts w:cs="Calibri"/>
          <w:spacing w:val="-2"/>
          <w:szCs w:val="24"/>
        </w:rPr>
        <w:t>a</w:t>
      </w:r>
      <w:r>
        <w:rPr>
          <w:rFonts w:cs="Calibri"/>
          <w:spacing w:val="1"/>
          <w:szCs w:val="24"/>
        </w:rPr>
        <w:t>t</w:t>
      </w:r>
      <w:r>
        <w:rPr>
          <w:rFonts w:cs="Calibri"/>
          <w:szCs w:val="24"/>
        </w:rPr>
        <w:t>o</w:t>
      </w:r>
      <w:r>
        <w:rPr>
          <w:rFonts w:cs="Calibri"/>
          <w:spacing w:val="1"/>
          <w:szCs w:val="24"/>
        </w:rPr>
        <w:t>r</w:t>
      </w:r>
      <w:r>
        <w:rPr>
          <w:rFonts w:cs="Calibri"/>
          <w:szCs w:val="24"/>
        </w:rPr>
        <w:t>y</w:t>
      </w:r>
      <w:r>
        <w:rPr>
          <w:rFonts w:cs="Calibri"/>
          <w:spacing w:val="-8"/>
          <w:szCs w:val="24"/>
        </w:rPr>
        <w:t xml:space="preserve"> </w:t>
      </w:r>
      <w:r>
        <w:rPr>
          <w:rFonts w:cs="Calibri"/>
          <w:spacing w:val="1"/>
          <w:szCs w:val="24"/>
        </w:rPr>
        <w:t>T</w:t>
      </w:r>
      <w:r>
        <w:rPr>
          <w:rFonts w:cs="Calibri"/>
          <w:spacing w:val="-2"/>
          <w:szCs w:val="24"/>
        </w:rPr>
        <w:t>a</w:t>
      </w:r>
      <w:r>
        <w:rPr>
          <w:rFonts w:cs="Calibri"/>
          <w:szCs w:val="24"/>
        </w:rPr>
        <w:t>sk</w:t>
      </w:r>
      <w:r>
        <w:rPr>
          <w:rFonts w:cs="Calibri"/>
          <w:spacing w:val="-4"/>
          <w:szCs w:val="24"/>
        </w:rPr>
        <w:t xml:space="preserve"> </w:t>
      </w:r>
      <w:r>
        <w:rPr>
          <w:rFonts w:cs="Calibri"/>
          <w:szCs w:val="24"/>
        </w:rPr>
        <w:t>Gro</w:t>
      </w:r>
      <w:r>
        <w:rPr>
          <w:rFonts w:cs="Calibri"/>
          <w:spacing w:val="2"/>
          <w:szCs w:val="24"/>
        </w:rPr>
        <w:t>u</w:t>
      </w:r>
      <w:r>
        <w:rPr>
          <w:rFonts w:cs="Calibri"/>
          <w:szCs w:val="24"/>
        </w:rPr>
        <w:t>p</w:t>
      </w:r>
      <w:r>
        <w:rPr>
          <w:rFonts w:cs="Calibri"/>
          <w:spacing w:val="4"/>
          <w:szCs w:val="24"/>
        </w:rPr>
        <w:t>, with</w:t>
      </w:r>
      <w:r>
        <w:rPr>
          <w:rFonts w:cs="Calibri"/>
          <w:spacing w:val="-3"/>
          <w:szCs w:val="24"/>
        </w:rPr>
        <w:t xml:space="preserve"> </w:t>
      </w:r>
      <w:r>
        <w:rPr>
          <w:rFonts w:cs="Calibri"/>
          <w:spacing w:val="-2"/>
          <w:szCs w:val="24"/>
        </w:rPr>
        <w:t>a</w:t>
      </w:r>
      <w:r>
        <w:rPr>
          <w:rFonts w:cs="Calibri"/>
          <w:spacing w:val="1"/>
          <w:szCs w:val="24"/>
        </w:rPr>
        <w:t>d</w:t>
      </w:r>
      <w:r>
        <w:rPr>
          <w:rFonts w:cs="Calibri"/>
          <w:szCs w:val="24"/>
        </w:rPr>
        <w:t>mi</w:t>
      </w:r>
      <w:r>
        <w:rPr>
          <w:rFonts w:cs="Calibri"/>
          <w:spacing w:val="1"/>
          <w:szCs w:val="24"/>
        </w:rPr>
        <w:t>n</w:t>
      </w:r>
      <w:r>
        <w:rPr>
          <w:rFonts w:cs="Calibri"/>
          <w:szCs w:val="24"/>
        </w:rPr>
        <w:t>i</w:t>
      </w:r>
      <w:r>
        <w:rPr>
          <w:rFonts w:cs="Calibri"/>
          <w:spacing w:val="-3"/>
          <w:szCs w:val="24"/>
        </w:rPr>
        <w:t>s</w:t>
      </w:r>
      <w:r>
        <w:rPr>
          <w:rFonts w:cs="Calibri"/>
          <w:spacing w:val="1"/>
          <w:szCs w:val="24"/>
        </w:rPr>
        <w:t>t</w:t>
      </w:r>
      <w:r>
        <w:rPr>
          <w:rFonts w:cs="Calibri"/>
          <w:szCs w:val="24"/>
        </w:rPr>
        <w:t>ra</w:t>
      </w:r>
      <w:r>
        <w:rPr>
          <w:rFonts w:cs="Calibri"/>
          <w:spacing w:val="2"/>
          <w:szCs w:val="24"/>
        </w:rPr>
        <w:t>t</w:t>
      </w:r>
      <w:r>
        <w:rPr>
          <w:rFonts w:cs="Calibri"/>
          <w:szCs w:val="24"/>
        </w:rPr>
        <w:t>ive s</w:t>
      </w:r>
      <w:r>
        <w:rPr>
          <w:rFonts w:cs="Calibri"/>
          <w:spacing w:val="1"/>
          <w:szCs w:val="24"/>
        </w:rPr>
        <w:t>up</w:t>
      </w:r>
      <w:r>
        <w:rPr>
          <w:rFonts w:cs="Calibri"/>
          <w:spacing w:val="-1"/>
          <w:szCs w:val="24"/>
        </w:rPr>
        <w:t>p</w:t>
      </w:r>
      <w:r>
        <w:rPr>
          <w:rFonts w:cs="Calibri"/>
          <w:szCs w:val="24"/>
        </w:rPr>
        <w:t>o</w:t>
      </w:r>
      <w:r>
        <w:rPr>
          <w:rFonts w:cs="Calibri"/>
          <w:spacing w:val="1"/>
          <w:szCs w:val="24"/>
        </w:rPr>
        <w:t>r</w:t>
      </w:r>
      <w:r>
        <w:rPr>
          <w:rFonts w:cs="Calibri"/>
          <w:szCs w:val="24"/>
        </w:rPr>
        <w:t>t</w:t>
      </w:r>
      <w:r>
        <w:rPr>
          <w:rFonts w:cs="Calibri"/>
          <w:spacing w:val="-3"/>
          <w:szCs w:val="24"/>
        </w:rPr>
        <w:t xml:space="preserve"> </w:t>
      </w:r>
      <w:r>
        <w:rPr>
          <w:rFonts w:cs="Calibri"/>
          <w:szCs w:val="24"/>
        </w:rPr>
        <w:t>a</w:t>
      </w:r>
      <w:r>
        <w:rPr>
          <w:rFonts w:cs="Calibri"/>
          <w:spacing w:val="-1"/>
          <w:szCs w:val="24"/>
        </w:rPr>
        <w:t>n</w:t>
      </w:r>
      <w:r>
        <w:rPr>
          <w:rFonts w:cs="Calibri"/>
          <w:szCs w:val="24"/>
        </w:rPr>
        <w:t xml:space="preserve">d </w:t>
      </w:r>
      <w:r>
        <w:rPr>
          <w:rFonts w:cs="Calibri"/>
          <w:spacing w:val="1"/>
          <w:szCs w:val="24"/>
        </w:rPr>
        <w:t>n</w:t>
      </w:r>
      <w:r>
        <w:rPr>
          <w:rFonts w:cs="Calibri"/>
          <w:szCs w:val="24"/>
        </w:rPr>
        <w:t>a</w:t>
      </w:r>
      <w:r>
        <w:rPr>
          <w:rFonts w:cs="Calibri"/>
          <w:spacing w:val="1"/>
          <w:szCs w:val="24"/>
        </w:rPr>
        <w:t>t</w:t>
      </w:r>
      <w:r>
        <w:rPr>
          <w:rFonts w:cs="Calibri"/>
          <w:spacing w:val="-2"/>
          <w:szCs w:val="24"/>
        </w:rPr>
        <w:t>i</w:t>
      </w:r>
      <w:r>
        <w:rPr>
          <w:rFonts w:cs="Calibri"/>
          <w:szCs w:val="24"/>
        </w:rPr>
        <w:t>o</w:t>
      </w:r>
      <w:r>
        <w:rPr>
          <w:rFonts w:cs="Calibri"/>
          <w:spacing w:val="2"/>
          <w:szCs w:val="24"/>
        </w:rPr>
        <w:t>n</w:t>
      </w:r>
      <w:r>
        <w:rPr>
          <w:rFonts w:cs="Calibri"/>
          <w:szCs w:val="24"/>
        </w:rPr>
        <w:t>al</w:t>
      </w:r>
      <w:r>
        <w:rPr>
          <w:rFonts w:cs="Calibri"/>
          <w:spacing w:val="-3"/>
          <w:szCs w:val="24"/>
        </w:rPr>
        <w:t xml:space="preserve"> </w:t>
      </w:r>
      <w:r>
        <w:rPr>
          <w:rFonts w:cs="Calibri"/>
          <w:szCs w:val="24"/>
        </w:rPr>
        <w:t>and</w:t>
      </w:r>
      <w:r>
        <w:rPr>
          <w:rFonts w:cs="Calibri"/>
          <w:spacing w:val="1"/>
          <w:szCs w:val="24"/>
        </w:rPr>
        <w:t xml:space="preserve"> </w:t>
      </w:r>
      <w:r>
        <w:rPr>
          <w:rFonts w:cs="Calibri"/>
          <w:spacing w:val="-2"/>
          <w:szCs w:val="24"/>
        </w:rPr>
        <w:t>i</w:t>
      </w:r>
      <w:r>
        <w:rPr>
          <w:rFonts w:cs="Calibri"/>
          <w:spacing w:val="1"/>
          <w:szCs w:val="24"/>
        </w:rPr>
        <w:t>n</w:t>
      </w:r>
      <w:r>
        <w:rPr>
          <w:rFonts w:cs="Calibri"/>
          <w:spacing w:val="-1"/>
          <w:szCs w:val="24"/>
        </w:rPr>
        <w:t>t</w:t>
      </w:r>
      <w:r>
        <w:rPr>
          <w:rFonts w:cs="Calibri"/>
          <w:szCs w:val="24"/>
        </w:rPr>
        <w:t>e</w:t>
      </w:r>
      <w:r>
        <w:rPr>
          <w:rFonts w:cs="Calibri"/>
          <w:spacing w:val="1"/>
          <w:szCs w:val="24"/>
        </w:rPr>
        <w:t>rn</w:t>
      </w:r>
      <w:r>
        <w:rPr>
          <w:rFonts w:cs="Calibri"/>
          <w:spacing w:val="-2"/>
          <w:szCs w:val="24"/>
        </w:rPr>
        <w:t>a</w:t>
      </w:r>
      <w:r>
        <w:rPr>
          <w:rFonts w:cs="Calibri"/>
          <w:spacing w:val="1"/>
          <w:szCs w:val="24"/>
        </w:rPr>
        <w:t>t</w:t>
      </w:r>
      <w:r>
        <w:rPr>
          <w:rFonts w:cs="Calibri"/>
          <w:szCs w:val="24"/>
        </w:rPr>
        <w:t>io</w:t>
      </w:r>
      <w:r>
        <w:rPr>
          <w:rFonts w:cs="Calibri"/>
          <w:spacing w:val="2"/>
          <w:szCs w:val="24"/>
        </w:rPr>
        <w:t>n</w:t>
      </w:r>
      <w:r>
        <w:rPr>
          <w:rFonts w:cs="Calibri"/>
          <w:szCs w:val="24"/>
        </w:rPr>
        <w:t>al</w:t>
      </w:r>
      <w:r>
        <w:rPr>
          <w:rFonts w:cs="Calibri"/>
          <w:spacing w:val="-5"/>
          <w:szCs w:val="24"/>
        </w:rPr>
        <w:t xml:space="preserve"> </w:t>
      </w:r>
      <w:r>
        <w:rPr>
          <w:rFonts w:cs="Calibri"/>
          <w:spacing w:val="-1"/>
          <w:szCs w:val="24"/>
        </w:rPr>
        <w:t>c</w:t>
      </w:r>
      <w:r>
        <w:rPr>
          <w:rFonts w:cs="Calibri"/>
          <w:szCs w:val="24"/>
        </w:rPr>
        <w:t>o</w:t>
      </w:r>
      <w:r>
        <w:rPr>
          <w:rFonts w:cs="Calibri"/>
          <w:spacing w:val="1"/>
          <w:szCs w:val="24"/>
        </w:rPr>
        <w:t>o</w:t>
      </w:r>
      <w:r>
        <w:rPr>
          <w:rFonts w:cs="Calibri"/>
          <w:spacing w:val="-2"/>
          <w:szCs w:val="24"/>
        </w:rPr>
        <w:t>r</w:t>
      </w:r>
      <w:r>
        <w:rPr>
          <w:rFonts w:cs="Calibri"/>
          <w:spacing w:val="1"/>
          <w:szCs w:val="24"/>
        </w:rPr>
        <w:t>d</w:t>
      </w:r>
      <w:r>
        <w:rPr>
          <w:rFonts w:cs="Calibri"/>
          <w:szCs w:val="24"/>
        </w:rPr>
        <w:t>i</w:t>
      </w:r>
      <w:r>
        <w:rPr>
          <w:rFonts w:cs="Calibri"/>
          <w:spacing w:val="1"/>
          <w:szCs w:val="24"/>
        </w:rPr>
        <w:t>n</w:t>
      </w:r>
      <w:r>
        <w:rPr>
          <w:rFonts w:cs="Calibri"/>
          <w:spacing w:val="-2"/>
          <w:szCs w:val="24"/>
        </w:rPr>
        <w:t>a</w:t>
      </w:r>
      <w:r>
        <w:rPr>
          <w:rFonts w:cs="Calibri"/>
          <w:spacing w:val="1"/>
          <w:szCs w:val="24"/>
        </w:rPr>
        <w:t>t</w:t>
      </w:r>
      <w:r>
        <w:rPr>
          <w:rFonts w:cs="Calibri"/>
          <w:szCs w:val="24"/>
        </w:rPr>
        <w:t>i</w:t>
      </w:r>
      <w:r>
        <w:rPr>
          <w:rFonts w:cs="Calibri"/>
          <w:spacing w:val="4"/>
          <w:szCs w:val="24"/>
        </w:rPr>
        <w:t>o</w:t>
      </w:r>
      <w:r>
        <w:rPr>
          <w:rFonts w:cs="Calibri"/>
          <w:szCs w:val="24"/>
        </w:rPr>
        <w:t>n provided by the Department of Agriculture and Water Resources</w:t>
      </w:r>
      <w:r>
        <w:rPr>
          <w:rFonts w:cs="Calibri"/>
          <w:spacing w:val="2"/>
          <w:szCs w:val="24"/>
        </w:rPr>
        <w:t xml:space="preserve">. </w:t>
      </w:r>
      <w:r>
        <w:rPr>
          <w:rFonts w:cs="Calibri"/>
          <w:szCs w:val="24"/>
        </w:rPr>
        <w:t>T</w:t>
      </w:r>
      <w:r>
        <w:rPr>
          <w:rFonts w:cs="Calibri"/>
          <w:spacing w:val="2"/>
          <w:szCs w:val="24"/>
        </w:rPr>
        <w:t>h</w:t>
      </w:r>
      <w:r>
        <w:rPr>
          <w:rFonts w:cs="Calibri"/>
          <w:szCs w:val="24"/>
        </w:rPr>
        <w:t>is</w:t>
      </w:r>
      <w:r>
        <w:rPr>
          <w:rFonts w:cs="Calibri"/>
          <w:spacing w:val="-2"/>
          <w:szCs w:val="24"/>
        </w:rPr>
        <w:t xml:space="preserve"> </w:t>
      </w:r>
      <w:r>
        <w:rPr>
          <w:rFonts w:cs="Calibri"/>
          <w:spacing w:val="1"/>
          <w:szCs w:val="24"/>
        </w:rPr>
        <w:t>t</w:t>
      </w:r>
      <w:r>
        <w:rPr>
          <w:rFonts w:cs="Calibri"/>
          <w:szCs w:val="24"/>
        </w:rPr>
        <w:t>ask</w:t>
      </w:r>
      <w:r>
        <w:rPr>
          <w:rFonts w:cs="Calibri"/>
          <w:spacing w:val="-4"/>
          <w:szCs w:val="24"/>
        </w:rPr>
        <w:t xml:space="preserve"> </w:t>
      </w:r>
      <w:r>
        <w:rPr>
          <w:rFonts w:cs="Calibri"/>
          <w:szCs w:val="24"/>
        </w:rPr>
        <w:t>gr</w:t>
      </w:r>
      <w:r>
        <w:rPr>
          <w:rFonts w:cs="Calibri"/>
          <w:spacing w:val="-2"/>
          <w:szCs w:val="24"/>
        </w:rPr>
        <w:t>o</w:t>
      </w:r>
      <w:r>
        <w:rPr>
          <w:rFonts w:cs="Calibri"/>
          <w:spacing w:val="1"/>
          <w:szCs w:val="24"/>
        </w:rPr>
        <w:t>u</w:t>
      </w:r>
      <w:r>
        <w:rPr>
          <w:rFonts w:cs="Calibri"/>
          <w:szCs w:val="24"/>
        </w:rPr>
        <w:t xml:space="preserve">p liaises </w:t>
      </w:r>
      <w:r>
        <w:rPr>
          <w:rFonts w:cs="Calibri"/>
          <w:spacing w:val="-1"/>
          <w:szCs w:val="24"/>
        </w:rPr>
        <w:t>w</w:t>
      </w:r>
      <w:r>
        <w:rPr>
          <w:rFonts w:cs="Calibri"/>
          <w:szCs w:val="24"/>
        </w:rPr>
        <w:t>i</w:t>
      </w:r>
      <w:r>
        <w:rPr>
          <w:rFonts w:cs="Calibri"/>
          <w:spacing w:val="-1"/>
          <w:szCs w:val="24"/>
        </w:rPr>
        <w:t>t</w:t>
      </w:r>
      <w:r>
        <w:rPr>
          <w:rFonts w:cs="Calibri"/>
          <w:szCs w:val="24"/>
        </w:rPr>
        <w:t>h</w:t>
      </w:r>
      <w:r>
        <w:rPr>
          <w:rFonts w:cs="Calibri"/>
          <w:spacing w:val="2"/>
          <w:szCs w:val="24"/>
        </w:rPr>
        <w:t xml:space="preserve"> </w:t>
      </w:r>
      <w:r>
        <w:rPr>
          <w:rFonts w:cs="Calibri"/>
          <w:szCs w:val="24"/>
        </w:rPr>
        <w:t>ot</w:t>
      </w:r>
      <w:r>
        <w:rPr>
          <w:rFonts w:cs="Calibri"/>
          <w:spacing w:val="-2"/>
          <w:szCs w:val="24"/>
        </w:rPr>
        <w:t>h</w:t>
      </w:r>
      <w:r>
        <w:rPr>
          <w:rFonts w:cs="Calibri"/>
          <w:szCs w:val="24"/>
        </w:rPr>
        <w:t>er s</w:t>
      </w:r>
      <w:r>
        <w:rPr>
          <w:rFonts w:cs="Calibri"/>
          <w:spacing w:val="1"/>
          <w:szCs w:val="24"/>
        </w:rPr>
        <w:t>t</w:t>
      </w:r>
      <w:r>
        <w:rPr>
          <w:rFonts w:cs="Calibri"/>
          <w:szCs w:val="24"/>
        </w:rPr>
        <w:t>a</w:t>
      </w:r>
      <w:r>
        <w:rPr>
          <w:rFonts w:cs="Calibri"/>
          <w:spacing w:val="-1"/>
          <w:szCs w:val="24"/>
        </w:rPr>
        <w:t>k</w:t>
      </w:r>
      <w:r>
        <w:rPr>
          <w:rFonts w:cs="Calibri"/>
          <w:szCs w:val="24"/>
        </w:rPr>
        <w:t>e</w:t>
      </w:r>
      <w:r>
        <w:rPr>
          <w:rFonts w:cs="Calibri"/>
          <w:spacing w:val="-1"/>
          <w:szCs w:val="24"/>
        </w:rPr>
        <w:t>h</w:t>
      </w:r>
      <w:r>
        <w:rPr>
          <w:rFonts w:cs="Calibri"/>
          <w:szCs w:val="24"/>
        </w:rPr>
        <w:t>ol</w:t>
      </w:r>
      <w:r>
        <w:rPr>
          <w:rFonts w:cs="Calibri"/>
          <w:spacing w:val="2"/>
          <w:szCs w:val="24"/>
        </w:rPr>
        <w:t>d</w:t>
      </w:r>
      <w:r>
        <w:rPr>
          <w:rFonts w:cs="Calibri"/>
          <w:spacing w:val="-2"/>
          <w:szCs w:val="24"/>
        </w:rPr>
        <w:t>e</w:t>
      </w:r>
      <w:r>
        <w:rPr>
          <w:rFonts w:cs="Calibri"/>
          <w:szCs w:val="24"/>
        </w:rPr>
        <w:t>rs,</w:t>
      </w:r>
      <w:r>
        <w:rPr>
          <w:rFonts w:cs="Calibri"/>
          <w:spacing w:val="-7"/>
          <w:szCs w:val="24"/>
        </w:rPr>
        <w:t xml:space="preserve"> </w:t>
      </w:r>
      <w:r>
        <w:rPr>
          <w:rFonts w:cs="Calibri"/>
          <w:szCs w:val="24"/>
        </w:rPr>
        <w:t>i</w:t>
      </w:r>
      <w:r>
        <w:rPr>
          <w:rFonts w:cs="Calibri"/>
          <w:spacing w:val="1"/>
          <w:szCs w:val="24"/>
        </w:rPr>
        <w:t>n</w:t>
      </w:r>
      <w:r>
        <w:rPr>
          <w:rFonts w:cs="Calibri"/>
          <w:spacing w:val="-1"/>
          <w:szCs w:val="24"/>
        </w:rPr>
        <w:t>c</w:t>
      </w:r>
      <w:r>
        <w:rPr>
          <w:rFonts w:cs="Calibri"/>
          <w:spacing w:val="-2"/>
          <w:szCs w:val="24"/>
        </w:rPr>
        <w:t>l</w:t>
      </w:r>
      <w:r>
        <w:rPr>
          <w:rFonts w:cs="Calibri"/>
          <w:spacing w:val="1"/>
          <w:szCs w:val="24"/>
        </w:rPr>
        <w:t>ud</w:t>
      </w:r>
      <w:r>
        <w:rPr>
          <w:rFonts w:cs="Calibri"/>
          <w:spacing w:val="-2"/>
          <w:szCs w:val="24"/>
        </w:rPr>
        <w:t>i</w:t>
      </w:r>
      <w:r>
        <w:rPr>
          <w:rFonts w:cs="Calibri"/>
          <w:spacing w:val="-1"/>
          <w:szCs w:val="24"/>
        </w:rPr>
        <w:t>n</w:t>
      </w:r>
      <w:r>
        <w:rPr>
          <w:rFonts w:cs="Calibri"/>
          <w:szCs w:val="24"/>
        </w:rPr>
        <w:t>g</w:t>
      </w:r>
      <w:r>
        <w:rPr>
          <w:rFonts w:cs="Calibri"/>
          <w:spacing w:val="-1"/>
          <w:szCs w:val="24"/>
        </w:rPr>
        <w:t xml:space="preserve"> </w:t>
      </w:r>
      <w:r>
        <w:rPr>
          <w:rFonts w:cs="Calibri"/>
          <w:spacing w:val="1"/>
          <w:szCs w:val="24"/>
        </w:rPr>
        <w:t>un</w:t>
      </w:r>
      <w:r>
        <w:rPr>
          <w:rFonts w:cs="Calibri"/>
          <w:szCs w:val="24"/>
        </w:rPr>
        <w:t>ivers</w:t>
      </w:r>
      <w:r>
        <w:rPr>
          <w:rFonts w:cs="Calibri"/>
          <w:spacing w:val="-2"/>
          <w:szCs w:val="24"/>
        </w:rPr>
        <w:t>i</w:t>
      </w:r>
      <w:r>
        <w:rPr>
          <w:rFonts w:cs="Calibri"/>
          <w:spacing w:val="1"/>
          <w:szCs w:val="24"/>
        </w:rPr>
        <w:t>t</w:t>
      </w:r>
      <w:r>
        <w:rPr>
          <w:rFonts w:cs="Calibri"/>
          <w:szCs w:val="24"/>
        </w:rPr>
        <w:t xml:space="preserve">y, </w:t>
      </w:r>
      <w:r>
        <w:rPr>
          <w:rFonts w:cs="Calibri"/>
          <w:spacing w:val="1"/>
          <w:szCs w:val="24"/>
        </w:rPr>
        <w:t>p</w:t>
      </w:r>
      <w:r>
        <w:rPr>
          <w:rFonts w:cs="Calibri"/>
          <w:szCs w:val="24"/>
        </w:rPr>
        <w:t>riva</w:t>
      </w:r>
      <w:r>
        <w:rPr>
          <w:rFonts w:cs="Calibri"/>
          <w:spacing w:val="1"/>
          <w:szCs w:val="24"/>
        </w:rPr>
        <w:t>t</w:t>
      </w:r>
      <w:r>
        <w:rPr>
          <w:rFonts w:cs="Calibri"/>
          <w:szCs w:val="24"/>
        </w:rPr>
        <w:t>e</w:t>
      </w:r>
      <w:r>
        <w:rPr>
          <w:rFonts w:cs="Calibri"/>
          <w:spacing w:val="-6"/>
          <w:szCs w:val="24"/>
        </w:rPr>
        <w:t xml:space="preserve"> </w:t>
      </w:r>
      <w:r>
        <w:rPr>
          <w:rFonts w:cs="Calibri"/>
          <w:szCs w:val="24"/>
        </w:rPr>
        <w:t>a</w:t>
      </w:r>
      <w:r>
        <w:rPr>
          <w:rFonts w:cs="Calibri"/>
          <w:spacing w:val="-1"/>
          <w:szCs w:val="24"/>
        </w:rPr>
        <w:t>n</w:t>
      </w:r>
      <w:r>
        <w:rPr>
          <w:rFonts w:cs="Calibri"/>
          <w:szCs w:val="24"/>
        </w:rPr>
        <w:t>d</w:t>
      </w:r>
      <w:r>
        <w:rPr>
          <w:rFonts w:cs="Calibri"/>
          <w:spacing w:val="2"/>
          <w:szCs w:val="24"/>
        </w:rPr>
        <w:t xml:space="preserve"> </w:t>
      </w:r>
      <w:r>
        <w:rPr>
          <w:rFonts w:cs="Calibri"/>
          <w:spacing w:val="-2"/>
          <w:szCs w:val="24"/>
        </w:rPr>
        <w:t>i</w:t>
      </w:r>
      <w:r>
        <w:rPr>
          <w:rFonts w:cs="Calibri"/>
          <w:spacing w:val="1"/>
          <w:szCs w:val="24"/>
        </w:rPr>
        <w:t>n</w:t>
      </w:r>
      <w:r>
        <w:rPr>
          <w:rFonts w:cs="Calibri"/>
          <w:spacing w:val="-1"/>
          <w:szCs w:val="24"/>
        </w:rPr>
        <w:t>d</w:t>
      </w:r>
      <w:r>
        <w:rPr>
          <w:rFonts w:cs="Calibri"/>
          <w:spacing w:val="1"/>
          <w:szCs w:val="24"/>
        </w:rPr>
        <w:t>u</w:t>
      </w:r>
      <w:r>
        <w:rPr>
          <w:rFonts w:cs="Calibri"/>
          <w:szCs w:val="24"/>
        </w:rPr>
        <w:t>s</w:t>
      </w:r>
      <w:r>
        <w:rPr>
          <w:rFonts w:cs="Calibri"/>
          <w:spacing w:val="1"/>
          <w:szCs w:val="24"/>
        </w:rPr>
        <w:t>t</w:t>
      </w:r>
      <w:r>
        <w:rPr>
          <w:rFonts w:cs="Calibri"/>
          <w:szCs w:val="24"/>
        </w:rPr>
        <w:t>ry</w:t>
      </w:r>
      <w:r>
        <w:rPr>
          <w:rFonts w:cs="Calibri"/>
          <w:spacing w:val="-2"/>
          <w:szCs w:val="24"/>
        </w:rPr>
        <w:t xml:space="preserve"> </w:t>
      </w:r>
      <w:r>
        <w:rPr>
          <w:rFonts w:cs="Calibri"/>
          <w:szCs w:val="24"/>
        </w:rPr>
        <w:t>l</w:t>
      </w:r>
      <w:r>
        <w:rPr>
          <w:rFonts w:cs="Calibri"/>
          <w:spacing w:val="-2"/>
          <w:szCs w:val="24"/>
        </w:rPr>
        <w:t>a</w:t>
      </w:r>
      <w:r>
        <w:rPr>
          <w:rFonts w:cs="Calibri"/>
          <w:spacing w:val="1"/>
          <w:szCs w:val="24"/>
        </w:rPr>
        <w:t>b</w:t>
      </w:r>
      <w:r>
        <w:rPr>
          <w:rFonts w:cs="Calibri"/>
          <w:spacing w:val="-2"/>
          <w:szCs w:val="24"/>
        </w:rPr>
        <w:t>o</w:t>
      </w:r>
      <w:r>
        <w:rPr>
          <w:rFonts w:cs="Calibri"/>
          <w:szCs w:val="24"/>
        </w:rPr>
        <w:t>ra</w:t>
      </w:r>
      <w:r>
        <w:rPr>
          <w:rFonts w:cs="Calibri"/>
          <w:spacing w:val="2"/>
          <w:szCs w:val="24"/>
        </w:rPr>
        <w:t>t</w:t>
      </w:r>
      <w:r>
        <w:rPr>
          <w:rFonts w:cs="Calibri"/>
          <w:szCs w:val="24"/>
        </w:rPr>
        <w:t>o</w:t>
      </w:r>
      <w:r>
        <w:rPr>
          <w:rFonts w:cs="Calibri"/>
          <w:spacing w:val="1"/>
          <w:szCs w:val="24"/>
        </w:rPr>
        <w:t>r</w:t>
      </w:r>
      <w:r>
        <w:rPr>
          <w:rFonts w:cs="Calibri"/>
          <w:szCs w:val="24"/>
        </w:rPr>
        <w:t>y</w:t>
      </w:r>
      <w:r>
        <w:rPr>
          <w:rFonts w:cs="Calibri"/>
          <w:spacing w:val="-6"/>
          <w:szCs w:val="24"/>
        </w:rPr>
        <w:t xml:space="preserve"> </w:t>
      </w:r>
      <w:r>
        <w:rPr>
          <w:rFonts w:cs="Calibri"/>
          <w:spacing w:val="1"/>
          <w:szCs w:val="24"/>
        </w:rPr>
        <w:t>e</w:t>
      </w:r>
      <w:r>
        <w:rPr>
          <w:rFonts w:cs="Calibri"/>
          <w:spacing w:val="-3"/>
          <w:szCs w:val="24"/>
        </w:rPr>
        <w:t>x</w:t>
      </w:r>
      <w:r>
        <w:rPr>
          <w:rFonts w:cs="Calibri"/>
          <w:spacing w:val="1"/>
          <w:szCs w:val="24"/>
        </w:rPr>
        <w:t>p</w:t>
      </w:r>
      <w:r>
        <w:rPr>
          <w:rFonts w:cs="Calibri"/>
          <w:szCs w:val="24"/>
        </w:rPr>
        <w:t>e</w:t>
      </w:r>
      <w:r>
        <w:rPr>
          <w:rFonts w:cs="Calibri"/>
          <w:spacing w:val="-1"/>
          <w:szCs w:val="24"/>
        </w:rPr>
        <w:t>r</w:t>
      </w:r>
      <w:r>
        <w:rPr>
          <w:rFonts w:cs="Calibri"/>
          <w:spacing w:val="1"/>
          <w:szCs w:val="24"/>
        </w:rPr>
        <w:t>t</w:t>
      </w:r>
      <w:r>
        <w:rPr>
          <w:rFonts w:cs="Calibri"/>
          <w:szCs w:val="24"/>
        </w:rPr>
        <w:t xml:space="preserve">s and </w:t>
      </w:r>
      <w:r>
        <w:rPr>
          <w:rFonts w:cs="Calibri"/>
          <w:spacing w:val="2"/>
          <w:szCs w:val="24"/>
        </w:rPr>
        <w:t>b</w:t>
      </w:r>
      <w:r>
        <w:rPr>
          <w:rFonts w:cs="Calibri"/>
          <w:spacing w:val="-2"/>
          <w:szCs w:val="24"/>
        </w:rPr>
        <w:t>o</w:t>
      </w:r>
      <w:r>
        <w:rPr>
          <w:rFonts w:cs="Calibri"/>
          <w:spacing w:val="1"/>
          <w:szCs w:val="24"/>
        </w:rPr>
        <w:t>d</w:t>
      </w:r>
      <w:r>
        <w:rPr>
          <w:rFonts w:cs="Calibri"/>
          <w:szCs w:val="24"/>
        </w:rPr>
        <w:t>ies,</w:t>
      </w:r>
      <w:r>
        <w:rPr>
          <w:rFonts w:cs="Calibri"/>
          <w:spacing w:val="-8"/>
          <w:szCs w:val="24"/>
        </w:rPr>
        <w:t xml:space="preserve"> </w:t>
      </w:r>
      <w:r>
        <w:rPr>
          <w:rFonts w:cs="Calibri"/>
          <w:spacing w:val="1"/>
          <w:szCs w:val="24"/>
        </w:rPr>
        <w:t>t</w:t>
      </w:r>
      <w:r>
        <w:rPr>
          <w:rFonts w:cs="Calibri"/>
          <w:szCs w:val="24"/>
        </w:rPr>
        <w:t>o</w:t>
      </w:r>
      <w:r>
        <w:rPr>
          <w:rFonts w:cs="Calibri"/>
          <w:spacing w:val="-2"/>
          <w:szCs w:val="24"/>
        </w:rPr>
        <w:t xml:space="preserve"> </w:t>
      </w:r>
      <w:r>
        <w:rPr>
          <w:rFonts w:cs="Calibri"/>
          <w:szCs w:val="24"/>
        </w:rPr>
        <w:t>a</w:t>
      </w:r>
      <w:r>
        <w:rPr>
          <w:rFonts w:cs="Calibri"/>
          <w:spacing w:val="1"/>
          <w:szCs w:val="24"/>
        </w:rPr>
        <w:t>d</w:t>
      </w:r>
      <w:r>
        <w:rPr>
          <w:rFonts w:cs="Calibri"/>
          <w:spacing w:val="-1"/>
          <w:szCs w:val="24"/>
        </w:rPr>
        <w:t>d</w:t>
      </w:r>
      <w:r>
        <w:rPr>
          <w:rFonts w:cs="Calibri"/>
          <w:szCs w:val="24"/>
        </w:rPr>
        <w:t>r</w:t>
      </w:r>
      <w:r>
        <w:rPr>
          <w:rFonts w:cs="Calibri"/>
          <w:spacing w:val="1"/>
          <w:szCs w:val="24"/>
        </w:rPr>
        <w:t>e</w:t>
      </w:r>
      <w:r>
        <w:rPr>
          <w:rFonts w:cs="Calibri"/>
          <w:szCs w:val="24"/>
        </w:rPr>
        <w:t>ss</w:t>
      </w:r>
      <w:r>
        <w:rPr>
          <w:rFonts w:cs="Calibri"/>
          <w:spacing w:val="-2"/>
          <w:szCs w:val="24"/>
        </w:rPr>
        <w:t xml:space="preserve"> </w:t>
      </w:r>
      <w:r>
        <w:rPr>
          <w:rFonts w:cs="Calibri"/>
          <w:szCs w:val="24"/>
        </w:rPr>
        <w:t>s</w:t>
      </w:r>
      <w:r>
        <w:rPr>
          <w:rFonts w:cs="Calibri"/>
          <w:spacing w:val="-1"/>
          <w:szCs w:val="24"/>
        </w:rPr>
        <w:t>p</w:t>
      </w:r>
      <w:r>
        <w:rPr>
          <w:rFonts w:cs="Calibri"/>
          <w:szCs w:val="24"/>
        </w:rPr>
        <w:t>eci</w:t>
      </w:r>
      <w:r>
        <w:rPr>
          <w:rFonts w:cs="Calibri"/>
          <w:spacing w:val="1"/>
          <w:szCs w:val="24"/>
        </w:rPr>
        <w:t>f</w:t>
      </w:r>
      <w:r>
        <w:rPr>
          <w:rFonts w:cs="Calibri"/>
          <w:szCs w:val="24"/>
        </w:rPr>
        <w:t>ic l</w:t>
      </w:r>
      <w:r>
        <w:rPr>
          <w:rFonts w:cs="Calibri"/>
          <w:spacing w:val="-2"/>
          <w:szCs w:val="24"/>
        </w:rPr>
        <w:t>a</w:t>
      </w:r>
      <w:r>
        <w:rPr>
          <w:rFonts w:cs="Calibri"/>
          <w:spacing w:val="1"/>
          <w:szCs w:val="24"/>
        </w:rPr>
        <w:t>b</w:t>
      </w:r>
      <w:r>
        <w:rPr>
          <w:rFonts w:cs="Calibri"/>
          <w:szCs w:val="24"/>
        </w:rPr>
        <w:t>o</w:t>
      </w:r>
      <w:r>
        <w:rPr>
          <w:rFonts w:cs="Calibri"/>
          <w:spacing w:val="1"/>
          <w:szCs w:val="24"/>
        </w:rPr>
        <w:t>r</w:t>
      </w:r>
      <w:r>
        <w:rPr>
          <w:rFonts w:cs="Calibri"/>
          <w:spacing w:val="-2"/>
          <w:szCs w:val="24"/>
        </w:rPr>
        <w:t>a</w:t>
      </w:r>
      <w:r>
        <w:rPr>
          <w:rFonts w:cs="Calibri"/>
          <w:spacing w:val="-1"/>
          <w:szCs w:val="24"/>
        </w:rPr>
        <w:t>t</w:t>
      </w:r>
      <w:r>
        <w:rPr>
          <w:rFonts w:cs="Calibri"/>
          <w:szCs w:val="24"/>
        </w:rPr>
        <w:t>o</w:t>
      </w:r>
      <w:r>
        <w:rPr>
          <w:rFonts w:cs="Calibri"/>
          <w:spacing w:val="1"/>
          <w:szCs w:val="24"/>
        </w:rPr>
        <w:t>r</w:t>
      </w:r>
      <w:r>
        <w:rPr>
          <w:rFonts w:cs="Calibri"/>
          <w:szCs w:val="24"/>
        </w:rPr>
        <w:t>y</w:t>
      </w:r>
      <w:r>
        <w:rPr>
          <w:rFonts w:cs="Calibri"/>
          <w:spacing w:val="-6"/>
          <w:szCs w:val="24"/>
        </w:rPr>
        <w:t xml:space="preserve"> </w:t>
      </w:r>
      <w:r>
        <w:rPr>
          <w:rFonts w:cs="Calibri"/>
          <w:spacing w:val="1"/>
          <w:szCs w:val="24"/>
        </w:rPr>
        <w:t>t</w:t>
      </w:r>
      <w:r>
        <w:rPr>
          <w:rFonts w:cs="Calibri"/>
          <w:spacing w:val="-2"/>
          <w:szCs w:val="24"/>
        </w:rPr>
        <w:t>o</w:t>
      </w:r>
      <w:r>
        <w:rPr>
          <w:rFonts w:cs="Calibri"/>
          <w:spacing w:val="1"/>
          <w:szCs w:val="24"/>
        </w:rPr>
        <w:t>p</w:t>
      </w:r>
      <w:r>
        <w:rPr>
          <w:rFonts w:cs="Calibri"/>
          <w:szCs w:val="24"/>
        </w:rPr>
        <w:t>i</w:t>
      </w:r>
      <w:r>
        <w:rPr>
          <w:rFonts w:cs="Calibri"/>
          <w:spacing w:val="-1"/>
          <w:szCs w:val="24"/>
        </w:rPr>
        <w:t>c</w:t>
      </w:r>
      <w:r>
        <w:rPr>
          <w:rFonts w:cs="Calibri"/>
          <w:szCs w:val="24"/>
        </w:rPr>
        <w:t>s</w:t>
      </w:r>
      <w:r>
        <w:rPr>
          <w:rFonts w:cs="Calibri"/>
          <w:spacing w:val="-1"/>
          <w:szCs w:val="24"/>
        </w:rPr>
        <w:t xml:space="preserve"> </w:t>
      </w:r>
      <w:r>
        <w:rPr>
          <w:rFonts w:cs="Calibri"/>
          <w:szCs w:val="24"/>
        </w:rPr>
        <w:t>as needed.</w:t>
      </w:r>
    </w:p>
    <w:p w14:paraId="113C0B85" w14:textId="1E86B87D" w:rsidR="00CC703E" w:rsidRDefault="00E37FDB">
      <w:pPr>
        <w:tabs>
          <w:tab w:val="clear" w:pos="567"/>
        </w:tabs>
        <w:spacing w:before="60" w:after="0"/>
        <w:ind w:right="-23"/>
      </w:pPr>
      <w:r>
        <w:rPr>
          <w:rFonts w:cs="Calibri"/>
          <w:szCs w:val="24"/>
        </w:rPr>
        <w:t>A notable change from former arrangements is that a</w:t>
      </w:r>
      <w:r>
        <w:rPr>
          <w:rFonts w:cs="Calibri"/>
          <w:spacing w:val="1"/>
          <w:szCs w:val="24"/>
        </w:rPr>
        <w:t>qu</w:t>
      </w:r>
      <w:r>
        <w:rPr>
          <w:rFonts w:cs="Calibri"/>
          <w:spacing w:val="-2"/>
          <w:szCs w:val="24"/>
        </w:rPr>
        <w:t>a</w:t>
      </w:r>
      <w:r>
        <w:rPr>
          <w:rFonts w:cs="Calibri"/>
          <w:spacing w:val="1"/>
          <w:szCs w:val="24"/>
        </w:rPr>
        <w:t>t</w:t>
      </w:r>
      <w:r>
        <w:rPr>
          <w:rFonts w:cs="Calibri"/>
          <w:szCs w:val="24"/>
        </w:rPr>
        <w:t>ic</w:t>
      </w:r>
      <w:r>
        <w:rPr>
          <w:rFonts w:cs="Calibri"/>
          <w:spacing w:val="-1"/>
          <w:szCs w:val="24"/>
        </w:rPr>
        <w:t xml:space="preserve"> </w:t>
      </w:r>
      <w:r>
        <w:rPr>
          <w:rFonts w:cs="Calibri"/>
          <w:szCs w:val="24"/>
        </w:rPr>
        <w:t>a</w:t>
      </w:r>
      <w:r>
        <w:rPr>
          <w:rFonts w:cs="Calibri"/>
          <w:spacing w:val="1"/>
          <w:szCs w:val="24"/>
        </w:rPr>
        <w:t>n</w:t>
      </w:r>
      <w:r>
        <w:rPr>
          <w:rFonts w:cs="Calibri"/>
          <w:spacing w:val="-2"/>
          <w:szCs w:val="24"/>
        </w:rPr>
        <w:t>i</w:t>
      </w:r>
      <w:r>
        <w:rPr>
          <w:rFonts w:cs="Calibri"/>
          <w:szCs w:val="24"/>
        </w:rPr>
        <w:t>mal</w:t>
      </w:r>
      <w:r>
        <w:rPr>
          <w:rFonts w:cs="Calibri"/>
          <w:spacing w:val="-1"/>
          <w:szCs w:val="24"/>
        </w:rPr>
        <w:t xml:space="preserve"> </w:t>
      </w:r>
      <w:r>
        <w:rPr>
          <w:rFonts w:cs="Calibri"/>
          <w:spacing w:val="1"/>
          <w:szCs w:val="24"/>
        </w:rPr>
        <w:t>h</w:t>
      </w:r>
      <w:r>
        <w:rPr>
          <w:rFonts w:cs="Calibri"/>
          <w:szCs w:val="24"/>
        </w:rPr>
        <w:t>e</w:t>
      </w:r>
      <w:r>
        <w:rPr>
          <w:rFonts w:cs="Calibri"/>
          <w:spacing w:val="1"/>
          <w:szCs w:val="24"/>
        </w:rPr>
        <w:t>a</w:t>
      </w:r>
      <w:r>
        <w:rPr>
          <w:rFonts w:cs="Calibri"/>
          <w:szCs w:val="24"/>
        </w:rPr>
        <w:t>l</w:t>
      </w:r>
      <w:r>
        <w:rPr>
          <w:rFonts w:cs="Calibri"/>
          <w:spacing w:val="-1"/>
          <w:szCs w:val="24"/>
        </w:rPr>
        <w:t>t</w:t>
      </w:r>
      <w:r>
        <w:rPr>
          <w:rFonts w:cs="Calibri"/>
          <w:szCs w:val="24"/>
        </w:rPr>
        <w:t>h</w:t>
      </w:r>
      <w:r>
        <w:rPr>
          <w:rFonts w:cs="Calibri"/>
          <w:spacing w:val="1"/>
          <w:szCs w:val="24"/>
        </w:rPr>
        <w:t xml:space="preserve"> </w:t>
      </w:r>
      <w:r>
        <w:rPr>
          <w:rFonts w:cs="Calibri"/>
          <w:szCs w:val="24"/>
        </w:rPr>
        <w:t>l</w:t>
      </w:r>
      <w:r>
        <w:rPr>
          <w:rFonts w:cs="Calibri"/>
          <w:spacing w:val="-2"/>
          <w:szCs w:val="24"/>
        </w:rPr>
        <w:t>a</w:t>
      </w:r>
      <w:r>
        <w:rPr>
          <w:rFonts w:cs="Calibri"/>
          <w:spacing w:val="1"/>
          <w:szCs w:val="24"/>
        </w:rPr>
        <w:t>b</w:t>
      </w:r>
      <w:r>
        <w:rPr>
          <w:rFonts w:cs="Calibri"/>
          <w:szCs w:val="24"/>
        </w:rPr>
        <w:t>o</w:t>
      </w:r>
      <w:r>
        <w:rPr>
          <w:rFonts w:cs="Calibri"/>
          <w:spacing w:val="1"/>
          <w:szCs w:val="24"/>
        </w:rPr>
        <w:t>r</w:t>
      </w:r>
      <w:r>
        <w:rPr>
          <w:rFonts w:cs="Calibri"/>
          <w:szCs w:val="24"/>
        </w:rPr>
        <w:t>a</w:t>
      </w:r>
      <w:r>
        <w:rPr>
          <w:rFonts w:cs="Calibri"/>
          <w:spacing w:val="-1"/>
          <w:szCs w:val="24"/>
        </w:rPr>
        <w:t>t</w:t>
      </w:r>
      <w:r>
        <w:rPr>
          <w:rFonts w:cs="Calibri"/>
          <w:szCs w:val="24"/>
        </w:rPr>
        <w:t>o</w:t>
      </w:r>
      <w:r>
        <w:rPr>
          <w:rFonts w:cs="Calibri"/>
          <w:spacing w:val="1"/>
          <w:szCs w:val="24"/>
        </w:rPr>
        <w:t>r</w:t>
      </w:r>
      <w:r>
        <w:rPr>
          <w:rFonts w:cs="Calibri"/>
          <w:szCs w:val="24"/>
        </w:rPr>
        <w:t>y</w:t>
      </w:r>
      <w:r>
        <w:rPr>
          <w:rFonts w:cs="Calibri"/>
          <w:spacing w:val="-7"/>
          <w:szCs w:val="24"/>
        </w:rPr>
        <w:t xml:space="preserve"> </w:t>
      </w:r>
      <w:r>
        <w:rPr>
          <w:rFonts w:cs="Calibri"/>
          <w:spacing w:val="1"/>
          <w:szCs w:val="24"/>
        </w:rPr>
        <w:t>d</w:t>
      </w:r>
      <w:r>
        <w:rPr>
          <w:rFonts w:cs="Calibri"/>
          <w:spacing w:val="-2"/>
          <w:szCs w:val="24"/>
        </w:rPr>
        <w:t>i</w:t>
      </w:r>
      <w:r>
        <w:rPr>
          <w:rFonts w:cs="Calibri"/>
          <w:szCs w:val="24"/>
        </w:rPr>
        <w:t>ag</w:t>
      </w:r>
      <w:r>
        <w:rPr>
          <w:rFonts w:cs="Calibri"/>
          <w:spacing w:val="1"/>
          <w:szCs w:val="24"/>
        </w:rPr>
        <w:t>n</w:t>
      </w:r>
      <w:r>
        <w:rPr>
          <w:rFonts w:cs="Calibri"/>
          <w:szCs w:val="24"/>
        </w:rPr>
        <w:t>o</w:t>
      </w:r>
      <w:r>
        <w:rPr>
          <w:rFonts w:cs="Calibri"/>
          <w:spacing w:val="-2"/>
          <w:szCs w:val="24"/>
        </w:rPr>
        <w:t>s</w:t>
      </w:r>
      <w:r>
        <w:rPr>
          <w:rFonts w:cs="Calibri"/>
          <w:spacing w:val="1"/>
          <w:szCs w:val="24"/>
        </w:rPr>
        <w:t>t</w:t>
      </w:r>
      <w:r>
        <w:rPr>
          <w:rFonts w:cs="Calibri"/>
          <w:szCs w:val="24"/>
        </w:rPr>
        <w:t>i</w:t>
      </w:r>
      <w:r>
        <w:rPr>
          <w:rFonts w:cs="Calibri"/>
          <w:spacing w:val="-1"/>
          <w:szCs w:val="24"/>
        </w:rPr>
        <w:t>c</w:t>
      </w:r>
      <w:r>
        <w:rPr>
          <w:rFonts w:cs="Calibri"/>
          <w:szCs w:val="24"/>
        </w:rPr>
        <w:t>s</w:t>
      </w:r>
      <w:r>
        <w:rPr>
          <w:rFonts w:cs="Calibri"/>
          <w:spacing w:val="2"/>
          <w:szCs w:val="24"/>
        </w:rPr>
        <w:t xml:space="preserve"> </w:t>
      </w:r>
      <w:r>
        <w:rPr>
          <w:rFonts w:cs="Calibri"/>
          <w:szCs w:val="24"/>
        </w:rPr>
        <w:t xml:space="preserve">are now </w:t>
      </w:r>
      <w:r>
        <w:rPr>
          <w:rFonts w:cs="Calibri"/>
          <w:spacing w:val="-2"/>
          <w:szCs w:val="24"/>
        </w:rPr>
        <w:t>m</w:t>
      </w:r>
      <w:r>
        <w:rPr>
          <w:rFonts w:cs="Calibri"/>
          <w:szCs w:val="24"/>
        </w:rPr>
        <w:t>a</w:t>
      </w:r>
      <w:r>
        <w:rPr>
          <w:rFonts w:cs="Calibri"/>
          <w:spacing w:val="1"/>
          <w:szCs w:val="24"/>
        </w:rPr>
        <w:t>n</w:t>
      </w:r>
      <w:r>
        <w:rPr>
          <w:rFonts w:cs="Calibri"/>
          <w:szCs w:val="24"/>
        </w:rPr>
        <w:t>aged</w:t>
      </w:r>
      <w:r>
        <w:rPr>
          <w:rFonts w:cs="Calibri"/>
          <w:spacing w:val="-7"/>
          <w:szCs w:val="24"/>
        </w:rPr>
        <w:t xml:space="preserve"> </w:t>
      </w:r>
      <w:r>
        <w:rPr>
          <w:rFonts w:cs="Calibri"/>
          <w:spacing w:val="1"/>
          <w:szCs w:val="24"/>
        </w:rPr>
        <w:t>b</w:t>
      </w:r>
      <w:r>
        <w:rPr>
          <w:rFonts w:cs="Calibri"/>
          <w:szCs w:val="24"/>
        </w:rPr>
        <w:t>y</w:t>
      </w:r>
      <w:r>
        <w:rPr>
          <w:rFonts w:cs="Calibri"/>
          <w:spacing w:val="-2"/>
          <w:szCs w:val="24"/>
        </w:rPr>
        <w:t xml:space="preserve"> </w:t>
      </w:r>
      <w:r>
        <w:rPr>
          <w:rFonts w:cs="Calibri"/>
          <w:spacing w:val="1"/>
          <w:szCs w:val="24"/>
        </w:rPr>
        <w:t>AHC’s</w:t>
      </w:r>
      <w:r>
        <w:rPr>
          <w:rFonts w:cs="Calibri"/>
          <w:spacing w:val="-3"/>
          <w:szCs w:val="24"/>
        </w:rPr>
        <w:t xml:space="preserve"> </w:t>
      </w:r>
      <w:r>
        <w:rPr>
          <w:rFonts w:cs="Calibri"/>
          <w:szCs w:val="24"/>
        </w:rPr>
        <w:t>S</w:t>
      </w:r>
      <w:r>
        <w:rPr>
          <w:rFonts w:cs="Calibri"/>
          <w:spacing w:val="-1"/>
          <w:szCs w:val="24"/>
        </w:rPr>
        <w:t>u</w:t>
      </w:r>
      <w:r>
        <w:rPr>
          <w:rFonts w:cs="Calibri"/>
          <w:spacing w:val="2"/>
          <w:szCs w:val="24"/>
        </w:rPr>
        <w:t>b-</w:t>
      </w:r>
      <w:r>
        <w:rPr>
          <w:rFonts w:cs="Calibri"/>
          <w:spacing w:val="-1"/>
          <w:szCs w:val="24"/>
        </w:rPr>
        <w:t>c</w:t>
      </w:r>
      <w:r>
        <w:rPr>
          <w:rFonts w:cs="Calibri"/>
          <w:szCs w:val="24"/>
        </w:rPr>
        <w:t>o</w:t>
      </w:r>
      <w:r>
        <w:rPr>
          <w:rFonts w:cs="Calibri"/>
          <w:spacing w:val="1"/>
          <w:szCs w:val="24"/>
        </w:rPr>
        <w:t>m</w:t>
      </w:r>
      <w:r>
        <w:rPr>
          <w:rFonts w:cs="Calibri"/>
          <w:spacing w:val="-2"/>
          <w:szCs w:val="24"/>
        </w:rPr>
        <w:t>m</w:t>
      </w:r>
      <w:r>
        <w:rPr>
          <w:rFonts w:cs="Calibri"/>
          <w:szCs w:val="24"/>
        </w:rPr>
        <w:t>i</w:t>
      </w:r>
      <w:r>
        <w:rPr>
          <w:rFonts w:cs="Calibri"/>
          <w:spacing w:val="1"/>
          <w:szCs w:val="24"/>
        </w:rPr>
        <w:t>tt</w:t>
      </w:r>
      <w:r>
        <w:rPr>
          <w:rFonts w:cs="Calibri"/>
          <w:spacing w:val="-2"/>
          <w:szCs w:val="24"/>
        </w:rPr>
        <w:t>e</w:t>
      </w:r>
      <w:r>
        <w:rPr>
          <w:rFonts w:cs="Calibri"/>
          <w:szCs w:val="24"/>
        </w:rPr>
        <w:t>e</w:t>
      </w:r>
      <w:r>
        <w:rPr>
          <w:rFonts w:cs="Calibri"/>
          <w:spacing w:val="-5"/>
          <w:szCs w:val="24"/>
        </w:rPr>
        <w:t xml:space="preserve"> </w:t>
      </w:r>
      <w:r>
        <w:rPr>
          <w:rFonts w:cs="Calibri"/>
          <w:spacing w:val="-2"/>
          <w:szCs w:val="24"/>
        </w:rPr>
        <w:t>o</w:t>
      </w:r>
      <w:r>
        <w:rPr>
          <w:rFonts w:cs="Calibri"/>
          <w:szCs w:val="24"/>
        </w:rPr>
        <w:t>n A</w:t>
      </w:r>
      <w:r>
        <w:rPr>
          <w:rFonts w:cs="Calibri"/>
          <w:spacing w:val="1"/>
          <w:szCs w:val="24"/>
        </w:rPr>
        <w:t>qu</w:t>
      </w:r>
      <w:r>
        <w:rPr>
          <w:rFonts w:cs="Calibri"/>
          <w:spacing w:val="-2"/>
          <w:szCs w:val="24"/>
        </w:rPr>
        <w:t>a</w:t>
      </w:r>
      <w:r>
        <w:rPr>
          <w:rFonts w:cs="Calibri"/>
          <w:spacing w:val="1"/>
          <w:szCs w:val="24"/>
        </w:rPr>
        <w:t>t</w:t>
      </w:r>
      <w:r>
        <w:rPr>
          <w:rFonts w:cs="Calibri"/>
          <w:szCs w:val="24"/>
        </w:rPr>
        <w:t>ic</w:t>
      </w:r>
      <w:r>
        <w:rPr>
          <w:rFonts w:cs="Calibri"/>
          <w:spacing w:val="-1"/>
          <w:szCs w:val="24"/>
        </w:rPr>
        <w:t xml:space="preserve"> </w:t>
      </w:r>
      <w:r>
        <w:rPr>
          <w:rFonts w:cs="Calibri"/>
          <w:szCs w:val="24"/>
        </w:rPr>
        <w:t>A</w:t>
      </w:r>
      <w:r>
        <w:rPr>
          <w:rFonts w:cs="Calibri"/>
          <w:spacing w:val="1"/>
          <w:szCs w:val="24"/>
        </w:rPr>
        <w:t>n</w:t>
      </w:r>
      <w:r>
        <w:rPr>
          <w:rFonts w:cs="Calibri"/>
          <w:spacing w:val="-2"/>
          <w:szCs w:val="24"/>
        </w:rPr>
        <w:t>i</w:t>
      </w:r>
      <w:r>
        <w:rPr>
          <w:rFonts w:cs="Calibri"/>
          <w:szCs w:val="24"/>
        </w:rPr>
        <w:t>mal</w:t>
      </w:r>
      <w:r>
        <w:rPr>
          <w:rFonts w:cs="Calibri"/>
          <w:spacing w:val="1"/>
          <w:szCs w:val="24"/>
        </w:rPr>
        <w:t xml:space="preserve"> </w:t>
      </w:r>
      <w:r>
        <w:rPr>
          <w:rFonts w:cs="Calibri"/>
          <w:spacing w:val="-1"/>
          <w:szCs w:val="24"/>
        </w:rPr>
        <w:t>H</w:t>
      </w:r>
      <w:r>
        <w:rPr>
          <w:rFonts w:cs="Calibri"/>
          <w:szCs w:val="24"/>
        </w:rPr>
        <w:t>e</w:t>
      </w:r>
      <w:r>
        <w:rPr>
          <w:rFonts w:cs="Calibri"/>
          <w:spacing w:val="1"/>
          <w:szCs w:val="24"/>
        </w:rPr>
        <w:t>a</w:t>
      </w:r>
      <w:r>
        <w:rPr>
          <w:rFonts w:cs="Calibri"/>
          <w:spacing w:val="-2"/>
          <w:szCs w:val="24"/>
        </w:rPr>
        <w:t>l</w:t>
      </w:r>
      <w:r>
        <w:rPr>
          <w:rFonts w:cs="Calibri"/>
          <w:spacing w:val="1"/>
          <w:szCs w:val="24"/>
        </w:rPr>
        <w:t>t</w:t>
      </w:r>
      <w:r>
        <w:rPr>
          <w:rFonts w:cs="Calibri"/>
          <w:szCs w:val="24"/>
        </w:rPr>
        <w:t>h</w:t>
      </w:r>
      <w:r>
        <w:rPr>
          <w:rFonts w:cs="Calibri"/>
          <w:spacing w:val="-1"/>
          <w:szCs w:val="24"/>
        </w:rPr>
        <w:t xml:space="preserve"> (</w:t>
      </w:r>
      <w:r>
        <w:rPr>
          <w:rFonts w:cs="Calibri"/>
          <w:szCs w:val="24"/>
        </w:rPr>
        <w:t>SCAA</w:t>
      </w:r>
      <w:r>
        <w:rPr>
          <w:rFonts w:cs="Calibri"/>
          <w:spacing w:val="-1"/>
          <w:szCs w:val="24"/>
        </w:rPr>
        <w:t>H</w:t>
      </w:r>
      <w:r>
        <w:rPr>
          <w:rFonts w:cs="Calibri"/>
          <w:szCs w:val="24"/>
        </w:rPr>
        <w:t>).</w:t>
      </w:r>
      <w:r>
        <w:rPr>
          <w:rFonts w:cs="Calibri"/>
          <w:b/>
          <w:szCs w:val="24"/>
        </w:rPr>
        <w:t xml:space="preserve"> </w:t>
      </w:r>
      <w:r>
        <w:rPr>
          <w:rFonts w:cs="Calibri"/>
          <w:szCs w:val="24"/>
        </w:rPr>
        <w:t xml:space="preserve">SCAAH’s purpose is </w:t>
      </w:r>
      <w:r>
        <w:t>to provide scientific, technical and strategic advice to the AHC on aquatic animal health issues. Its core members are Australian and NZ government, AAHL and university representatives (normally aquatic animal health specialists). Other academic or private specialists are co-opted when needed.</w:t>
      </w:r>
    </w:p>
    <w:p w14:paraId="47929A20" w14:textId="11B0C38A" w:rsidR="00CC703E" w:rsidRDefault="00E37FDB">
      <w:pPr>
        <w:spacing w:after="0"/>
        <w:ind w:right="125"/>
        <w:rPr>
          <w:rFonts w:cs="Calibri"/>
          <w:szCs w:val="24"/>
        </w:rPr>
      </w:pPr>
      <w:r>
        <w:rPr>
          <w:rFonts w:cs="Calibri"/>
          <w:szCs w:val="24"/>
        </w:rPr>
        <w:t xml:space="preserve">This arrangement is understandable given the huge diversity of aquatic animals and their varied health issues. However, laboratory diagnostic testing for aquatic animal diseases should </w:t>
      </w:r>
      <w:r w:rsidR="000C7995">
        <w:rPr>
          <w:rFonts w:cs="Calibri"/>
          <w:szCs w:val="24"/>
        </w:rPr>
        <w:t xml:space="preserve">also </w:t>
      </w:r>
      <w:r>
        <w:rPr>
          <w:rFonts w:cs="Calibri"/>
          <w:szCs w:val="24"/>
        </w:rPr>
        <w:t>be subject to national coordination and oversight through the National Laboratory Task Group, especially in regard to quality assurance and test standardisation.</w:t>
      </w:r>
    </w:p>
    <w:p w14:paraId="5E2F88ED" w14:textId="77777777" w:rsidR="00CC703E" w:rsidRDefault="00E37FDB" w:rsidP="007E7627">
      <w:pPr>
        <w:pStyle w:val="Heading4"/>
      </w:pPr>
      <w:r>
        <w:t>Departmental approval for laboratories to conduct import testing</w:t>
      </w:r>
    </w:p>
    <w:p w14:paraId="60A4DAFD" w14:textId="36AE96D4" w:rsidR="00CC703E" w:rsidRDefault="00E37FDB">
      <w:pPr>
        <w:spacing w:after="0"/>
        <w:ind w:right="-23"/>
        <w:rPr>
          <w:rFonts w:cs="Calibri"/>
          <w:szCs w:val="24"/>
        </w:rPr>
      </w:pPr>
      <w:r>
        <w:rPr>
          <w:rFonts w:cs="Calibri"/>
          <w:szCs w:val="24"/>
        </w:rPr>
        <w:t>U</w:t>
      </w:r>
      <w:r>
        <w:rPr>
          <w:rFonts w:cs="Calibri"/>
          <w:spacing w:val="-1"/>
          <w:szCs w:val="24"/>
        </w:rPr>
        <w:t>n</w:t>
      </w:r>
      <w:r>
        <w:rPr>
          <w:rFonts w:cs="Calibri"/>
          <w:spacing w:val="1"/>
          <w:szCs w:val="24"/>
        </w:rPr>
        <w:t>d</w:t>
      </w:r>
      <w:r>
        <w:rPr>
          <w:rFonts w:cs="Calibri"/>
          <w:szCs w:val="24"/>
        </w:rPr>
        <w:t>er</w:t>
      </w:r>
      <w:r>
        <w:rPr>
          <w:rFonts w:cs="Calibri"/>
          <w:spacing w:val="-3"/>
          <w:szCs w:val="24"/>
        </w:rPr>
        <w:t xml:space="preserve"> </w:t>
      </w:r>
      <w:r>
        <w:rPr>
          <w:rFonts w:cs="Calibri"/>
          <w:spacing w:val="-1"/>
          <w:szCs w:val="24"/>
        </w:rPr>
        <w:t>t</w:t>
      </w:r>
      <w:r>
        <w:rPr>
          <w:rFonts w:cs="Calibri"/>
          <w:spacing w:val="1"/>
          <w:szCs w:val="24"/>
        </w:rPr>
        <w:t>h</w:t>
      </w:r>
      <w:r>
        <w:rPr>
          <w:rFonts w:cs="Calibri"/>
          <w:szCs w:val="24"/>
        </w:rPr>
        <w:t>e</w:t>
      </w:r>
      <w:r>
        <w:rPr>
          <w:rFonts w:cs="Calibri"/>
          <w:spacing w:val="-1"/>
          <w:szCs w:val="24"/>
        </w:rPr>
        <w:t xml:space="preserve"> </w:t>
      </w:r>
      <w:r>
        <w:rPr>
          <w:rFonts w:cs="Calibri"/>
          <w:i/>
          <w:spacing w:val="-1"/>
          <w:szCs w:val="24"/>
        </w:rPr>
        <w:t>B</w:t>
      </w:r>
      <w:r>
        <w:rPr>
          <w:rFonts w:cs="Calibri"/>
          <w:i/>
          <w:szCs w:val="24"/>
        </w:rPr>
        <w:t>ios</w:t>
      </w:r>
      <w:r>
        <w:rPr>
          <w:rFonts w:cs="Calibri"/>
          <w:i/>
          <w:spacing w:val="-1"/>
          <w:szCs w:val="24"/>
        </w:rPr>
        <w:t>ec</w:t>
      </w:r>
      <w:r>
        <w:rPr>
          <w:rFonts w:cs="Calibri"/>
          <w:i/>
          <w:spacing w:val="1"/>
          <w:szCs w:val="24"/>
        </w:rPr>
        <w:t>u</w:t>
      </w:r>
      <w:r>
        <w:rPr>
          <w:rFonts w:cs="Calibri"/>
          <w:i/>
          <w:szCs w:val="24"/>
        </w:rPr>
        <w:t>ri</w:t>
      </w:r>
      <w:r>
        <w:rPr>
          <w:rFonts w:cs="Calibri"/>
          <w:i/>
          <w:spacing w:val="1"/>
          <w:szCs w:val="24"/>
        </w:rPr>
        <w:t>t</w:t>
      </w:r>
      <w:r>
        <w:rPr>
          <w:rFonts w:cs="Calibri"/>
          <w:i/>
          <w:szCs w:val="24"/>
        </w:rPr>
        <w:t>y</w:t>
      </w:r>
      <w:r>
        <w:rPr>
          <w:rFonts w:cs="Calibri"/>
          <w:i/>
          <w:spacing w:val="-3"/>
          <w:szCs w:val="24"/>
        </w:rPr>
        <w:t xml:space="preserve"> </w:t>
      </w:r>
      <w:r>
        <w:rPr>
          <w:rFonts w:cs="Calibri"/>
          <w:i/>
          <w:szCs w:val="24"/>
        </w:rPr>
        <w:t>Act</w:t>
      </w:r>
      <w:r>
        <w:rPr>
          <w:rFonts w:cs="Calibri"/>
          <w:i/>
          <w:spacing w:val="-4"/>
          <w:szCs w:val="24"/>
        </w:rPr>
        <w:t xml:space="preserve"> </w:t>
      </w:r>
      <w:r>
        <w:rPr>
          <w:rFonts w:cs="Calibri"/>
          <w:i/>
          <w:szCs w:val="24"/>
        </w:rPr>
        <w:t>2</w:t>
      </w:r>
      <w:r>
        <w:rPr>
          <w:rFonts w:cs="Calibri"/>
          <w:i/>
          <w:spacing w:val="-1"/>
          <w:szCs w:val="24"/>
        </w:rPr>
        <w:t>0</w:t>
      </w:r>
      <w:r>
        <w:rPr>
          <w:rFonts w:cs="Calibri"/>
          <w:i/>
          <w:szCs w:val="24"/>
        </w:rPr>
        <w:t>1</w:t>
      </w:r>
      <w:r>
        <w:rPr>
          <w:rFonts w:cs="Calibri"/>
          <w:i/>
          <w:spacing w:val="1"/>
          <w:szCs w:val="24"/>
        </w:rPr>
        <w:t>5</w:t>
      </w:r>
      <w:r>
        <w:rPr>
          <w:rFonts w:cs="Calibri"/>
          <w:szCs w:val="24"/>
        </w:rPr>
        <w:t>, t</w:t>
      </w:r>
      <w:r>
        <w:rPr>
          <w:rFonts w:cs="Calibri"/>
          <w:spacing w:val="2"/>
          <w:szCs w:val="24"/>
        </w:rPr>
        <w:t>h</w:t>
      </w:r>
      <w:r>
        <w:rPr>
          <w:rFonts w:cs="Calibri"/>
          <w:szCs w:val="24"/>
        </w:rPr>
        <w:t>e</w:t>
      </w:r>
      <w:r>
        <w:rPr>
          <w:rFonts w:cs="Calibri"/>
          <w:spacing w:val="-2"/>
          <w:szCs w:val="24"/>
        </w:rPr>
        <w:t xml:space="preserve"> </w:t>
      </w:r>
      <w:r>
        <w:rPr>
          <w:rFonts w:cs="Calibri"/>
          <w:spacing w:val="1"/>
          <w:szCs w:val="24"/>
        </w:rPr>
        <w:t>D</w:t>
      </w:r>
      <w:r>
        <w:rPr>
          <w:rFonts w:cs="Calibri"/>
          <w:spacing w:val="-2"/>
          <w:szCs w:val="24"/>
        </w:rPr>
        <w:t>e</w:t>
      </w:r>
      <w:r>
        <w:rPr>
          <w:rFonts w:cs="Calibri"/>
          <w:spacing w:val="1"/>
          <w:szCs w:val="24"/>
        </w:rPr>
        <w:t>p</w:t>
      </w:r>
      <w:r>
        <w:rPr>
          <w:rFonts w:cs="Calibri"/>
          <w:szCs w:val="24"/>
        </w:rPr>
        <w:t>ar</w:t>
      </w:r>
      <w:r>
        <w:rPr>
          <w:rFonts w:cs="Calibri"/>
          <w:spacing w:val="2"/>
          <w:szCs w:val="24"/>
        </w:rPr>
        <w:t>t</w:t>
      </w:r>
      <w:r>
        <w:rPr>
          <w:rFonts w:cs="Calibri"/>
          <w:spacing w:val="-2"/>
          <w:szCs w:val="24"/>
        </w:rPr>
        <w:t>m</w:t>
      </w:r>
      <w:r>
        <w:rPr>
          <w:rFonts w:cs="Calibri"/>
          <w:szCs w:val="24"/>
        </w:rPr>
        <w:t>e</w:t>
      </w:r>
      <w:r>
        <w:rPr>
          <w:rFonts w:cs="Calibri"/>
          <w:spacing w:val="-1"/>
          <w:szCs w:val="24"/>
        </w:rPr>
        <w:t>n</w:t>
      </w:r>
      <w:r>
        <w:rPr>
          <w:rFonts w:cs="Calibri"/>
          <w:szCs w:val="24"/>
        </w:rPr>
        <w:t>t</w:t>
      </w:r>
      <w:r>
        <w:rPr>
          <w:rFonts w:cs="Calibri"/>
          <w:spacing w:val="-7"/>
          <w:szCs w:val="24"/>
        </w:rPr>
        <w:t xml:space="preserve"> </w:t>
      </w:r>
      <w:r>
        <w:rPr>
          <w:rFonts w:cs="Calibri"/>
          <w:spacing w:val="-2"/>
          <w:szCs w:val="24"/>
        </w:rPr>
        <w:t>o</w:t>
      </w:r>
      <w:r>
        <w:rPr>
          <w:rFonts w:cs="Calibri"/>
          <w:szCs w:val="24"/>
        </w:rPr>
        <w:t>f</w:t>
      </w:r>
      <w:r>
        <w:rPr>
          <w:rFonts w:cs="Calibri"/>
          <w:spacing w:val="2"/>
          <w:szCs w:val="24"/>
        </w:rPr>
        <w:t xml:space="preserve"> </w:t>
      </w:r>
      <w:r>
        <w:rPr>
          <w:rFonts w:cs="Calibri"/>
          <w:szCs w:val="24"/>
        </w:rPr>
        <w:t>Agri</w:t>
      </w:r>
      <w:r>
        <w:rPr>
          <w:rFonts w:cs="Calibri"/>
          <w:spacing w:val="-2"/>
          <w:szCs w:val="24"/>
        </w:rPr>
        <w:t>c</w:t>
      </w:r>
      <w:r>
        <w:rPr>
          <w:rFonts w:cs="Calibri"/>
          <w:spacing w:val="1"/>
          <w:szCs w:val="24"/>
        </w:rPr>
        <w:t>u</w:t>
      </w:r>
      <w:r>
        <w:rPr>
          <w:rFonts w:cs="Calibri"/>
          <w:szCs w:val="24"/>
        </w:rPr>
        <w:t>l</w:t>
      </w:r>
      <w:r>
        <w:rPr>
          <w:rFonts w:cs="Calibri"/>
          <w:spacing w:val="1"/>
          <w:szCs w:val="24"/>
        </w:rPr>
        <w:t>t</w:t>
      </w:r>
      <w:r>
        <w:rPr>
          <w:rFonts w:cs="Calibri"/>
          <w:spacing w:val="-1"/>
          <w:szCs w:val="24"/>
        </w:rPr>
        <w:t>u</w:t>
      </w:r>
      <w:r>
        <w:rPr>
          <w:rFonts w:cs="Calibri"/>
          <w:szCs w:val="24"/>
        </w:rPr>
        <w:t>re</w:t>
      </w:r>
      <w:r>
        <w:rPr>
          <w:rFonts w:cs="Calibri"/>
          <w:spacing w:val="-6"/>
          <w:szCs w:val="24"/>
        </w:rPr>
        <w:t xml:space="preserve"> </w:t>
      </w:r>
      <w:r>
        <w:rPr>
          <w:rFonts w:cs="Calibri"/>
          <w:spacing w:val="-2"/>
          <w:szCs w:val="24"/>
        </w:rPr>
        <w:t>a</w:t>
      </w:r>
      <w:r>
        <w:rPr>
          <w:rFonts w:cs="Calibri"/>
          <w:spacing w:val="1"/>
          <w:szCs w:val="24"/>
        </w:rPr>
        <w:t>n</w:t>
      </w:r>
      <w:r>
        <w:rPr>
          <w:rFonts w:cs="Calibri"/>
          <w:szCs w:val="24"/>
        </w:rPr>
        <w:t>d</w:t>
      </w:r>
      <w:r>
        <w:rPr>
          <w:rFonts w:cs="Calibri"/>
          <w:spacing w:val="-1"/>
          <w:szCs w:val="24"/>
        </w:rPr>
        <w:t xml:space="preserve"> </w:t>
      </w:r>
      <w:r>
        <w:rPr>
          <w:rFonts w:cs="Calibri"/>
          <w:szCs w:val="24"/>
        </w:rPr>
        <w:t>Wa</w:t>
      </w:r>
      <w:r>
        <w:rPr>
          <w:rFonts w:cs="Calibri"/>
          <w:spacing w:val="1"/>
          <w:szCs w:val="24"/>
        </w:rPr>
        <w:t>t</w:t>
      </w:r>
      <w:r>
        <w:rPr>
          <w:rFonts w:cs="Calibri"/>
          <w:spacing w:val="-2"/>
          <w:szCs w:val="24"/>
        </w:rPr>
        <w:t>e</w:t>
      </w:r>
      <w:r>
        <w:rPr>
          <w:rFonts w:cs="Calibri"/>
          <w:szCs w:val="24"/>
        </w:rPr>
        <w:t>r</w:t>
      </w:r>
      <w:r>
        <w:rPr>
          <w:rFonts w:cs="Calibri"/>
          <w:spacing w:val="-5"/>
          <w:szCs w:val="24"/>
        </w:rPr>
        <w:t xml:space="preserve"> </w:t>
      </w:r>
      <w:r>
        <w:rPr>
          <w:rFonts w:cs="Calibri"/>
          <w:szCs w:val="24"/>
        </w:rPr>
        <w:t>Res</w:t>
      </w:r>
      <w:r>
        <w:rPr>
          <w:rFonts w:cs="Calibri"/>
          <w:spacing w:val="-2"/>
          <w:szCs w:val="24"/>
        </w:rPr>
        <w:t>o</w:t>
      </w:r>
      <w:r>
        <w:rPr>
          <w:rFonts w:cs="Calibri"/>
          <w:spacing w:val="1"/>
          <w:szCs w:val="24"/>
        </w:rPr>
        <w:t>u</w:t>
      </w:r>
      <w:r>
        <w:rPr>
          <w:rFonts w:cs="Calibri"/>
          <w:spacing w:val="-2"/>
          <w:szCs w:val="24"/>
        </w:rPr>
        <w:t>r</w:t>
      </w:r>
      <w:r>
        <w:rPr>
          <w:rFonts w:cs="Calibri"/>
          <w:spacing w:val="-1"/>
          <w:szCs w:val="24"/>
        </w:rPr>
        <w:t>c</w:t>
      </w:r>
      <w:r>
        <w:rPr>
          <w:rFonts w:cs="Calibri"/>
          <w:szCs w:val="24"/>
        </w:rPr>
        <w:t>es</w:t>
      </w:r>
      <w:r>
        <w:rPr>
          <w:rFonts w:cs="Calibri"/>
          <w:spacing w:val="-8"/>
          <w:szCs w:val="24"/>
        </w:rPr>
        <w:t xml:space="preserve"> </w:t>
      </w:r>
      <w:r>
        <w:rPr>
          <w:rFonts w:cs="Calibri"/>
          <w:spacing w:val="1"/>
          <w:szCs w:val="24"/>
        </w:rPr>
        <w:t>h</w:t>
      </w:r>
      <w:r>
        <w:rPr>
          <w:rFonts w:cs="Calibri"/>
          <w:szCs w:val="24"/>
        </w:rPr>
        <w:t>as</w:t>
      </w:r>
      <w:r>
        <w:rPr>
          <w:rFonts w:cs="Calibri"/>
          <w:spacing w:val="1"/>
          <w:szCs w:val="24"/>
        </w:rPr>
        <w:t xml:space="preserve"> </w:t>
      </w:r>
      <w:r>
        <w:rPr>
          <w:rFonts w:cs="Calibri"/>
          <w:szCs w:val="24"/>
        </w:rPr>
        <w:t>a</w:t>
      </w:r>
      <w:r>
        <w:rPr>
          <w:rFonts w:cs="Calibri"/>
          <w:spacing w:val="-1"/>
          <w:szCs w:val="24"/>
        </w:rPr>
        <w:t xml:space="preserve"> </w:t>
      </w:r>
      <w:r>
        <w:rPr>
          <w:rFonts w:cs="Calibri"/>
          <w:spacing w:val="1"/>
          <w:szCs w:val="24"/>
        </w:rPr>
        <w:t>n</w:t>
      </w:r>
      <w:r>
        <w:rPr>
          <w:rFonts w:cs="Calibri"/>
          <w:spacing w:val="-2"/>
          <w:szCs w:val="24"/>
        </w:rPr>
        <w:t>a</w:t>
      </w:r>
      <w:r>
        <w:rPr>
          <w:rFonts w:cs="Calibri"/>
          <w:spacing w:val="1"/>
          <w:szCs w:val="24"/>
        </w:rPr>
        <w:t>t</w:t>
      </w:r>
      <w:r>
        <w:rPr>
          <w:rFonts w:cs="Calibri"/>
          <w:szCs w:val="24"/>
        </w:rPr>
        <w:t>io</w:t>
      </w:r>
      <w:r>
        <w:rPr>
          <w:rFonts w:cs="Calibri"/>
          <w:spacing w:val="2"/>
          <w:szCs w:val="24"/>
        </w:rPr>
        <w:t>n</w:t>
      </w:r>
      <w:r>
        <w:rPr>
          <w:rFonts w:cs="Calibri"/>
          <w:spacing w:val="-2"/>
          <w:szCs w:val="24"/>
        </w:rPr>
        <w:t>a</w:t>
      </w:r>
      <w:r>
        <w:rPr>
          <w:rFonts w:cs="Calibri"/>
          <w:szCs w:val="24"/>
        </w:rPr>
        <w:t xml:space="preserve">l </w:t>
      </w:r>
      <w:r>
        <w:rPr>
          <w:rFonts w:cs="Calibri"/>
          <w:spacing w:val="-1"/>
          <w:szCs w:val="24"/>
        </w:rPr>
        <w:t>p</w:t>
      </w:r>
      <w:r>
        <w:rPr>
          <w:rFonts w:cs="Calibri"/>
          <w:szCs w:val="24"/>
        </w:rPr>
        <w:t>olicy</w:t>
      </w:r>
      <w:r>
        <w:rPr>
          <w:rFonts w:cs="Calibri"/>
          <w:spacing w:val="-2"/>
          <w:szCs w:val="24"/>
        </w:rPr>
        <w:t xml:space="preserve"> </w:t>
      </w:r>
      <w:r>
        <w:rPr>
          <w:rFonts w:cs="Calibri"/>
          <w:szCs w:val="24"/>
        </w:rPr>
        <w:t>a</w:t>
      </w:r>
      <w:r>
        <w:rPr>
          <w:rFonts w:cs="Calibri"/>
          <w:spacing w:val="1"/>
          <w:szCs w:val="24"/>
        </w:rPr>
        <w:t>n</w:t>
      </w:r>
      <w:r>
        <w:rPr>
          <w:rFonts w:cs="Calibri"/>
          <w:szCs w:val="24"/>
        </w:rPr>
        <w:t>d</w:t>
      </w:r>
      <w:r>
        <w:rPr>
          <w:rFonts w:cs="Calibri"/>
          <w:spacing w:val="-1"/>
          <w:szCs w:val="24"/>
        </w:rPr>
        <w:t xml:space="preserve"> </w:t>
      </w:r>
      <w:r>
        <w:rPr>
          <w:rFonts w:cs="Calibri"/>
          <w:szCs w:val="24"/>
        </w:rPr>
        <w:t>r</w:t>
      </w:r>
      <w:r>
        <w:rPr>
          <w:rFonts w:cs="Calibri"/>
          <w:spacing w:val="1"/>
          <w:szCs w:val="24"/>
        </w:rPr>
        <w:t>e</w:t>
      </w:r>
      <w:r>
        <w:rPr>
          <w:rFonts w:cs="Calibri"/>
          <w:szCs w:val="24"/>
        </w:rPr>
        <w:t>g</w:t>
      </w:r>
      <w:r>
        <w:rPr>
          <w:rFonts w:cs="Calibri"/>
          <w:spacing w:val="1"/>
          <w:szCs w:val="24"/>
        </w:rPr>
        <w:t>u</w:t>
      </w:r>
      <w:r>
        <w:rPr>
          <w:rFonts w:cs="Calibri"/>
          <w:szCs w:val="24"/>
        </w:rPr>
        <w:t>l</w:t>
      </w:r>
      <w:r>
        <w:rPr>
          <w:rFonts w:cs="Calibri"/>
          <w:spacing w:val="-2"/>
          <w:szCs w:val="24"/>
        </w:rPr>
        <w:t>a</w:t>
      </w:r>
      <w:r>
        <w:rPr>
          <w:rFonts w:cs="Calibri"/>
          <w:spacing w:val="1"/>
          <w:szCs w:val="24"/>
        </w:rPr>
        <w:t>t</w:t>
      </w:r>
      <w:r>
        <w:rPr>
          <w:rFonts w:cs="Calibri"/>
          <w:szCs w:val="24"/>
        </w:rPr>
        <w:t>o</w:t>
      </w:r>
      <w:r>
        <w:rPr>
          <w:rFonts w:cs="Calibri"/>
          <w:spacing w:val="1"/>
          <w:szCs w:val="24"/>
        </w:rPr>
        <w:t>r</w:t>
      </w:r>
      <w:r>
        <w:rPr>
          <w:rFonts w:cs="Calibri"/>
          <w:szCs w:val="24"/>
        </w:rPr>
        <w:t>y r</w:t>
      </w:r>
      <w:r>
        <w:rPr>
          <w:rFonts w:cs="Calibri"/>
          <w:spacing w:val="1"/>
          <w:szCs w:val="24"/>
        </w:rPr>
        <w:t>o</w:t>
      </w:r>
      <w:r>
        <w:rPr>
          <w:rFonts w:cs="Calibri"/>
          <w:szCs w:val="24"/>
        </w:rPr>
        <w:t>le</w:t>
      </w:r>
      <w:r>
        <w:rPr>
          <w:rFonts w:cs="Calibri"/>
          <w:spacing w:val="-1"/>
          <w:szCs w:val="24"/>
        </w:rPr>
        <w:t xml:space="preserve"> </w:t>
      </w:r>
      <w:r>
        <w:rPr>
          <w:rFonts w:cs="Calibri"/>
          <w:spacing w:val="-2"/>
          <w:szCs w:val="24"/>
        </w:rPr>
        <w:t>i</w:t>
      </w:r>
      <w:r>
        <w:rPr>
          <w:rFonts w:cs="Calibri"/>
          <w:szCs w:val="24"/>
        </w:rPr>
        <w:t>n</w:t>
      </w:r>
      <w:r>
        <w:rPr>
          <w:rFonts w:cs="Calibri"/>
          <w:spacing w:val="2"/>
          <w:szCs w:val="24"/>
        </w:rPr>
        <w:t xml:space="preserve"> </w:t>
      </w:r>
      <w:r>
        <w:rPr>
          <w:rFonts w:cs="Calibri"/>
          <w:szCs w:val="24"/>
        </w:rPr>
        <w:t>approved</w:t>
      </w:r>
      <w:r>
        <w:rPr>
          <w:rFonts w:cs="Calibri"/>
          <w:spacing w:val="-4"/>
          <w:szCs w:val="24"/>
        </w:rPr>
        <w:t xml:space="preserve"> </w:t>
      </w:r>
      <w:r>
        <w:rPr>
          <w:rFonts w:cs="Calibri"/>
          <w:spacing w:val="-2"/>
          <w:szCs w:val="24"/>
        </w:rPr>
        <w:t>a</w:t>
      </w:r>
      <w:r>
        <w:rPr>
          <w:rFonts w:cs="Calibri"/>
          <w:szCs w:val="24"/>
        </w:rPr>
        <w:t>rra</w:t>
      </w:r>
      <w:r>
        <w:rPr>
          <w:rFonts w:cs="Calibri"/>
          <w:spacing w:val="2"/>
          <w:szCs w:val="24"/>
        </w:rPr>
        <w:t>n</w:t>
      </w:r>
      <w:r>
        <w:rPr>
          <w:rFonts w:cs="Calibri"/>
          <w:spacing w:val="-3"/>
          <w:szCs w:val="24"/>
        </w:rPr>
        <w:t>g</w:t>
      </w:r>
      <w:r>
        <w:rPr>
          <w:rFonts w:cs="Calibri"/>
          <w:szCs w:val="24"/>
        </w:rPr>
        <w:t>em</w:t>
      </w:r>
      <w:r>
        <w:rPr>
          <w:rFonts w:cs="Calibri"/>
          <w:spacing w:val="1"/>
          <w:szCs w:val="24"/>
        </w:rPr>
        <w:t>e</w:t>
      </w:r>
      <w:r>
        <w:rPr>
          <w:rFonts w:cs="Calibri"/>
          <w:spacing w:val="-1"/>
          <w:szCs w:val="24"/>
        </w:rPr>
        <w:t>n</w:t>
      </w:r>
      <w:r>
        <w:rPr>
          <w:rFonts w:cs="Calibri"/>
          <w:spacing w:val="1"/>
          <w:szCs w:val="24"/>
        </w:rPr>
        <w:t>t</w:t>
      </w:r>
      <w:r>
        <w:rPr>
          <w:rFonts w:cs="Calibri"/>
          <w:szCs w:val="24"/>
        </w:rPr>
        <w:t>s</w:t>
      </w:r>
      <w:r>
        <w:rPr>
          <w:rFonts w:cs="Calibri"/>
          <w:spacing w:val="-12"/>
          <w:szCs w:val="24"/>
        </w:rPr>
        <w:t xml:space="preserve"> </w:t>
      </w:r>
      <w:r>
        <w:rPr>
          <w:rFonts w:cs="Calibri"/>
          <w:szCs w:val="24"/>
        </w:rPr>
        <w:t>co</w:t>
      </w:r>
      <w:r>
        <w:rPr>
          <w:rFonts w:cs="Calibri"/>
          <w:spacing w:val="1"/>
          <w:szCs w:val="24"/>
        </w:rPr>
        <w:t>n</w:t>
      </w:r>
      <w:r>
        <w:rPr>
          <w:rFonts w:cs="Calibri"/>
          <w:spacing w:val="-1"/>
          <w:szCs w:val="24"/>
        </w:rPr>
        <w:t>c</w:t>
      </w:r>
      <w:r>
        <w:rPr>
          <w:rFonts w:cs="Calibri"/>
          <w:spacing w:val="-2"/>
          <w:szCs w:val="24"/>
        </w:rPr>
        <w:t>e</w:t>
      </w:r>
      <w:r>
        <w:rPr>
          <w:rFonts w:cs="Calibri"/>
          <w:szCs w:val="24"/>
        </w:rPr>
        <w:t>r</w:t>
      </w:r>
      <w:r>
        <w:rPr>
          <w:rFonts w:cs="Calibri"/>
          <w:spacing w:val="1"/>
          <w:szCs w:val="24"/>
        </w:rPr>
        <w:t>n</w:t>
      </w:r>
      <w:r>
        <w:rPr>
          <w:rFonts w:cs="Calibri"/>
          <w:spacing w:val="-2"/>
          <w:szCs w:val="24"/>
        </w:rPr>
        <w:t>i</w:t>
      </w:r>
      <w:r>
        <w:rPr>
          <w:rFonts w:cs="Calibri"/>
          <w:spacing w:val="1"/>
          <w:szCs w:val="24"/>
        </w:rPr>
        <w:t>n</w:t>
      </w:r>
      <w:r>
        <w:rPr>
          <w:rFonts w:cs="Calibri"/>
          <w:szCs w:val="24"/>
        </w:rPr>
        <w:t xml:space="preserve">g </w:t>
      </w:r>
      <w:r>
        <w:rPr>
          <w:rFonts w:cs="Calibri"/>
          <w:spacing w:val="1"/>
          <w:szCs w:val="24"/>
        </w:rPr>
        <w:t>b</w:t>
      </w:r>
      <w:r>
        <w:rPr>
          <w:rFonts w:cs="Calibri"/>
          <w:szCs w:val="24"/>
        </w:rPr>
        <w:t>iocontai</w:t>
      </w:r>
      <w:r>
        <w:rPr>
          <w:rFonts w:cs="Calibri"/>
          <w:spacing w:val="1"/>
          <w:szCs w:val="24"/>
        </w:rPr>
        <w:t>n</w:t>
      </w:r>
      <w:r>
        <w:rPr>
          <w:rFonts w:cs="Calibri"/>
          <w:spacing w:val="-2"/>
          <w:szCs w:val="24"/>
        </w:rPr>
        <w:t>m</w:t>
      </w:r>
      <w:r>
        <w:rPr>
          <w:rFonts w:cs="Calibri"/>
          <w:szCs w:val="24"/>
        </w:rPr>
        <w:t>e</w:t>
      </w:r>
      <w:r>
        <w:rPr>
          <w:rFonts w:cs="Calibri"/>
          <w:spacing w:val="-1"/>
          <w:szCs w:val="24"/>
        </w:rPr>
        <w:t>n</w:t>
      </w:r>
      <w:r>
        <w:rPr>
          <w:rFonts w:cs="Calibri"/>
          <w:szCs w:val="24"/>
        </w:rPr>
        <w:t>t</w:t>
      </w:r>
      <w:r>
        <w:rPr>
          <w:rFonts w:cs="Calibri"/>
          <w:spacing w:val="-3"/>
          <w:szCs w:val="24"/>
        </w:rPr>
        <w:t xml:space="preserve"> </w:t>
      </w:r>
      <w:r>
        <w:rPr>
          <w:rFonts w:cs="Calibri"/>
          <w:spacing w:val="-1"/>
          <w:szCs w:val="24"/>
        </w:rPr>
        <w:t>f</w:t>
      </w:r>
      <w:r>
        <w:rPr>
          <w:rFonts w:cs="Calibri"/>
          <w:szCs w:val="24"/>
        </w:rPr>
        <w:t>acili</w:t>
      </w:r>
      <w:r>
        <w:rPr>
          <w:rFonts w:cs="Calibri"/>
          <w:spacing w:val="1"/>
          <w:szCs w:val="24"/>
        </w:rPr>
        <w:t>t</w:t>
      </w:r>
      <w:r>
        <w:rPr>
          <w:rFonts w:cs="Calibri"/>
          <w:szCs w:val="24"/>
        </w:rPr>
        <w:t>ie</w:t>
      </w:r>
      <w:r>
        <w:rPr>
          <w:rFonts w:cs="Calibri"/>
          <w:spacing w:val="-2"/>
          <w:szCs w:val="24"/>
        </w:rPr>
        <w:t>s</w:t>
      </w:r>
      <w:r>
        <w:rPr>
          <w:rFonts w:cs="Calibri"/>
          <w:szCs w:val="24"/>
        </w:rPr>
        <w:t>.</w:t>
      </w:r>
    </w:p>
    <w:p w14:paraId="2F721585" w14:textId="352A02F4" w:rsidR="00CC703E" w:rsidRDefault="00E37FDB">
      <w:pPr>
        <w:spacing w:after="0"/>
        <w:ind w:right="125"/>
        <w:rPr>
          <w:rFonts w:cs="Calibri"/>
          <w:b/>
          <w:bCs/>
          <w:szCs w:val="24"/>
        </w:rPr>
      </w:pPr>
      <w:r>
        <w:t xml:space="preserve">The department also approves government and private laboratories to carry out import testing. It has separate approval processes and requirements for handling </w:t>
      </w:r>
      <w:r>
        <w:lastRenderedPageBreak/>
        <w:t>specimens that may contain exotic pathogens, and technical requirements for the performance of different tests.</w:t>
      </w:r>
    </w:p>
    <w:p w14:paraId="46B06196" w14:textId="54CEC77B" w:rsidR="00CC703E" w:rsidRDefault="00E37FDB" w:rsidP="007E7627">
      <w:pPr>
        <w:pStyle w:val="Heading2"/>
      </w:pPr>
      <w:bookmarkStart w:id="117" w:name="_Toc491784107"/>
      <w:bookmarkStart w:id="118" w:name="_Toc500508396"/>
      <w:bookmarkEnd w:id="104"/>
      <w:bookmarkEnd w:id="111"/>
      <w:bookmarkEnd w:id="112"/>
      <w:bookmarkEnd w:id="113"/>
      <w:bookmarkEnd w:id="114"/>
      <w:bookmarkEnd w:id="115"/>
      <w:r>
        <w:lastRenderedPageBreak/>
        <w:t xml:space="preserve">Generic import risk analysis </w:t>
      </w:r>
      <w:r w:rsidR="003770A8" w:rsidRPr="003770A8">
        <w:t xml:space="preserve">(IRA) </w:t>
      </w:r>
      <w:r>
        <w:t>for prawns</w:t>
      </w:r>
      <w:bookmarkEnd w:id="117"/>
      <w:r>
        <w:t>, 2009</w:t>
      </w:r>
      <w:bookmarkEnd w:id="118"/>
    </w:p>
    <w:p w14:paraId="779CA243" w14:textId="0963C781" w:rsidR="00CC703E" w:rsidRPr="007E7627" w:rsidRDefault="00E37FDB" w:rsidP="007E7627">
      <w:pPr>
        <w:pStyle w:val="Heading3"/>
        <w:rPr>
          <w:rStyle w:val="Heading3Char"/>
          <w:rFonts w:eastAsia="Calibri"/>
          <w:b/>
          <w:bCs/>
        </w:rPr>
      </w:pPr>
      <w:bookmarkStart w:id="119" w:name="_Toc490040478"/>
      <w:bookmarkStart w:id="120" w:name="_Toc491784108"/>
      <w:bookmarkStart w:id="121" w:name="_Toc500508397"/>
      <w:r w:rsidRPr="007E7627">
        <w:rPr>
          <w:rStyle w:val="Heading3Char"/>
          <w:rFonts w:eastAsia="Calibri"/>
          <w:b/>
          <w:bCs/>
        </w:rPr>
        <w:t>Development</w:t>
      </w:r>
      <w:bookmarkEnd w:id="119"/>
      <w:bookmarkEnd w:id="120"/>
      <w:r w:rsidRPr="007E7627">
        <w:rPr>
          <w:rStyle w:val="Heading3Char"/>
          <w:rFonts w:eastAsia="Calibri"/>
          <w:b/>
          <w:bCs/>
        </w:rPr>
        <w:t xml:space="preserve"> of import conditions before and during the IRA process</w:t>
      </w:r>
      <w:bookmarkEnd w:id="121"/>
    </w:p>
    <w:p w14:paraId="4F09DE53" w14:textId="220E6040" w:rsidR="00CC703E" w:rsidRDefault="00E37FDB">
      <w:pPr>
        <w:spacing w:after="0"/>
        <w:rPr>
          <w:rFonts w:eastAsia="Times New Roman" w:cs="Arial"/>
          <w:szCs w:val="24"/>
          <w:lang w:eastAsia="en-AU"/>
        </w:rPr>
      </w:pPr>
      <w:r>
        <w:rPr>
          <w:rFonts w:eastAsia="Times New Roman" w:cs="Arial"/>
          <w:szCs w:val="24"/>
          <w:lang w:eastAsia="en-AU"/>
        </w:rPr>
        <w:t>Before 1992 the Australian Government did not have an animal health-related policy for prawn imports. The only restriction on these products related to insect contamination of dried prawn imports. From 1992 to 2010 an emerging awareness of disease risks resulted in import requirements being progressively strengthened.</w:t>
      </w:r>
    </w:p>
    <w:p w14:paraId="48A2E4E7" w14:textId="60364B6D" w:rsidR="00CC703E" w:rsidRDefault="00E37FDB">
      <w:pPr>
        <w:spacing w:after="0"/>
        <w:rPr>
          <w:rFonts w:eastAsia="Times New Roman" w:cs="Arial"/>
          <w:szCs w:val="24"/>
          <w:lang w:eastAsia="en-AU"/>
        </w:rPr>
      </w:pPr>
      <w:r>
        <w:rPr>
          <w:rFonts w:eastAsia="Times New Roman" w:cs="Arial"/>
          <w:szCs w:val="24"/>
          <w:lang w:eastAsia="en-AU"/>
        </w:rPr>
        <w:t>Uncooked prawn meal and feed making its way into prawn hatcheries was considered the most direct and high-risk pathway into Australia of WSSV and other diseases. In 1992 the Australian Government Department of Primary Industries and Energy introduced a requirement for import permits for imported prawn meal and feeds, with the condition that these products be heat treated to inactivate any virus present.</w:t>
      </w:r>
    </w:p>
    <w:p w14:paraId="2C344816" w14:textId="0777C785" w:rsidR="00CC703E" w:rsidRPr="00932FC2" w:rsidRDefault="00E37FDB">
      <w:pPr>
        <w:spacing w:after="0"/>
      </w:pPr>
      <w:r>
        <w:rPr>
          <w:rFonts w:eastAsia="Times New Roman" w:cs="Arial"/>
          <w:szCs w:val="24"/>
          <w:lang w:eastAsia="en-AU"/>
        </w:rPr>
        <w:t>In 1996</w:t>
      </w:r>
      <w:r>
        <w:rPr>
          <w:szCs w:val="24"/>
          <w:lang w:eastAsia="en-AU"/>
        </w:rPr>
        <w:t xml:space="preserve"> the National Taskforce on Imported Fish and Fish Products</w:t>
      </w:r>
      <w:r w:rsidR="00FA1152">
        <w:rPr>
          <w:szCs w:val="24"/>
          <w:vertAlign w:val="superscript"/>
          <w:lang w:eastAsia="en-AU"/>
        </w:rPr>
        <w:t>92</w:t>
      </w:r>
      <w:r w:rsidR="0085607C">
        <w:rPr>
          <w:szCs w:val="24"/>
          <w:lang w:eastAsia="en-AU"/>
        </w:rPr>
        <w:t xml:space="preserve"> </w:t>
      </w:r>
      <w:r>
        <w:rPr>
          <w:szCs w:val="24"/>
          <w:lang w:eastAsia="en-AU"/>
        </w:rPr>
        <w:t xml:space="preserve">recommended </w:t>
      </w:r>
      <w:r>
        <w:rPr>
          <w:rFonts w:eastAsia="Times New Roman" w:cs="Arial"/>
          <w:szCs w:val="24"/>
          <w:lang w:eastAsia="en-AU"/>
        </w:rPr>
        <w:t>that</w:t>
      </w:r>
      <w:r>
        <w:rPr>
          <w:szCs w:val="24"/>
          <w:lang w:eastAsia="en-AU"/>
        </w:rPr>
        <w:t xml:space="preserve"> the importation of prawns and prawn products be reviewed </w:t>
      </w:r>
      <w:r w:rsidRPr="000A127D">
        <w:rPr>
          <w:szCs w:val="24"/>
          <w:lang w:eastAsia="en-AU"/>
        </w:rPr>
        <w:t>as a</w:t>
      </w:r>
      <w:r>
        <w:rPr>
          <w:szCs w:val="24"/>
          <w:lang w:eastAsia="en-AU"/>
        </w:rPr>
        <w:t xml:space="preserve"> high priority. Recognising the high risks of disease introduction if </w:t>
      </w:r>
      <w:r>
        <w:rPr>
          <w:rFonts w:eastAsia="Times New Roman" w:cs="Arial"/>
          <w:szCs w:val="24"/>
          <w:lang w:eastAsia="en-AU"/>
        </w:rPr>
        <w:t>import</w:t>
      </w:r>
      <w:r>
        <w:rPr>
          <w:rFonts w:eastAsiaTheme="minorEastAsia"/>
          <w:szCs w:val="24"/>
          <w:lang w:eastAsia="en-AU"/>
        </w:rPr>
        <w:t>ed uncooked prawns were used for bait</w:t>
      </w:r>
      <w:r>
        <w:rPr>
          <w:rFonts w:eastAsia="Times New Roman" w:cs="Arial"/>
          <w:szCs w:val="24"/>
          <w:lang w:eastAsia="en-AU"/>
        </w:rPr>
        <w:t>, the department ‘banned’ the import of uncooked prawns for bait use by requiring that all uncooked prawn imports be labelled ‘For human consumption only—not to be used for bait</w:t>
      </w:r>
      <w:r w:rsidR="000C7995">
        <w:rPr>
          <w:rFonts w:eastAsia="Times New Roman" w:cs="Arial"/>
          <w:szCs w:val="24"/>
          <w:lang w:eastAsia="en-AU"/>
        </w:rPr>
        <w:t xml:space="preserve"> or feed for aquatic animals</w:t>
      </w:r>
      <w:r>
        <w:rPr>
          <w:rFonts w:eastAsia="Times New Roman" w:cs="Arial"/>
          <w:szCs w:val="24"/>
          <w:lang w:eastAsia="en-AU"/>
        </w:rPr>
        <w:t>’. The aim was to prevent bait sellers from importing wholesale quantities of prawns, but it was understood that the measure would not prevent recreational fishers from using imported raw prawns as bait.</w:t>
      </w:r>
    </w:p>
    <w:p w14:paraId="6CBE497C" w14:textId="0F58EB09" w:rsidR="00CC703E" w:rsidRDefault="00E37FDB">
      <w:pPr>
        <w:spacing w:after="0"/>
        <w:rPr>
          <w:szCs w:val="24"/>
          <w:lang w:eastAsia="en-AU"/>
        </w:rPr>
      </w:pPr>
      <w:r>
        <w:rPr>
          <w:szCs w:val="24"/>
          <w:lang w:eastAsia="en-AU"/>
        </w:rPr>
        <w:t xml:space="preserve">In 1997 the department initiated a </w:t>
      </w:r>
      <w:r>
        <w:rPr>
          <w:i/>
          <w:szCs w:val="24"/>
        </w:rPr>
        <w:t xml:space="preserve">Generic import risk assessment </w:t>
      </w:r>
      <w:r>
        <w:rPr>
          <w:i/>
          <w:szCs w:val="24"/>
          <w:lang w:eastAsia="en-AU"/>
        </w:rPr>
        <w:t>for prawns and prawn product</w:t>
      </w:r>
      <w:r>
        <w:rPr>
          <w:szCs w:val="24"/>
          <w:lang w:eastAsia="en-AU"/>
        </w:rPr>
        <w:t xml:space="preserve">. It focused on biosecurity risks associated with imports of prawns for human </w:t>
      </w:r>
      <w:r>
        <w:rPr>
          <w:rFonts w:eastAsia="Times New Roman" w:cs="Arial"/>
          <w:szCs w:val="24"/>
          <w:lang w:eastAsia="en-AU"/>
        </w:rPr>
        <w:t>consumption</w:t>
      </w:r>
      <w:r>
        <w:rPr>
          <w:szCs w:val="24"/>
          <w:lang w:eastAsia="en-AU"/>
        </w:rPr>
        <w:t xml:space="preserve"> and the potential use of imported prawns as bait or aquaculture feed. A risk assessment team of aquatic disease experts from around Australia (‘the IRA team’) worked on this for 12 years, releasing the final IRA in late 2009. Because of the length of the project, team membership changed substantially over the 12 years.</w:t>
      </w:r>
    </w:p>
    <w:p w14:paraId="5B15FD8D" w14:textId="4C7B98AF" w:rsidR="00CC703E" w:rsidRDefault="00E37FDB">
      <w:pPr>
        <w:autoSpaceDE w:val="0"/>
        <w:autoSpaceDN w:val="0"/>
        <w:adjustRightInd w:val="0"/>
        <w:spacing w:after="0"/>
        <w:rPr>
          <w:szCs w:val="24"/>
          <w:lang w:eastAsia="en-AU"/>
        </w:rPr>
      </w:pPr>
      <w:r>
        <w:rPr>
          <w:szCs w:val="24"/>
        </w:rPr>
        <w:t>The 2009 IRA</w:t>
      </w:r>
      <w:r w:rsidR="00FA1152">
        <w:rPr>
          <w:szCs w:val="24"/>
          <w:vertAlign w:val="superscript"/>
        </w:rPr>
        <w:t>39</w:t>
      </w:r>
      <w:r w:rsidR="00A64E60">
        <w:rPr>
          <w:szCs w:val="24"/>
        </w:rPr>
        <w:t xml:space="preserve"> </w:t>
      </w:r>
      <w:r>
        <w:rPr>
          <w:szCs w:val="24"/>
        </w:rPr>
        <w:t xml:space="preserve">was produced under the </w:t>
      </w:r>
      <w:r>
        <w:rPr>
          <w:i/>
          <w:szCs w:val="24"/>
        </w:rPr>
        <w:t>Quarantine Act 1908</w:t>
      </w:r>
      <w:r>
        <w:rPr>
          <w:szCs w:val="24"/>
        </w:rPr>
        <w:t xml:space="preserve"> </w:t>
      </w:r>
      <w:r w:rsidR="00761F1A" w:rsidRPr="00761F1A">
        <w:rPr>
          <w:szCs w:val="24"/>
        </w:rPr>
        <w:t>(Cth)</w:t>
      </w:r>
      <w:r w:rsidR="00761F1A">
        <w:rPr>
          <w:szCs w:val="24"/>
        </w:rPr>
        <w:t xml:space="preserve"> </w:t>
      </w:r>
      <w:r>
        <w:rPr>
          <w:szCs w:val="24"/>
        </w:rPr>
        <w:t xml:space="preserve">and followed the procedures outlined in the 2007 </w:t>
      </w:r>
      <w:r>
        <w:rPr>
          <w:rStyle w:val="Emphasis"/>
        </w:rPr>
        <w:t>Import risk analysis handbook</w:t>
      </w:r>
      <w:r w:rsidR="00FA1152">
        <w:rPr>
          <w:iCs/>
          <w:vertAlign w:val="superscript"/>
        </w:rPr>
        <w:t>93</w:t>
      </w:r>
      <w:r>
        <w:rPr>
          <w:szCs w:val="24"/>
        </w:rPr>
        <w:t xml:space="preserve">, a work developed out of the findings of the Canadian WTO court challenge. The 2009 IRA-recommended prawn import conditions were accepted and implemented by the Australian Government Department of Agriculture, Fisheries and Forestry, </w:t>
      </w:r>
      <w:r>
        <w:rPr>
          <w:rFonts w:cs="AGaramond-Regular"/>
          <w:szCs w:val="24"/>
        </w:rPr>
        <w:t xml:space="preserve">delivering a policy </w:t>
      </w:r>
      <w:r>
        <w:rPr>
          <w:szCs w:val="24"/>
        </w:rPr>
        <w:t>that at the time was believed to be consistent with government policy and characterised by sound science, transparency, fairness and consistency</w:t>
      </w:r>
      <w:r w:rsidR="00222300">
        <w:rPr>
          <w:szCs w:val="24"/>
          <w:vertAlign w:val="superscript"/>
        </w:rPr>
        <w:t xml:space="preserve">39 (sec. 1.3.2), </w:t>
      </w:r>
      <w:r w:rsidR="00FA1152">
        <w:rPr>
          <w:szCs w:val="24"/>
          <w:vertAlign w:val="superscript"/>
        </w:rPr>
        <w:t>93</w:t>
      </w:r>
      <w:r>
        <w:rPr>
          <w:szCs w:val="24"/>
        </w:rPr>
        <w:t>.</w:t>
      </w:r>
    </w:p>
    <w:p w14:paraId="75ACEC73" w14:textId="73C19CE0" w:rsidR="00CC703E" w:rsidRDefault="00E37FDB" w:rsidP="00075CC5">
      <w:pPr>
        <w:pStyle w:val="Heading4"/>
      </w:pPr>
      <w:r>
        <w:t xml:space="preserve">2009 IRA risk management </w:t>
      </w:r>
      <w:r w:rsidR="000406A2">
        <w:rPr>
          <w:lang w:val="en-AU"/>
        </w:rPr>
        <w:t>targets</w:t>
      </w:r>
    </w:p>
    <w:p w14:paraId="05F7FD01" w14:textId="2B2A0448" w:rsidR="00CC703E" w:rsidRDefault="00E37FDB">
      <w:pPr>
        <w:widowControl w:val="0"/>
        <w:autoSpaceDE w:val="0"/>
        <w:autoSpaceDN w:val="0"/>
        <w:adjustRightInd w:val="0"/>
        <w:spacing w:after="0"/>
        <w:rPr>
          <w:szCs w:val="24"/>
        </w:rPr>
      </w:pPr>
      <w:r>
        <w:rPr>
          <w:szCs w:val="24"/>
        </w:rPr>
        <w:t xml:space="preserve">The IRA team reviewed the risks that pathogens might pose to Australia’s prawn and other crustacean industries and populations. They found a small number whose </w:t>
      </w:r>
      <w:r w:rsidR="007B1B4F">
        <w:rPr>
          <w:szCs w:val="24"/>
        </w:rPr>
        <w:t>unrestricted risk estimate (</w:t>
      </w:r>
      <w:r w:rsidR="007B1B4F">
        <w:rPr>
          <w:szCs w:val="24"/>
        </w:rPr>
        <w:fldChar w:fldCharType="begin"/>
      </w:r>
      <w:r w:rsidR="007B1B4F">
        <w:rPr>
          <w:szCs w:val="24"/>
        </w:rPr>
        <w:instrText xml:space="preserve"> REF _Ref499820189 \h </w:instrText>
      </w:r>
      <w:r w:rsidR="007B1B4F">
        <w:rPr>
          <w:szCs w:val="24"/>
        </w:rPr>
      </w:r>
      <w:r w:rsidR="007B1B4F">
        <w:rPr>
          <w:szCs w:val="24"/>
        </w:rPr>
        <w:fldChar w:fldCharType="separate"/>
      </w:r>
      <w:r w:rsidR="00121BC1">
        <w:t xml:space="preserve">Table </w:t>
      </w:r>
      <w:r w:rsidR="00121BC1">
        <w:rPr>
          <w:noProof/>
        </w:rPr>
        <w:t>2</w:t>
      </w:r>
      <w:r w:rsidR="007B1B4F">
        <w:rPr>
          <w:szCs w:val="24"/>
        </w:rPr>
        <w:fldChar w:fldCharType="end"/>
      </w:r>
      <w:r w:rsidR="007B1B4F">
        <w:rPr>
          <w:szCs w:val="24"/>
        </w:rPr>
        <w:t xml:space="preserve">) </w:t>
      </w:r>
      <w:r>
        <w:rPr>
          <w:szCs w:val="24"/>
        </w:rPr>
        <w:t xml:space="preserve">was deemed not to achieve Australia’s </w:t>
      </w:r>
      <w:r>
        <w:rPr>
          <w:szCs w:val="24"/>
        </w:rPr>
        <w:lastRenderedPageBreak/>
        <w:t>ALOP. For these pathogens, risk management measures would be necessary to reduce the associated risk to an acceptable level.</w:t>
      </w:r>
    </w:p>
    <w:p w14:paraId="5A71B64F" w14:textId="576BDA60" w:rsidR="0078409F" w:rsidRDefault="0078409F" w:rsidP="0078409F">
      <w:pPr>
        <w:pStyle w:val="Caption"/>
      </w:pPr>
      <w:bookmarkStart w:id="122" w:name="_Ref499820189"/>
      <w:bookmarkStart w:id="123" w:name="_Toc500508479"/>
      <w:r>
        <w:t xml:space="preserve">Table </w:t>
      </w:r>
      <w:r w:rsidR="00F329C0">
        <w:fldChar w:fldCharType="begin"/>
      </w:r>
      <w:r w:rsidR="00F329C0">
        <w:instrText xml:space="preserve"> SEQ Table \* ARABIC </w:instrText>
      </w:r>
      <w:r w:rsidR="00F329C0">
        <w:fldChar w:fldCharType="separate"/>
      </w:r>
      <w:r w:rsidR="00121BC1">
        <w:rPr>
          <w:noProof/>
        </w:rPr>
        <w:t>2</w:t>
      </w:r>
      <w:r w:rsidR="00F329C0">
        <w:rPr>
          <w:noProof/>
        </w:rPr>
        <w:fldChar w:fldCharType="end"/>
      </w:r>
      <w:bookmarkEnd w:id="122"/>
      <w:r w:rsidRPr="0078409F">
        <w:t xml:space="preserve"> </w:t>
      </w:r>
      <w:r>
        <w:t>Unrestricted risk estimate for prawn pathogenic agents</w:t>
      </w:r>
      <w:bookmarkEnd w:id="12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3402"/>
      </w:tblGrid>
      <w:tr w:rsidR="00CC703E" w14:paraId="0C1CBDBF" w14:textId="77777777">
        <w:tc>
          <w:tcPr>
            <w:tcW w:w="4673" w:type="dxa"/>
          </w:tcPr>
          <w:p w14:paraId="5F53065D" w14:textId="77777777" w:rsidR="00CC703E" w:rsidRDefault="00E37FDB">
            <w:pPr>
              <w:pStyle w:val="Tableheading"/>
            </w:pPr>
            <w:r>
              <w:t>Pathogenic agent</w:t>
            </w:r>
          </w:p>
        </w:tc>
        <w:tc>
          <w:tcPr>
            <w:tcW w:w="3402" w:type="dxa"/>
          </w:tcPr>
          <w:p w14:paraId="0F27FCDF" w14:textId="77777777" w:rsidR="00CC703E" w:rsidRDefault="00E37FDB">
            <w:pPr>
              <w:pStyle w:val="Tableheading"/>
            </w:pPr>
            <w:r>
              <w:t>Unrestricted annual risk</w:t>
            </w:r>
          </w:p>
        </w:tc>
      </w:tr>
      <w:tr w:rsidR="00CC703E" w14:paraId="2891BC27" w14:textId="77777777" w:rsidTr="00DE3D5E">
        <w:trPr>
          <w:cantSplit/>
        </w:trPr>
        <w:tc>
          <w:tcPr>
            <w:tcW w:w="4673" w:type="dxa"/>
          </w:tcPr>
          <w:p w14:paraId="45A80DD8" w14:textId="77777777" w:rsidR="00CC703E" w:rsidRDefault="00E37FDB">
            <w:pPr>
              <w:pStyle w:val="Tabletext"/>
            </w:pPr>
            <w:r>
              <w:t>White spot syndrome virus (WSSV)</w:t>
            </w:r>
          </w:p>
        </w:tc>
        <w:tc>
          <w:tcPr>
            <w:tcW w:w="3402" w:type="dxa"/>
          </w:tcPr>
          <w:p w14:paraId="5B27FFEB" w14:textId="77777777" w:rsidR="00CC703E" w:rsidRDefault="00E37FDB">
            <w:pPr>
              <w:pStyle w:val="Tabletext"/>
            </w:pPr>
            <w:r>
              <w:t>High</w:t>
            </w:r>
          </w:p>
        </w:tc>
      </w:tr>
      <w:tr w:rsidR="00CC703E" w14:paraId="63EB2639" w14:textId="77777777">
        <w:tc>
          <w:tcPr>
            <w:tcW w:w="4673" w:type="dxa"/>
          </w:tcPr>
          <w:p w14:paraId="79EBFF94" w14:textId="77777777" w:rsidR="00CC703E" w:rsidRDefault="00E37FDB">
            <w:pPr>
              <w:pStyle w:val="Tabletext"/>
            </w:pPr>
            <w:r>
              <w:t>Yellow head virus (YHV)</w:t>
            </w:r>
          </w:p>
        </w:tc>
        <w:tc>
          <w:tcPr>
            <w:tcW w:w="3402" w:type="dxa"/>
          </w:tcPr>
          <w:p w14:paraId="6DB8C1AE" w14:textId="77777777" w:rsidR="00CC703E" w:rsidRDefault="00E37FDB">
            <w:pPr>
              <w:pStyle w:val="Tabletext"/>
            </w:pPr>
            <w:r>
              <w:t>High</w:t>
            </w:r>
          </w:p>
        </w:tc>
      </w:tr>
      <w:tr w:rsidR="00CC703E" w14:paraId="14B1CBFD" w14:textId="77777777">
        <w:tc>
          <w:tcPr>
            <w:tcW w:w="4673" w:type="dxa"/>
          </w:tcPr>
          <w:p w14:paraId="4F2635D8" w14:textId="77777777" w:rsidR="00CC703E" w:rsidRDefault="00E37FDB">
            <w:pPr>
              <w:pStyle w:val="Tabletext"/>
            </w:pPr>
            <w:r>
              <w:t>Necrotising hepatopancreatitis bacterium (NHPB)</w:t>
            </w:r>
          </w:p>
        </w:tc>
        <w:tc>
          <w:tcPr>
            <w:tcW w:w="3402" w:type="dxa"/>
          </w:tcPr>
          <w:p w14:paraId="07EC70D8" w14:textId="77777777" w:rsidR="00CC703E" w:rsidRDefault="00E37FDB">
            <w:pPr>
              <w:pStyle w:val="Tabletext"/>
            </w:pPr>
            <w:r>
              <w:t>Moderate (for chilled product only)</w:t>
            </w:r>
          </w:p>
        </w:tc>
      </w:tr>
      <w:tr w:rsidR="00CC703E" w14:paraId="09931080" w14:textId="77777777">
        <w:tc>
          <w:tcPr>
            <w:tcW w:w="4673" w:type="dxa"/>
          </w:tcPr>
          <w:p w14:paraId="03EB6143" w14:textId="77777777" w:rsidR="00CC703E" w:rsidRDefault="00E37FDB">
            <w:pPr>
              <w:pStyle w:val="Tabletext"/>
            </w:pPr>
            <w:r>
              <w:t>Taura syndrome virus (TSV)</w:t>
            </w:r>
          </w:p>
        </w:tc>
        <w:tc>
          <w:tcPr>
            <w:tcW w:w="3402" w:type="dxa"/>
          </w:tcPr>
          <w:p w14:paraId="77FEEB3A" w14:textId="77777777" w:rsidR="00CC703E" w:rsidRDefault="00E37FDB">
            <w:pPr>
              <w:pStyle w:val="Tabletext"/>
            </w:pPr>
            <w:r>
              <w:t>Low</w:t>
            </w:r>
          </w:p>
        </w:tc>
      </w:tr>
    </w:tbl>
    <w:p w14:paraId="69ECBEDC" w14:textId="7BB3B92C" w:rsidR="00CC703E" w:rsidRDefault="00E37FDB">
      <w:pPr>
        <w:pStyle w:val="FigureTableNoteSource"/>
      </w:pPr>
      <w:r>
        <w:rPr>
          <w:lang w:eastAsia="ja-JP"/>
        </w:rPr>
        <w:t>Source: Biosecurity Australia (2009)</w:t>
      </w:r>
    </w:p>
    <w:p w14:paraId="3A62FF40" w14:textId="3F93BBDE" w:rsidR="00CC703E" w:rsidRDefault="00E37FDB">
      <w:pPr>
        <w:widowControl w:val="0"/>
        <w:autoSpaceDE w:val="0"/>
        <w:autoSpaceDN w:val="0"/>
        <w:adjustRightInd w:val="0"/>
        <w:spacing w:before="240" w:after="0"/>
        <w:rPr>
          <w:szCs w:val="24"/>
        </w:rPr>
      </w:pPr>
      <w:r>
        <w:rPr>
          <w:szCs w:val="24"/>
        </w:rPr>
        <w:t>The team then considered pre-import and post-import measures that might be applied, including the recommendations in the international standard for trade in aquatic animal products</w:t>
      </w:r>
      <w:r w:rsidR="00781DF9">
        <w:rPr>
          <w:szCs w:val="24"/>
          <w:vertAlign w:val="superscript"/>
        </w:rPr>
        <w:t>94</w:t>
      </w:r>
      <w:r w:rsidRPr="00DE3D5E">
        <w:rPr>
          <w:szCs w:val="24"/>
        </w:rPr>
        <w:t>.</w:t>
      </w:r>
    </w:p>
    <w:p w14:paraId="02E7015C" w14:textId="1465A5FF" w:rsidR="00CC703E" w:rsidRDefault="00E37FDB">
      <w:pPr>
        <w:widowControl w:val="0"/>
        <w:autoSpaceDE w:val="0"/>
        <w:autoSpaceDN w:val="0"/>
        <w:adjustRightInd w:val="0"/>
        <w:spacing w:after="0"/>
        <w:rPr>
          <w:szCs w:val="24"/>
        </w:rPr>
      </w:pPr>
      <w:r>
        <w:rPr>
          <w:szCs w:val="24"/>
        </w:rPr>
        <w:t>Each measure and combination of measures was evaluated to determine its effect on the likelihood of the pathogenic agent entering Australia and/or the likelihood of susceptible host animals becoming exposed. Where the effect was to reduce the overall annual risk to ‘very low’ or lower, the measure was deemed acceptable.</w:t>
      </w:r>
    </w:p>
    <w:p w14:paraId="732BE85B" w14:textId="539DCEE0" w:rsidR="00CC703E" w:rsidRDefault="00E37FDB">
      <w:pPr>
        <w:widowControl w:val="0"/>
        <w:autoSpaceDE w:val="0"/>
        <w:autoSpaceDN w:val="0"/>
        <w:adjustRightInd w:val="0"/>
        <w:spacing w:after="240"/>
        <w:rPr>
          <w:szCs w:val="24"/>
        </w:rPr>
      </w:pPr>
      <w:r>
        <w:rPr>
          <w:szCs w:val="24"/>
        </w:rPr>
        <w:t>From 2008 onward, any attempt by Australia to ban the importation of raw prawns because of a perceived risk from WSSV would have faced a challenge from importers or competent authorities in exporting countries. This would have involved the WTO Disputes panel</w:t>
      </w:r>
      <w:r w:rsidR="00781DF9">
        <w:rPr>
          <w:szCs w:val="24"/>
          <w:vertAlign w:val="superscript"/>
        </w:rPr>
        <w:t>95</w:t>
      </w:r>
      <w:r>
        <w:rPr>
          <w:szCs w:val="24"/>
        </w:rPr>
        <w:t>. As a result, the team developed an approach aimed at minimising but not eliminating potential risks.</w:t>
      </w:r>
    </w:p>
    <w:p w14:paraId="767DE544" w14:textId="77777777" w:rsidR="00CC703E" w:rsidRDefault="00E37FDB">
      <w:pPr>
        <w:pStyle w:val="Heading4"/>
        <w:spacing w:after="120"/>
        <w:rPr>
          <w:lang w:val="en-AU"/>
        </w:rPr>
      </w:pPr>
      <w:r>
        <w:rPr>
          <w:lang w:val="en-AU"/>
        </w:rPr>
        <w:t>Management options considered in the IRA to reduce disease entry risks</w:t>
      </w:r>
    </w:p>
    <w:p w14:paraId="56D15C5C" w14:textId="5D8DAA1B" w:rsidR="00CC703E" w:rsidRDefault="00E37FDB" w:rsidP="00075CC5">
      <w:pPr>
        <w:pStyle w:val="Heading5"/>
      </w:pPr>
      <w:r>
        <w:t xml:space="preserve">Option 1 </w:t>
      </w:r>
      <w:r w:rsidRPr="000A127D">
        <w:t>Sourcing</w:t>
      </w:r>
      <w:r>
        <w:t xml:space="preserve"> imports from disease-free countries or zones</w:t>
      </w:r>
    </w:p>
    <w:p w14:paraId="38D11C99" w14:textId="55BE67A8" w:rsidR="00CC703E" w:rsidRDefault="00E37FDB">
      <w:pPr>
        <w:autoSpaceDE w:val="0"/>
        <w:autoSpaceDN w:val="0"/>
        <w:adjustRightInd w:val="0"/>
        <w:spacing w:after="0"/>
        <w:rPr>
          <w:szCs w:val="24"/>
        </w:rPr>
      </w:pPr>
      <w:r>
        <w:rPr>
          <w:szCs w:val="24"/>
        </w:rPr>
        <w:t xml:space="preserve">This was expected to reduce the overall risk associated with each pathogenic agent </w:t>
      </w:r>
      <w:r w:rsidR="000C7995">
        <w:rPr>
          <w:szCs w:val="24"/>
        </w:rPr>
        <w:t xml:space="preserve">to </w:t>
      </w:r>
      <w:r w:rsidR="00F90188">
        <w:rPr>
          <w:szCs w:val="24"/>
        </w:rPr>
        <w:t>meet</w:t>
      </w:r>
      <w:r>
        <w:rPr>
          <w:szCs w:val="24"/>
        </w:rPr>
        <w:t xml:space="preserve"> Australia’s ALOP—subject to a satisfactory assessment of the country’s competent authority and its capacity to determine and maintain disease freedom. In practice, this was a limited option because only New Caledonia was recognised as free of WSSV.</w:t>
      </w:r>
    </w:p>
    <w:p w14:paraId="4942F7FE" w14:textId="77777777" w:rsidR="00CC703E" w:rsidRDefault="00E37FDB" w:rsidP="000A127D">
      <w:pPr>
        <w:pStyle w:val="Heading5"/>
      </w:pPr>
      <w:r>
        <w:rPr>
          <w:lang w:val="en-AU"/>
        </w:rPr>
        <w:t xml:space="preserve">Option 2 </w:t>
      </w:r>
      <w:r>
        <w:t>Pathogen inactivation―cooking or freezing</w:t>
      </w:r>
    </w:p>
    <w:p w14:paraId="2930A005" w14:textId="65AC460B" w:rsidR="00CC703E" w:rsidRDefault="00E37FDB">
      <w:pPr>
        <w:widowControl w:val="0"/>
        <w:autoSpaceDE w:val="0"/>
        <w:autoSpaceDN w:val="0"/>
        <w:adjustRightInd w:val="0"/>
        <w:spacing w:after="0"/>
        <w:rPr>
          <w:szCs w:val="24"/>
        </w:rPr>
      </w:pPr>
      <w:r>
        <w:rPr>
          <w:szCs w:val="24"/>
        </w:rPr>
        <w:t>Importation of prawns could be permitted subject to cooking offshore in a premises approved by and under the control of the competent authority. This would ensure inactivation of the pathogenic agent(s) of concern. Alternatively, prawns could be cooked post-arrival, at a quarantine approved premises in Australia.</w:t>
      </w:r>
    </w:p>
    <w:p w14:paraId="4977A400" w14:textId="619C420A" w:rsidR="00CC703E" w:rsidRDefault="00E37FDB">
      <w:pPr>
        <w:widowControl w:val="0"/>
        <w:autoSpaceDE w:val="0"/>
        <w:autoSpaceDN w:val="0"/>
        <w:adjustRightInd w:val="0"/>
        <w:spacing w:after="0"/>
        <w:rPr>
          <w:szCs w:val="24"/>
        </w:rPr>
      </w:pPr>
      <w:r>
        <w:rPr>
          <w:szCs w:val="24"/>
        </w:rPr>
        <w:t>Typically, cooking raw prawns involves placing the product in potable boiling water at 100 °C for short periods (for example, 3 to 5 minutes) until the product is cooked through (protein is coagulated) and neither raw on the inside nor overcooked.</w:t>
      </w:r>
    </w:p>
    <w:p w14:paraId="0DDB7915" w14:textId="4827ECE3" w:rsidR="00CC703E" w:rsidRDefault="00E37FDB">
      <w:pPr>
        <w:widowControl w:val="0"/>
        <w:autoSpaceDE w:val="0"/>
        <w:autoSpaceDN w:val="0"/>
        <w:adjustRightInd w:val="0"/>
        <w:spacing w:after="0"/>
        <w:rPr>
          <w:szCs w:val="24"/>
        </w:rPr>
      </w:pPr>
      <w:r>
        <w:rPr>
          <w:szCs w:val="24"/>
        </w:rPr>
        <w:t xml:space="preserve">In 2009 wild-caught prawns were usually cooked on board trawlers following the </w:t>
      </w:r>
      <w:r>
        <w:rPr>
          <w:szCs w:val="24"/>
        </w:rPr>
        <w:lastRenderedPageBreak/>
        <w:t xml:space="preserve">guidelines in </w:t>
      </w:r>
      <w:r>
        <w:rPr>
          <w:i/>
          <w:szCs w:val="24"/>
        </w:rPr>
        <w:t>Handling prawns at sea: a guide for prawn trawler crew at level 1</w:t>
      </w:r>
      <w:r w:rsidR="00781DF9">
        <w:rPr>
          <w:szCs w:val="24"/>
          <w:vertAlign w:val="superscript"/>
        </w:rPr>
        <w:t>96</w:t>
      </w:r>
      <w:r>
        <w:rPr>
          <w:szCs w:val="24"/>
        </w:rPr>
        <w:t>. The</w:t>
      </w:r>
      <w:r w:rsidR="000C7995">
        <w:rPr>
          <w:szCs w:val="24"/>
        </w:rPr>
        <w:t xml:space="preserve"> 2009 IRA</w:t>
      </w:r>
      <w:r>
        <w:rPr>
          <w:szCs w:val="24"/>
        </w:rPr>
        <w:t xml:space="preserve"> quoted these guidelines and an FAO guideline</w:t>
      </w:r>
      <w:r w:rsidR="00781DF9">
        <w:rPr>
          <w:szCs w:val="24"/>
          <w:vertAlign w:val="superscript"/>
        </w:rPr>
        <w:t>97</w:t>
      </w:r>
      <w:r>
        <w:rPr>
          <w:szCs w:val="24"/>
        </w:rPr>
        <w:t>:</w:t>
      </w:r>
    </w:p>
    <w:p w14:paraId="37C0CF61" w14:textId="398102BF" w:rsidR="00CC703E" w:rsidRDefault="00E37FDB">
      <w:pPr>
        <w:pStyle w:val="Quote"/>
        <w:ind w:left="641"/>
      </w:pPr>
      <w:r>
        <w:t>When boiling prawns at a ratio of 1 kg raw prawns to 20 litres of water (with 3–5 per cent salt), the temperature of the water will fall to approximately 95 °C when the prawns are added and then return to the boil in 1–2 minutes. At least 3 minutes total cooking time is usually sufficient.</w:t>
      </w:r>
    </w:p>
    <w:p w14:paraId="7AE09147" w14:textId="08517668" w:rsidR="00CC703E" w:rsidRDefault="00E37FDB" w:rsidP="00A57561">
      <w:pPr>
        <w:keepNext/>
        <w:autoSpaceDE w:val="0"/>
        <w:autoSpaceDN w:val="0"/>
        <w:adjustRightInd w:val="0"/>
        <w:spacing w:after="0"/>
        <w:rPr>
          <w:szCs w:val="24"/>
        </w:rPr>
      </w:pPr>
      <w:r>
        <w:rPr>
          <w:szCs w:val="24"/>
        </w:rPr>
        <w:t>The size and quality of the prawn will determine the amount of cooking time required to ensure that the whole prawn is completely cooked (all protein is coagulated). This is normally determined through experimentation by the seafood processor</w:t>
      </w:r>
      <w:r w:rsidRPr="0042751A">
        <w:rPr>
          <w:szCs w:val="24"/>
        </w:rPr>
        <w:t>. Winkel</w:t>
      </w:r>
      <w:r w:rsidR="00781DF9">
        <w:rPr>
          <w:szCs w:val="24"/>
          <w:vertAlign w:val="superscript"/>
        </w:rPr>
        <w:t>98</w:t>
      </w:r>
      <w:r w:rsidRPr="0042751A">
        <w:rPr>
          <w:szCs w:val="24"/>
        </w:rPr>
        <w:t xml:space="preserve">, in an evaluation of the cooking process for Australian farmed </w:t>
      </w:r>
      <w:r w:rsidRPr="0042751A">
        <w:rPr>
          <w:i/>
          <w:szCs w:val="24"/>
        </w:rPr>
        <w:t>P. monodon,</w:t>
      </w:r>
      <w:r w:rsidRPr="0042751A">
        <w:rPr>
          <w:szCs w:val="24"/>
        </w:rPr>
        <w:t xml:space="preserve"> recommended cooking prawns to a core temperature of 85 °C to ensure the product is marketable—completely cooked, not chewy, has no black spot and is aesthetically acceptable. Winkel</w:t>
      </w:r>
      <w:r w:rsidR="00781DF9">
        <w:rPr>
          <w:szCs w:val="24"/>
          <w:vertAlign w:val="superscript"/>
        </w:rPr>
        <w:t>98</w:t>
      </w:r>
      <w:r w:rsidR="002801A7">
        <w:rPr>
          <w:szCs w:val="24"/>
        </w:rPr>
        <w:t xml:space="preserve"> </w:t>
      </w:r>
      <w:r>
        <w:rPr>
          <w:szCs w:val="24"/>
        </w:rPr>
        <w:t>graded uncooked prawns by weight, from 11 to 28 grams</w:t>
      </w:r>
      <w:r w:rsidRPr="005203CF">
        <w:rPr>
          <w:szCs w:val="24"/>
        </w:rPr>
        <w:t>.</w:t>
      </w:r>
      <w:r>
        <w:rPr>
          <w:szCs w:val="24"/>
        </w:rPr>
        <w:t xml:space="preserve"> </w:t>
      </w:r>
      <w:r w:rsidRPr="005203CF">
        <w:rPr>
          <w:szCs w:val="24"/>
        </w:rPr>
        <w:t>Depending on weight, t</w:t>
      </w:r>
      <w:r>
        <w:rPr>
          <w:szCs w:val="24"/>
        </w:rPr>
        <w:t>he prawns took from between 2.40 and 4.55 minutes to reach a core temperature of 85 °C</w:t>
      </w:r>
      <w:r w:rsidRPr="005203CF">
        <w:rPr>
          <w:szCs w:val="24"/>
        </w:rPr>
        <w:t xml:space="preserve"> from a starting temperature of 20 °C</w:t>
      </w:r>
      <w:r>
        <w:rPr>
          <w:szCs w:val="24"/>
        </w:rPr>
        <w:t>.</w:t>
      </w:r>
    </w:p>
    <w:p w14:paraId="14325738" w14:textId="5EC52F72" w:rsidR="00CC703E" w:rsidRDefault="00E37FDB">
      <w:pPr>
        <w:widowControl w:val="0"/>
        <w:autoSpaceDE w:val="0"/>
        <w:autoSpaceDN w:val="0"/>
        <w:adjustRightInd w:val="0"/>
        <w:spacing w:after="0"/>
        <w:rPr>
          <w:szCs w:val="24"/>
        </w:rPr>
      </w:pPr>
      <w:r>
        <w:rPr>
          <w:szCs w:val="24"/>
        </w:rPr>
        <w:t>The IRA team considered that cooking prawns in boiling water for short periods such as those quoted by Winkel</w:t>
      </w:r>
      <w:r w:rsidR="00781DF9" w:rsidRPr="0087638C">
        <w:rPr>
          <w:szCs w:val="24"/>
          <w:vertAlign w:val="superscript"/>
        </w:rPr>
        <w:t>98</w:t>
      </w:r>
      <w:r w:rsidR="00781DF9">
        <w:rPr>
          <w:szCs w:val="24"/>
        </w:rPr>
        <w:t xml:space="preserve"> </w:t>
      </w:r>
      <w:r>
        <w:rPr>
          <w:szCs w:val="24"/>
        </w:rPr>
        <w:t>would be sufficient to kill many prawn pathogens (including WSSV)</w:t>
      </w:r>
      <w:r w:rsidR="00605365">
        <w:rPr>
          <w:szCs w:val="24"/>
          <w:vertAlign w:val="superscript"/>
        </w:rPr>
        <w:t>31</w:t>
      </w:r>
      <w:r>
        <w:rPr>
          <w:szCs w:val="24"/>
        </w:rPr>
        <w:t xml:space="preserve"> or substantially reduce more robust pathogenic agents. They acknowledged that standard commercial cooking practices may not inactivate or may only partially inactivate viruses of concern such as TSV.</w:t>
      </w:r>
    </w:p>
    <w:p w14:paraId="6A48ADB9" w14:textId="7B9FD6F8" w:rsidR="00CC703E" w:rsidRDefault="00E37FDB">
      <w:pPr>
        <w:widowControl w:val="0"/>
        <w:autoSpaceDE w:val="0"/>
        <w:autoSpaceDN w:val="0"/>
        <w:adjustRightInd w:val="0"/>
        <w:spacing w:after="0"/>
        <w:rPr>
          <w:szCs w:val="24"/>
        </w:rPr>
      </w:pPr>
      <w:r>
        <w:rPr>
          <w:szCs w:val="24"/>
        </w:rPr>
        <w:t>Cooking was also expected to significantly reduce the likelihood of imported prawns being diverted for use as bait or as crustacean broodstock feed or being further processed in Australia (given the limited value-adding processing options following cooking).</w:t>
      </w:r>
    </w:p>
    <w:p w14:paraId="013D7CC2" w14:textId="2CAC5BD5" w:rsidR="00CC703E" w:rsidRDefault="00E37FDB">
      <w:pPr>
        <w:widowControl w:val="0"/>
        <w:autoSpaceDE w:val="0"/>
        <w:autoSpaceDN w:val="0"/>
        <w:adjustRightInd w:val="0"/>
        <w:spacing w:after="0"/>
        <w:rPr>
          <w:szCs w:val="24"/>
        </w:rPr>
      </w:pPr>
      <w:r>
        <w:rPr>
          <w:szCs w:val="24"/>
        </w:rPr>
        <w:t xml:space="preserve">Consequently, the IRA team expected cooking to reduce the partial likelihood of release and exposure to at </w:t>
      </w:r>
      <w:r>
        <w:t>least ‘</w:t>
      </w:r>
      <w:r w:rsidRPr="0050617D">
        <w:t>very low</w:t>
      </w:r>
      <w:r>
        <w:t>’</w:t>
      </w:r>
      <w:r>
        <w:rPr>
          <w:szCs w:val="24"/>
        </w:rPr>
        <w:t xml:space="preserve"> and therefore reduce the overall risk to an acceptable level. Freezing was expected to inactivate some agents such as NHPB but not viruses such as WSSV, YHV and TSV.</w:t>
      </w:r>
    </w:p>
    <w:p w14:paraId="2EE7DD31" w14:textId="77777777" w:rsidR="00CC703E" w:rsidRDefault="00E37FDB" w:rsidP="0050617D">
      <w:pPr>
        <w:pStyle w:val="Heading5"/>
      </w:pPr>
      <w:r>
        <w:rPr>
          <w:lang w:val="en-AU"/>
        </w:rPr>
        <w:t xml:space="preserve">Option 3 </w:t>
      </w:r>
      <w:r>
        <w:t>Testing</w:t>
      </w:r>
    </w:p>
    <w:p w14:paraId="101D7BEB" w14:textId="5DC01360" w:rsidR="00CC703E" w:rsidRDefault="00E37FDB">
      <w:pPr>
        <w:widowControl w:val="0"/>
        <w:autoSpaceDE w:val="0"/>
        <w:autoSpaceDN w:val="0"/>
        <w:adjustRightInd w:val="0"/>
        <w:spacing w:after="0"/>
      </w:pPr>
      <w:r>
        <w:rPr>
          <w:szCs w:val="24"/>
        </w:rPr>
        <w:t xml:space="preserve">The testing of imported uncooked prawns on arrival in Australia at a government-approved laboratory was another option that the IRA team considered for managing disease risk. Under this option, only batches that tested negative would be released for retail sale. Testing was required to be to a standard consistent </w:t>
      </w:r>
      <w:r w:rsidRPr="00AB6441">
        <w:rPr>
          <w:szCs w:val="24"/>
        </w:rPr>
        <w:t>with that recommended in the OIE</w:t>
      </w:r>
      <w:r>
        <w:rPr>
          <w:szCs w:val="24"/>
        </w:rPr>
        <w:t xml:space="preserve"> </w:t>
      </w:r>
      <w:r w:rsidR="00932FC2" w:rsidRPr="009C11AF">
        <w:rPr>
          <w:i/>
          <w:szCs w:val="24"/>
        </w:rPr>
        <w:t>Manual of diagnostic tests for aquatic animals</w:t>
      </w:r>
      <w:r w:rsidR="001A2B1B" w:rsidRPr="0087638C">
        <w:rPr>
          <w:szCs w:val="24"/>
          <w:vertAlign w:val="superscript"/>
        </w:rPr>
        <w:t>60</w:t>
      </w:r>
      <w:r w:rsidR="0093504A">
        <w:rPr>
          <w:szCs w:val="24"/>
        </w:rPr>
        <w:t xml:space="preserve"> </w:t>
      </w:r>
      <w:r>
        <w:t>or equivalent. The standard provides 95 per cent confidence of detecting the agent if it is present in the tested batch at a prevalence of 5 per cent or more.</w:t>
      </w:r>
    </w:p>
    <w:p w14:paraId="5627A08D" w14:textId="5231EF31" w:rsidR="00CC703E" w:rsidRDefault="00E37FDB">
      <w:pPr>
        <w:widowControl w:val="0"/>
        <w:autoSpaceDE w:val="0"/>
        <w:autoSpaceDN w:val="0"/>
        <w:adjustRightInd w:val="0"/>
        <w:spacing w:after="0"/>
        <w:rPr>
          <w:szCs w:val="24"/>
        </w:rPr>
      </w:pPr>
      <w:r>
        <w:rPr>
          <w:szCs w:val="24"/>
        </w:rPr>
        <w:t>The IRA recognised that the approach could result in a small number of infected prawns entering Australia, but this had been occurring for a long time without controls and without disease establishment. The goal was to minimise risk, consistent with Australia’s ALOP.</w:t>
      </w:r>
    </w:p>
    <w:p w14:paraId="49472FEE" w14:textId="3421E031" w:rsidR="00CC703E" w:rsidRDefault="00E37FDB">
      <w:pPr>
        <w:widowControl w:val="0"/>
        <w:autoSpaceDE w:val="0"/>
        <w:autoSpaceDN w:val="0"/>
        <w:adjustRightInd w:val="0"/>
        <w:spacing w:after="0"/>
        <w:rPr>
          <w:szCs w:val="24"/>
        </w:rPr>
      </w:pPr>
      <w:r>
        <w:rPr>
          <w:szCs w:val="24"/>
        </w:rPr>
        <w:t>The IRA also specified that the option of testing offshore should be considered case by case. The decision to test would depend on whether:</w:t>
      </w:r>
    </w:p>
    <w:p w14:paraId="4B06926E" w14:textId="75617CC5" w:rsidR="00CC703E" w:rsidRPr="00075CC5" w:rsidRDefault="00E37FDB" w:rsidP="00075CC5">
      <w:pPr>
        <w:pStyle w:val="ListBullet"/>
      </w:pPr>
      <w:r w:rsidRPr="00075CC5">
        <w:lastRenderedPageBreak/>
        <w:t>the overseas competent authority had the ability and capacity to audit and provide assurance that the testing standards and test validity met the requirements of Australian Government authorities</w:t>
      </w:r>
      <w:r w:rsidR="00227C51">
        <w:t>, and</w:t>
      </w:r>
    </w:p>
    <w:p w14:paraId="562C5F0D" w14:textId="1AFA1EE7" w:rsidR="00CC703E" w:rsidRPr="00075CC5" w:rsidRDefault="00E37FDB" w:rsidP="00075CC5">
      <w:pPr>
        <w:pStyle w:val="ListBullet"/>
      </w:pPr>
      <w:r w:rsidRPr="00075CC5">
        <w:t>product integrity had been maintained throughout the chain of custody.</w:t>
      </w:r>
    </w:p>
    <w:p w14:paraId="7F474E6F" w14:textId="08804E40" w:rsidR="00CC703E" w:rsidRDefault="00E37FDB">
      <w:pPr>
        <w:widowControl w:val="0"/>
        <w:autoSpaceDE w:val="0"/>
        <w:autoSpaceDN w:val="0"/>
        <w:adjustRightInd w:val="0"/>
        <w:spacing w:after="0"/>
        <w:rPr>
          <w:szCs w:val="24"/>
        </w:rPr>
      </w:pPr>
      <w:r>
        <w:rPr>
          <w:szCs w:val="24"/>
        </w:rPr>
        <w:t>Given uncertainty at the time about the sensitivity of available tests for prawn pathogens, this option alone was not expected to reduce the likelihood of entry and exposure sufficiently to reduce the overall risk to an acceptable level.</w:t>
      </w:r>
    </w:p>
    <w:p w14:paraId="6D98FAEC" w14:textId="77777777" w:rsidR="00CC703E" w:rsidRDefault="00E37FDB" w:rsidP="0050617D">
      <w:pPr>
        <w:pStyle w:val="Heading5"/>
      </w:pPr>
      <w:r>
        <w:rPr>
          <w:lang w:val="en-AU"/>
        </w:rPr>
        <w:t xml:space="preserve">Option 4 </w:t>
      </w:r>
      <w:r>
        <w:t>Highly processed prawns</w:t>
      </w:r>
    </w:p>
    <w:p w14:paraId="20DF20A7" w14:textId="4CB9A205" w:rsidR="00CC703E" w:rsidRDefault="00E37FDB">
      <w:pPr>
        <w:widowControl w:val="0"/>
        <w:autoSpaceDE w:val="0"/>
        <w:autoSpaceDN w:val="0"/>
        <w:adjustRightInd w:val="0"/>
        <w:spacing w:after="0"/>
        <w:rPr>
          <w:szCs w:val="24"/>
        </w:rPr>
      </w:pPr>
      <w:r>
        <w:rPr>
          <w:szCs w:val="24"/>
        </w:rPr>
        <w:t>The IRA team determined that imported uncooked prawns that had been highly processed could be permitted. This included all shelled, headless prawn products that were coated for human consumption, such as those that were breaded, battered or marinated to a minimum standard or prepared in dumplings, spring rolls, samosas, rolls, balls, dim sums or similar products. Such measures were expected to reduce the risk of uncooked prawn heads and shells entering Australian waters. It would also reduce the likelihood of unintended end-use such as for recreational fishing bait—recreational fishers showed a preference for heads-on prawns</w:t>
      </w:r>
      <w:r w:rsidR="00605365">
        <w:rPr>
          <w:szCs w:val="24"/>
          <w:vertAlign w:val="superscript"/>
        </w:rPr>
        <w:t>99</w:t>
      </w:r>
      <w:r w:rsidR="00FC0308">
        <w:rPr>
          <w:szCs w:val="24"/>
        </w:rPr>
        <w:t xml:space="preserve"> </w:t>
      </w:r>
      <w:r>
        <w:rPr>
          <w:szCs w:val="24"/>
        </w:rPr>
        <w:t>and were less likely to use the more costly highly processed prawns. This option was expected to reduce the likelihood of exposure to at least ‘</w:t>
      </w:r>
      <w:r w:rsidRPr="0050617D">
        <w:t>very low</w:t>
      </w:r>
      <w:r>
        <w:t>’</w:t>
      </w:r>
      <w:r>
        <w:rPr>
          <w:szCs w:val="24"/>
        </w:rPr>
        <w:t xml:space="preserve"> and therefore achieve Australia’s ALOP.</w:t>
      </w:r>
    </w:p>
    <w:p w14:paraId="2AF47651" w14:textId="77777777" w:rsidR="00CC703E" w:rsidRDefault="00E37FDB" w:rsidP="0050617D">
      <w:pPr>
        <w:pStyle w:val="Heading5"/>
      </w:pPr>
      <w:r>
        <w:rPr>
          <w:lang w:val="en-AU"/>
        </w:rPr>
        <w:t xml:space="preserve">Option 5 </w:t>
      </w:r>
      <w:r>
        <w:t>Minimum size</w:t>
      </w:r>
    </w:p>
    <w:p w14:paraId="7F6BDE7C" w14:textId="3E2412CC" w:rsidR="00CC703E" w:rsidRDefault="00E37FDB">
      <w:pPr>
        <w:widowControl w:val="0"/>
        <w:autoSpaceDE w:val="0"/>
        <w:autoSpaceDN w:val="0"/>
        <w:adjustRightInd w:val="0"/>
        <w:spacing w:after="0"/>
        <w:rPr>
          <w:szCs w:val="24"/>
        </w:rPr>
      </w:pPr>
      <w:r>
        <w:rPr>
          <w:szCs w:val="24"/>
        </w:rPr>
        <w:t xml:space="preserve">One of the early risk management measures introduced during development of the IRA was to only permit imported prawns that were above a minimum size. </w:t>
      </w:r>
      <w:r w:rsidRPr="0050617D">
        <w:rPr>
          <w:szCs w:val="24"/>
        </w:rPr>
        <w:t>At the time, research indicated that recreational fishers preferred small whole prawns. This measure</w:t>
      </w:r>
      <w:r>
        <w:rPr>
          <w:szCs w:val="24"/>
        </w:rPr>
        <w:t xml:space="preserve"> was expected to reduce the likelihood </w:t>
      </w:r>
      <w:r w:rsidRPr="0050617D">
        <w:rPr>
          <w:szCs w:val="24"/>
        </w:rPr>
        <w:t>of</w:t>
      </w:r>
      <w:r>
        <w:rPr>
          <w:szCs w:val="24"/>
        </w:rPr>
        <w:t xml:space="preserve"> imported prawns </w:t>
      </w:r>
      <w:r w:rsidRPr="0050617D">
        <w:rPr>
          <w:szCs w:val="24"/>
        </w:rPr>
        <w:t>being</w:t>
      </w:r>
      <w:r>
        <w:rPr>
          <w:szCs w:val="24"/>
        </w:rPr>
        <w:t xml:space="preserve"> used </w:t>
      </w:r>
      <w:r w:rsidRPr="0050617D">
        <w:rPr>
          <w:szCs w:val="24"/>
        </w:rPr>
        <w:t>as</w:t>
      </w:r>
      <w:r>
        <w:rPr>
          <w:szCs w:val="24"/>
        </w:rPr>
        <w:t xml:space="preserve"> recreational fishing bait.</w:t>
      </w:r>
    </w:p>
    <w:p w14:paraId="68432BD0" w14:textId="6CB7787B" w:rsidR="00CC703E" w:rsidRPr="0050617D" w:rsidRDefault="00E37FDB">
      <w:pPr>
        <w:widowControl w:val="0"/>
        <w:autoSpaceDE w:val="0"/>
        <w:autoSpaceDN w:val="0"/>
        <w:adjustRightInd w:val="0"/>
        <w:spacing w:after="0"/>
        <w:rPr>
          <w:szCs w:val="24"/>
        </w:rPr>
      </w:pPr>
      <w:r>
        <w:rPr>
          <w:szCs w:val="24"/>
        </w:rPr>
        <w:t>A national bait and berley survey in 2002</w:t>
      </w:r>
      <w:r w:rsidR="00605365">
        <w:rPr>
          <w:szCs w:val="24"/>
          <w:vertAlign w:val="superscript"/>
        </w:rPr>
        <w:t>99</w:t>
      </w:r>
      <w:r w:rsidR="00E527F6">
        <w:rPr>
          <w:szCs w:val="24"/>
        </w:rPr>
        <w:t xml:space="preserve"> </w:t>
      </w:r>
      <w:r>
        <w:rPr>
          <w:szCs w:val="24"/>
        </w:rPr>
        <w:t xml:space="preserve">and a follow-up survey </w:t>
      </w:r>
      <w:r w:rsidR="00051347">
        <w:rPr>
          <w:szCs w:val="24"/>
        </w:rPr>
        <w:t xml:space="preserve">in 2006, reported </w:t>
      </w:r>
      <w:r>
        <w:rPr>
          <w:szCs w:val="24"/>
        </w:rPr>
        <w:t>in 200</w:t>
      </w:r>
      <w:r w:rsidR="00E71E15">
        <w:rPr>
          <w:szCs w:val="24"/>
        </w:rPr>
        <w:t>7</w:t>
      </w:r>
      <w:r w:rsidR="00511FED">
        <w:rPr>
          <w:szCs w:val="24"/>
          <w:vertAlign w:val="superscript"/>
        </w:rPr>
        <w:t>10</w:t>
      </w:r>
      <w:r w:rsidR="00605365">
        <w:rPr>
          <w:szCs w:val="24"/>
          <w:vertAlign w:val="superscript"/>
        </w:rPr>
        <w:t>0</w:t>
      </w:r>
      <w:r w:rsidR="00051347">
        <w:rPr>
          <w:szCs w:val="24"/>
        </w:rPr>
        <w:t xml:space="preserve">, </w:t>
      </w:r>
      <w:r w:rsidRPr="0050617D">
        <w:rPr>
          <w:szCs w:val="24"/>
        </w:rPr>
        <w:t>found</w:t>
      </w:r>
      <w:r>
        <w:rPr>
          <w:szCs w:val="24"/>
        </w:rPr>
        <w:t xml:space="preserve"> anecdotal evidence that some recreational fishers used peeled </w:t>
      </w:r>
      <w:r w:rsidR="000C7995">
        <w:rPr>
          <w:szCs w:val="24"/>
        </w:rPr>
        <w:t xml:space="preserve">uncooked </w:t>
      </w:r>
      <w:r>
        <w:rPr>
          <w:szCs w:val="24"/>
        </w:rPr>
        <w:t>prawns purchased from retail seafood outlets as bait</w:t>
      </w:r>
      <w:r w:rsidRPr="0050617D">
        <w:rPr>
          <w:szCs w:val="24"/>
        </w:rPr>
        <w:t xml:space="preserve">. </w:t>
      </w:r>
      <w:r>
        <w:rPr>
          <w:szCs w:val="24"/>
        </w:rPr>
        <w:t xml:space="preserve">The proportion of fishers using these prawns in 2002 was relatively low (about 6 per cent) </w:t>
      </w:r>
      <w:r w:rsidRPr="0050617D">
        <w:rPr>
          <w:szCs w:val="24"/>
        </w:rPr>
        <w:t>but</w:t>
      </w:r>
      <w:r>
        <w:rPr>
          <w:szCs w:val="24"/>
        </w:rPr>
        <w:t xml:space="preserve"> had increased to about 8</w:t>
      </w:r>
      <w:r w:rsidRPr="0050617D">
        <w:rPr>
          <w:szCs w:val="24"/>
        </w:rPr>
        <w:t> </w:t>
      </w:r>
      <w:r>
        <w:rPr>
          <w:szCs w:val="24"/>
        </w:rPr>
        <w:t xml:space="preserve">per cent in 2006. </w:t>
      </w:r>
      <w:r w:rsidRPr="0050617D">
        <w:rPr>
          <w:szCs w:val="24"/>
        </w:rPr>
        <w:t>In the 2002 survey, fishers reported a preference for w</w:t>
      </w:r>
      <w:r>
        <w:rPr>
          <w:szCs w:val="24"/>
        </w:rPr>
        <w:t>hole uncooked prawns</w:t>
      </w:r>
      <w:r w:rsidRPr="0050617D">
        <w:rPr>
          <w:szCs w:val="24"/>
        </w:rPr>
        <w:t xml:space="preserve"> in smaller size categories</w:t>
      </w:r>
      <w:r>
        <w:rPr>
          <w:szCs w:val="24"/>
        </w:rPr>
        <w:t xml:space="preserve"> (</w:t>
      </w:r>
      <w:r w:rsidRPr="0050617D">
        <w:rPr>
          <w:szCs w:val="24"/>
        </w:rPr>
        <w:t>less</w:t>
      </w:r>
      <w:r>
        <w:rPr>
          <w:szCs w:val="24"/>
        </w:rPr>
        <w:t xml:space="preserve"> than 13 centimetres).</w:t>
      </w:r>
    </w:p>
    <w:p w14:paraId="73F4B2A3" w14:textId="1CDB4AD1" w:rsidR="00CC703E" w:rsidRDefault="00E37FDB">
      <w:pPr>
        <w:widowControl w:val="0"/>
        <w:autoSpaceDE w:val="0"/>
        <w:autoSpaceDN w:val="0"/>
        <w:adjustRightInd w:val="0"/>
        <w:spacing w:after="0"/>
        <w:rPr>
          <w:szCs w:val="24"/>
        </w:rPr>
      </w:pPr>
      <w:r w:rsidRPr="0050617D">
        <w:rPr>
          <w:szCs w:val="24"/>
        </w:rPr>
        <w:t>The IRA team</w:t>
      </w:r>
      <w:r>
        <w:rPr>
          <w:szCs w:val="24"/>
        </w:rPr>
        <w:t xml:space="preserve"> recognised that the effectiveness of minimum size restrictions would be significantly reduced if fishers purchased larger prawns and then cut them into smaller pieces for use as bait. However,</w:t>
      </w:r>
      <w:r w:rsidRPr="0050617D">
        <w:rPr>
          <w:szCs w:val="24"/>
        </w:rPr>
        <w:t xml:space="preserve"> </w:t>
      </w:r>
      <w:r>
        <w:rPr>
          <w:szCs w:val="24"/>
        </w:rPr>
        <w:t xml:space="preserve">the results of the </w:t>
      </w:r>
      <w:r w:rsidRPr="0050617D">
        <w:rPr>
          <w:szCs w:val="24"/>
        </w:rPr>
        <w:t xml:space="preserve">2006 </w:t>
      </w:r>
      <w:r>
        <w:rPr>
          <w:szCs w:val="24"/>
        </w:rPr>
        <w:t>follow-up survey showed that this practice was not common.</w:t>
      </w:r>
    </w:p>
    <w:p w14:paraId="0D75FC85" w14:textId="14FA9807" w:rsidR="00CC703E" w:rsidRDefault="00E37FDB">
      <w:pPr>
        <w:widowControl w:val="0"/>
        <w:autoSpaceDE w:val="0"/>
        <w:autoSpaceDN w:val="0"/>
        <w:adjustRightInd w:val="0"/>
        <w:spacing w:after="0"/>
        <w:rPr>
          <w:szCs w:val="24"/>
        </w:rPr>
      </w:pPr>
      <w:r>
        <w:rPr>
          <w:szCs w:val="24"/>
        </w:rPr>
        <w:t xml:space="preserve">Minimum size restrictions were not expected to reduce the likelihood of farmed or hatchery crustacean broodstock being fed imported whole prawns. Nor were such limits expected to significantly reduce the likelihood of prawns </w:t>
      </w:r>
      <w:r w:rsidR="000C7995">
        <w:rPr>
          <w:szCs w:val="24"/>
        </w:rPr>
        <w:t xml:space="preserve">destined for import </w:t>
      </w:r>
      <w:r>
        <w:rPr>
          <w:szCs w:val="24"/>
        </w:rPr>
        <w:t>being harvested</w:t>
      </w:r>
      <w:r w:rsidR="000C7995">
        <w:rPr>
          <w:szCs w:val="24"/>
        </w:rPr>
        <w:t xml:space="preserve"> from a pond as a disease outbreak started</w:t>
      </w:r>
      <w:r>
        <w:rPr>
          <w:szCs w:val="24"/>
        </w:rPr>
        <w:t xml:space="preserve"> to minimise disease-related losses. Therefore, minimum size restrictions alone were not considered likely to reduce the overall risk to an acceptable level.</w:t>
      </w:r>
    </w:p>
    <w:p w14:paraId="026543FA" w14:textId="77777777" w:rsidR="00CC703E" w:rsidRDefault="00E37FDB" w:rsidP="0050617D">
      <w:pPr>
        <w:pStyle w:val="Heading5"/>
      </w:pPr>
      <w:r>
        <w:rPr>
          <w:lang w:val="en-AU"/>
        </w:rPr>
        <w:lastRenderedPageBreak/>
        <w:t xml:space="preserve">Option 6 </w:t>
      </w:r>
      <w:r>
        <w:t>Labelling for human consumption</w:t>
      </w:r>
    </w:p>
    <w:p w14:paraId="01ED7024" w14:textId="02E9C0E8" w:rsidR="00CC703E" w:rsidRDefault="00E37FDB">
      <w:pPr>
        <w:widowControl w:val="0"/>
        <w:autoSpaceDE w:val="0"/>
        <w:autoSpaceDN w:val="0"/>
        <w:adjustRightInd w:val="0"/>
        <w:spacing w:after="0"/>
        <w:rPr>
          <w:szCs w:val="24"/>
        </w:rPr>
      </w:pPr>
      <w:r>
        <w:rPr>
          <w:szCs w:val="24"/>
        </w:rPr>
        <w:t>Labelling of imported prawns ‘</w:t>
      </w:r>
      <w:r w:rsidR="00574585" w:rsidRPr="00574585">
        <w:rPr>
          <w:szCs w:val="24"/>
        </w:rPr>
        <w:t>For human consumption only—not to be used as bait or feed for aquatic animals</w:t>
      </w:r>
      <w:r>
        <w:rPr>
          <w:szCs w:val="24"/>
        </w:rPr>
        <w:t>’ might reduce the likelihood of exposure by making the intended end-use clear and prevent diversion at wholesale level. However, because this labelling was not always displayed at retail sale, the IRA team recognised that members of the general public were probably unaware that the product should not be used as bait. This labelling option alone was not considered likely to reduce the overall risk to an acceptable level.</w:t>
      </w:r>
    </w:p>
    <w:p w14:paraId="0CF3CFE7" w14:textId="77777777" w:rsidR="00CC703E" w:rsidRDefault="00E37FDB" w:rsidP="0050617D">
      <w:pPr>
        <w:pStyle w:val="Heading5"/>
      </w:pPr>
      <w:r>
        <w:rPr>
          <w:lang w:val="en-AU"/>
        </w:rPr>
        <w:t xml:space="preserve">Option 7 </w:t>
      </w:r>
      <w:r>
        <w:t>Post-harvest inspection to ensure absence of clinical signs of disease</w:t>
      </w:r>
    </w:p>
    <w:p w14:paraId="007B8B96" w14:textId="2BD113F6" w:rsidR="00CC703E" w:rsidRDefault="00E37FDB">
      <w:pPr>
        <w:widowControl w:val="0"/>
        <w:autoSpaceDE w:val="0"/>
        <w:autoSpaceDN w:val="0"/>
        <w:adjustRightInd w:val="0"/>
        <w:spacing w:after="0"/>
        <w:rPr>
          <w:szCs w:val="24"/>
        </w:rPr>
      </w:pPr>
      <w:r>
        <w:rPr>
          <w:szCs w:val="24"/>
        </w:rPr>
        <w:t>The IRA team also considered the option of having the overseas competent authority verify that prawns destined for import showed no signs of clinical disease on post-harvest inspection. This measure was expected to reduce the number of clinically infected prawns in imports and reduce the number of prawns containing significant amounts of pathogenic agent. However, because many of the diseases of concern could result in subclinical infection, the IRA team considered the verification option would provide only a minimal level of risk reduction.</w:t>
      </w:r>
    </w:p>
    <w:p w14:paraId="1EA6ADF7" w14:textId="77777777" w:rsidR="00CC703E" w:rsidRDefault="00E37FDB" w:rsidP="008823A5">
      <w:pPr>
        <w:pStyle w:val="Heading5"/>
      </w:pPr>
      <w:r>
        <w:rPr>
          <w:lang w:val="en-AU"/>
        </w:rPr>
        <w:t xml:space="preserve">Option 8 </w:t>
      </w:r>
      <w:r>
        <w:t>Head/shell removal</w:t>
      </w:r>
    </w:p>
    <w:p w14:paraId="7B6C8E0D" w14:textId="305BA908" w:rsidR="00CC703E" w:rsidRDefault="00E37FDB">
      <w:pPr>
        <w:widowControl w:val="0"/>
        <w:autoSpaceDE w:val="0"/>
        <w:autoSpaceDN w:val="0"/>
        <w:adjustRightInd w:val="0"/>
        <w:spacing w:after="0"/>
        <w:rPr>
          <w:szCs w:val="24"/>
        </w:rPr>
      </w:pPr>
      <w:r>
        <w:rPr>
          <w:szCs w:val="24"/>
        </w:rPr>
        <w:t xml:space="preserve">The IRA team considered the option of allowing importation of uncooked prawns with their heads and shells removed (except for the last shell segments and tail fans). This would be subject to offshore inspection and attestation by the overseas competent authority and post-arrival verification by </w:t>
      </w:r>
      <w:r w:rsidR="00BA1A11">
        <w:rPr>
          <w:szCs w:val="24"/>
        </w:rPr>
        <w:t>the Australian Quarantine Inspection Service (</w:t>
      </w:r>
      <w:r>
        <w:rPr>
          <w:szCs w:val="24"/>
        </w:rPr>
        <w:t>AQIS</w:t>
      </w:r>
      <w:r w:rsidR="00BA1A11">
        <w:rPr>
          <w:szCs w:val="24"/>
        </w:rPr>
        <w:t>)</w:t>
      </w:r>
      <w:r>
        <w:rPr>
          <w:szCs w:val="24"/>
        </w:rPr>
        <w:t>. For those pathogenic agents deemed to require risk management, this measure would reduce the amount of agent present in prawns by at least half (strictly on a weight basis) and thereby the likelihood of release. In an infected prawn, the cephalothorax (fused head and thorax) contains about half of the total amount of WSSV and the tail shell about one third</w:t>
      </w:r>
      <w:r w:rsidR="0019261F">
        <w:rPr>
          <w:szCs w:val="24"/>
          <w:vertAlign w:val="superscript"/>
        </w:rPr>
        <w:t>10</w:t>
      </w:r>
      <w:r w:rsidR="00605365">
        <w:rPr>
          <w:szCs w:val="24"/>
          <w:vertAlign w:val="superscript"/>
        </w:rPr>
        <w:t>1</w:t>
      </w:r>
      <w:r>
        <w:rPr>
          <w:szCs w:val="24"/>
        </w:rPr>
        <w:t>.</w:t>
      </w:r>
    </w:p>
    <w:p w14:paraId="0E927A21" w14:textId="3EEEE7B3" w:rsidR="00CC703E" w:rsidRDefault="00E37FDB">
      <w:pPr>
        <w:widowControl w:val="0"/>
        <w:autoSpaceDE w:val="0"/>
        <w:autoSpaceDN w:val="0"/>
        <w:adjustRightInd w:val="0"/>
        <w:spacing w:after="0"/>
        <w:rPr>
          <w:szCs w:val="24"/>
        </w:rPr>
      </w:pPr>
      <w:r>
        <w:rPr>
          <w:szCs w:val="24"/>
        </w:rPr>
        <w:t>The IRA team considered that head and shell removal would not completely eliminate any of the pathogenic agents. It would eliminate the risk of imported prawn peelings (shells and heads) being discarded into Australian waterways. It would also reduce the risk of unintended end-use, such as for recreational bait/berley or feed for hatchery broodstock. Recreational fishers were unlikely to pay higher prices for peeled prawns and reportedly preferred head-on prawns, and farmers did not favour using peeled prawns as hatchery broodstock feed.</w:t>
      </w:r>
    </w:p>
    <w:p w14:paraId="2464075A" w14:textId="5AC62A8F" w:rsidR="00CC703E" w:rsidRDefault="00E37FDB">
      <w:pPr>
        <w:widowControl w:val="0"/>
        <w:autoSpaceDE w:val="0"/>
        <w:autoSpaceDN w:val="0"/>
        <w:adjustRightInd w:val="0"/>
        <w:spacing w:after="0"/>
        <w:rPr>
          <w:szCs w:val="24"/>
        </w:rPr>
      </w:pPr>
      <w:r w:rsidRPr="0008656D">
        <w:rPr>
          <w:szCs w:val="24"/>
        </w:rPr>
        <w:t>The likelihood of t</w:t>
      </w:r>
      <w:r>
        <w:rPr>
          <w:szCs w:val="24"/>
        </w:rPr>
        <w:t>his option reduc</w:t>
      </w:r>
      <w:r w:rsidRPr="0008656D">
        <w:rPr>
          <w:szCs w:val="24"/>
        </w:rPr>
        <w:t>ing</w:t>
      </w:r>
      <w:r>
        <w:rPr>
          <w:szCs w:val="24"/>
        </w:rPr>
        <w:t xml:space="preserve"> the release and/or exposure </w:t>
      </w:r>
      <w:r w:rsidRPr="0008656D">
        <w:rPr>
          <w:szCs w:val="24"/>
        </w:rPr>
        <w:t xml:space="preserve">of a pathogen </w:t>
      </w:r>
      <w:r>
        <w:rPr>
          <w:szCs w:val="24"/>
        </w:rPr>
        <w:t>would depend on the nature of the pathogenic agent of concern.</w:t>
      </w:r>
    </w:p>
    <w:p w14:paraId="2C7AC67D" w14:textId="77777777" w:rsidR="00CC703E" w:rsidRDefault="00E37FDB" w:rsidP="0008656D">
      <w:pPr>
        <w:pStyle w:val="Heading5"/>
      </w:pPr>
      <w:r>
        <w:rPr>
          <w:lang w:val="en-AU"/>
        </w:rPr>
        <w:t xml:space="preserve">Option 9 </w:t>
      </w:r>
      <w:r>
        <w:t>Sourcing from wild stocks</w:t>
      </w:r>
    </w:p>
    <w:p w14:paraId="7D1D6520" w14:textId="44E08E93" w:rsidR="00CC703E" w:rsidRDefault="00E37FDB">
      <w:pPr>
        <w:widowControl w:val="0"/>
        <w:autoSpaceDE w:val="0"/>
        <w:autoSpaceDN w:val="0"/>
        <w:adjustRightInd w:val="0"/>
        <w:spacing w:after="0"/>
        <w:rPr>
          <w:szCs w:val="24"/>
        </w:rPr>
      </w:pPr>
      <w:r>
        <w:rPr>
          <w:szCs w:val="24"/>
        </w:rPr>
        <w:t>The IRA team considered allowing the import of wild-caught prawns from populations that had been tested, found free of pathogenic agents of concern and verified by the overseas competent authority. This measure might reduce the amount of hazard present in prawns, thereby reducing the likelihood of release.</w:t>
      </w:r>
    </w:p>
    <w:p w14:paraId="6BBD73E9" w14:textId="0280D5BF" w:rsidR="00CC703E" w:rsidRDefault="00E37FDB" w:rsidP="00E71E15">
      <w:pPr>
        <w:widowControl w:val="0"/>
        <w:autoSpaceDE w:val="0"/>
        <w:autoSpaceDN w:val="0"/>
        <w:adjustRightInd w:val="0"/>
        <w:spacing w:after="0"/>
        <w:rPr>
          <w:szCs w:val="24"/>
        </w:rPr>
      </w:pPr>
      <w:r>
        <w:rPr>
          <w:szCs w:val="24"/>
        </w:rPr>
        <w:t xml:space="preserve">The IRA team found this option was unfeasible because existing audit procedures in most exporting </w:t>
      </w:r>
      <w:r w:rsidRPr="00E71E15">
        <w:t>countries</w:t>
      </w:r>
      <w:r>
        <w:rPr>
          <w:szCs w:val="24"/>
        </w:rPr>
        <w:t xml:space="preserve"> would not enable competent authorities to verify the </w:t>
      </w:r>
      <w:r>
        <w:rPr>
          <w:szCs w:val="24"/>
        </w:rPr>
        <w:lastRenderedPageBreak/>
        <w:t xml:space="preserve">product. However, they recognised that it might be possible to introduce species restrictions, so only species known not to be farmed were permitted entry. The effectiveness of such measures would depend on the pathogenic agent of concern, as well as the practicality of </w:t>
      </w:r>
      <w:r w:rsidR="00953F01">
        <w:rPr>
          <w:szCs w:val="24"/>
        </w:rPr>
        <w:t xml:space="preserve">setting up and </w:t>
      </w:r>
      <w:r>
        <w:rPr>
          <w:szCs w:val="24"/>
        </w:rPr>
        <w:t xml:space="preserve">ensuring compliance with </w:t>
      </w:r>
      <w:r w:rsidR="00953F01">
        <w:rPr>
          <w:szCs w:val="24"/>
        </w:rPr>
        <w:t xml:space="preserve">a system for </w:t>
      </w:r>
      <w:r>
        <w:rPr>
          <w:szCs w:val="24"/>
        </w:rPr>
        <w:t>prawn species identification. This option was not considered further.</w:t>
      </w:r>
    </w:p>
    <w:p w14:paraId="5E149213" w14:textId="254E303D" w:rsidR="00CC703E" w:rsidRDefault="00E37FDB" w:rsidP="00075CC5">
      <w:pPr>
        <w:pStyle w:val="Heading4"/>
        <w:rPr>
          <w:lang w:val="en-AU"/>
        </w:rPr>
      </w:pPr>
      <w:r>
        <w:rPr>
          <w:lang w:val="en-AU"/>
        </w:rPr>
        <w:t>Pathogenic agent-specific risk management measures</w:t>
      </w:r>
      <w:r w:rsidR="00336AEF">
        <w:rPr>
          <w:lang w:val="en-AU"/>
        </w:rPr>
        <w:t xml:space="preserve"> for WSSV</w:t>
      </w:r>
    </w:p>
    <w:p w14:paraId="44ABE37B" w14:textId="704AD81D" w:rsidR="00CC703E" w:rsidRDefault="00E37FDB" w:rsidP="0087638C">
      <w:r>
        <w:rPr>
          <w:szCs w:val="24"/>
        </w:rPr>
        <w:t>The overall unrestricted risk associated with WSSV was estimated as ‘</w:t>
      </w:r>
      <w:r w:rsidRPr="001F06E1">
        <w:t>high</w:t>
      </w:r>
      <w:r>
        <w:t>’</w:t>
      </w:r>
      <w:r>
        <w:rPr>
          <w:szCs w:val="24"/>
        </w:rPr>
        <w:t xml:space="preserve">. Of the pathogenic agents covered in this risk analysis, the highest likelihood of entry and exposure was associated with WSSV. The likelihood of WSSV entry and exposure was calculated as ‘low’ for </w:t>
      </w:r>
      <w:r>
        <w:t>farmed crustaceans (exposure group 1)</w:t>
      </w:r>
      <w:r>
        <w:rPr>
          <w:szCs w:val="24"/>
        </w:rPr>
        <w:t xml:space="preserve"> and ‘high’ for both hatchery populations (exposure group 2) and wild crustaceans (exposure group 3)</w:t>
      </w:r>
      <w:r>
        <w:t>.</w:t>
      </w:r>
    </w:p>
    <w:p w14:paraId="1142D0C2" w14:textId="22E30D78" w:rsidR="00CC703E" w:rsidRDefault="00E37FDB">
      <w:pPr>
        <w:widowControl w:val="0"/>
        <w:autoSpaceDE w:val="0"/>
        <w:autoSpaceDN w:val="0"/>
        <w:adjustRightInd w:val="0"/>
        <w:spacing w:after="0"/>
        <w:rPr>
          <w:szCs w:val="24"/>
        </w:rPr>
      </w:pPr>
      <w:r>
        <w:rPr>
          <w:szCs w:val="24"/>
        </w:rPr>
        <w:t xml:space="preserve">The IRA team considered that the following risk management measures would each reduce the overall WSSV risk </w:t>
      </w:r>
      <w:r>
        <w:t>from ‘</w:t>
      </w:r>
      <w:r w:rsidRPr="001F06E1">
        <w:t>high</w:t>
      </w:r>
      <w:r>
        <w:t>’ to at least ‘</w:t>
      </w:r>
      <w:r w:rsidRPr="001F06E1">
        <w:t>very low</w:t>
      </w:r>
      <w:r>
        <w:t>’ and therefore</w:t>
      </w:r>
      <w:r>
        <w:rPr>
          <w:szCs w:val="24"/>
        </w:rPr>
        <w:t xml:space="preserve"> achieve Australia’s ALOP:</w:t>
      </w:r>
    </w:p>
    <w:p w14:paraId="4B4F6B9B" w14:textId="371CF979" w:rsidR="00CC703E" w:rsidRPr="00A73094" w:rsidRDefault="00E37FDB" w:rsidP="00075CC5">
      <w:pPr>
        <w:pStyle w:val="ListBullet"/>
      </w:pPr>
      <w:r w:rsidRPr="00A73094">
        <w:t>Option 1 Country or zone freedom</w:t>
      </w:r>
      <w:r w:rsidR="00F90188" w:rsidRPr="00A73094">
        <w:t>—</w:t>
      </w:r>
      <w:r w:rsidR="00A73094">
        <w:t xml:space="preserve">expected to </w:t>
      </w:r>
      <w:r w:rsidR="00F90188" w:rsidRPr="00A73094">
        <w:t>meet Australia’s ALOP</w:t>
      </w:r>
      <w:r w:rsidRPr="00A73094">
        <w:t>.</w:t>
      </w:r>
    </w:p>
    <w:p w14:paraId="40DFFDF0" w14:textId="4DBA1D27" w:rsidR="00CC703E" w:rsidRDefault="00E37FDB" w:rsidP="00075CC5">
      <w:pPr>
        <w:pStyle w:val="ListBullet"/>
      </w:pPr>
      <w:r>
        <w:t>Option 2 Cooking—expected to reduce the likelihood of WSSV entry and exposure to ‘negligible’ for exposure groups 1 and 2 and to at least ‘extremely low’ for group 3</w:t>
      </w:r>
      <w:r w:rsidR="0019261F">
        <w:rPr>
          <w:vertAlign w:val="superscript"/>
        </w:rPr>
        <w:t>39</w:t>
      </w:r>
      <w:r w:rsidR="00BD7799">
        <w:rPr>
          <w:vertAlign w:val="superscript"/>
        </w:rPr>
        <w:t xml:space="preserve"> (p. </w:t>
      </w:r>
      <w:r w:rsidR="00175AE9">
        <w:rPr>
          <w:vertAlign w:val="superscript"/>
        </w:rPr>
        <w:t>171</w:t>
      </w:r>
      <w:r w:rsidR="00BD7799">
        <w:rPr>
          <w:vertAlign w:val="superscript"/>
        </w:rPr>
        <w:t>)</w:t>
      </w:r>
      <w:r>
        <w:t>.</w:t>
      </w:r>
    </w:p>
    <w:p w14:paraId="4B2313F7" w14:textId="77FD3ADB" w:rsidR="00CC703E" w:rsidRDefault="00E37FDB" w:rsidP="00075CC5">
      <w:pPr>
        <w:pStyle w:val="ListBullet"/>
      </w:pPr>
      <w:r>
        <w:t>Option 3 Testing and option 8 Head/shell removal—expected, in combination, to reduce the likelihood of WSSV entry and exposure to ‘extremely low’ for exposure groups 1 and 2 and to at least ‘very low’ for group 3</w:t>
      </w:r>
      <w:r w:rsidR="0019261F">
        <w:rPr>
          <w:vertAlign w:val="superscript"/>
        </w:rPr>
        <w:t>39</w:t>
      </w:r>
      <w:r w:rsidR="00BD7799">
        <w:rPr>
          <w:vertAlign w:val="superscript"/>
        </w:rPr>
        <w:t xml:space="preserve"> </w:t>
      </w:r>
      <w:r w:rsidR="00BD7799" w:rsidRPr="00BD7799">
        <w:rPr>
          <w:vertAlign w:val="superscript"/>
        </w:rPr>
        <w:t xml:space="preserve">(p. </w:t>
      </w:r>
      <w:r w:rsidR="00175AE9">
        <w:rPr>
          <w:vertAlign w:val="superscript"/>
        </w:rPr>
        <w:t>171</w:t>
      </w:r>
      <w:r w:rsidR="00BD7799" w:rsidRPr="00BD7799">
        <w:rPr>
          <w:vertAlign w:val="superscript"/>
        </w:rPr>
        <w:t>)</w:t>
      </w:r>
      <w:r>
        <w:t>.</w:t>
      </w:r>
    </w:p>
    <w:p w14:paraId="1BC1C89E" w14:textId="48C7CDA8" w:rsidR="00CC703E" w:rsidRDefault="00E37FDB" w:rsidP="00075CC5">
      <w:pPr>
        <w:pStyle w:val="ListBullet"/>
      </w:pPr>
      <w:r>
        <w:t xml:space="preserve">Option 4 High level of processing—expected to reduce the likelihood of WSSV entry and exposure to ‘negligible’ for exposure groups 1 and 2 and to </w:t>
      </w:r>
      <w:r w:rsidRPr="001F06E1">
        <w:t xml:space="preserve">at least </w:t>
      </w:r>
      <w:r>
        <w:t>‘</w:t>
      </w:r>
      <w:r w:rsidRPr="001F06E1">
        <w:t>very low</w:t>
      </w:r>
      <w:r>
        <w:t>’</w:t>
      </w:r>
      <w:r w:rsidRPr="001F06E1">
        <w:t xml:space="preserve"> for</w:t>
      </w:r>
      <w:r>
        <w:t xml:space="preserve"> group 3</w:t>
      </w:r>
      <w:r w:rsidR="0019261F">
        <w:rPr>
          <w:vertAlign w:val="superscript"/>
        </w:rPr>
        <w:t>39</w:t>
      </w:r>
      <w:r w:rsidR="00CA590E">
        <w:rPr>
          <w:vertAlign w:val="superscript"/>
        </w:rPr>
        <w:t> </w:t>
      </w:r>
      <w:r w:rsidR="00BD7799" w:rsidRPr="00BD7799">
        <w:rPr>
          <w:vertAlign w:val="superscript"/>
        </w:rPr>
        <w:t xml:space="preserve">(p. </w:t>
      </w:r>
      <w:r w:rsidR="00175AE9">
        <w:rPr>
          <w:vertAlign w:val="superscript"/>
        </w:rPr>
        <w:t>171</w:t>
      </w:r>
      <w:r w:rsidR="00BD7799" w:rsidRPr="00BD7799">
        <w:rPr>
          <w:vertAlign w:val="superscript"/>
        </w:rPr>
        <w:t>)</w:t>
      </w:r>
      <w:r>
        <w:t>.</w:t>
      </w:r>
    </w:p>
    <w:p w14:paraId="74E00399" w14:textId="2680A351" w:rsidR="00CC703E" w:rsidRDefault="005601F2" w:rsidP="001F06E1">
      <w:pPr>
        <w:pStyle w:val="Heading4"/>
        <w:rPr>
          <w:rFonts w:eastAsiaTheme="minorEastAsia"/>
        </w:rPr>
      </w:pPr>
      <w:r>
        <w:rPr>
          <w:rFonts w:eastAsiaTheme="minorEastAsia"/>
          <w:lang w:val="en-AU"/>
        </w:rPr>
        <w:t>Interim 2001</w:t>
      </w:r>
      <w:r w:rsidR="00E37FDB">
        <w:rPr>
          <w:rFonts w:eastAsiaTheme="minorEastAsia"/>
        </w:rPr>
        <w:t xml:space="preserve"> import conditions </w:t>
      </w:r>
      <w:r>
        <w:rPr>
          <w:rFonts w:eastAsiaTheme="minorEastAsia"/>
          <w:lang w:val="en-AU"/>
        </w:rPr>
        <w:t>introduced testing requirement</w:t>
      </w:r>
    </w:p>
    <w:p w14:paraId="50F70D7A" w14:textId="491E9601" w:rsidR="00CC703E" w:rsidRDefault="00E37FDB" w:rsidP="005131D8">
      <w:pPr>
        <w:rPr>
          <w:lang w:eastAsia="en-AU"/>
        </w:rPr>
      </w:pPr>
      <w:r>
        <w:rPr>
          <w:rFonts w:eastAsiaTheme="minorEastAsia"/>
          <w:lang w:eastAsia="en-AU"/>
        </w:rPr>
        <w:t xml:space="preserve">The first draft of the IRA </w:t>
      </w:r>
      <w:r>
        <w:rPr>
          <w:lang w:eastAsia="en-AU"/>
        </w:rPr>
        <w:t xml:space="preserve">for uncooked prawns for human consumption </w:t>
      </w:r>
      <w:r>
        <w:rPr>
          <w:rFonts w:eastAsiaTheme="minorEastAsia"/>
          <w:lang w:eastAsia="en-AU"/>
        </w:rPr>
        <w:t>was released in 2000</w:t>
      </w:r>
      <w:r w:rsidR="0019261F">
        <w:rPr>
          <w:rFonts w:eastAsiaTheme="minorEastAsia"/>
          <w:vertAlign w:val="superscript"/>
          <w:lang w:eastAsia="en-AU"/>
        </w:rPr>
        <w:t>10</w:t>
      </w:r>
      <w:r w:rsidR="00605365">
        <w:rPr>
          <w:rFonts w:eastAsiaTheme="minorEastAsia"/>
          <w:vertAlign w:val="superscript"/>
          <w:lang w:eastAsia="en-AU"/>
        </w:rPr>
        <w:t>2</w:t>
      </w:r>
      <w:r>
        <w:rPr>
          <w:rFonts w:eastAsiaTheme="minorEastAsia"/>
          <w:lang w:eastAsia="en-AU"/>
        </w:rPr>
        <w:t xml:space="preserve">. This report, and the Darwin incident described in </w:t>
      </w:r>
      <w:r w:rsidRPr="0095120F">
        <w:rPr>
          <w:rFonts w:eastAsiaTheme="minorEastAsia"/>
          <w:lang w:eastAsia="en-AU"/>
        </w:rPr>
        <w:t>section 3.4</w:t>
      </w:r>
      <w:r>
        <w:rPr>
          <w:rFonts w:eastAsiaTheme="minorEastAsia"/>
          <w:lang w:eastAsia="en-AU"/>
        </w:rPr>
        <w:t xml:space="preserve">, </w:t>
      </w:r>
      <w:r>
        <w:rPr>
          <w:lang w:eastAsia="en-AU"/>
        </w:rPr>
        <w:t>led the department to introduce interim 2001 import conditions</w:t>
      </w:r>
      <w:r w:rsidR="0019261F">
        <w:rPr>
          <w:vertAlign w:val="superscript"/>
          <w:lang w:eastAsia="en-AU"/>
        </w:rPr>
        <w:t>10</w:t>
      </w:r>
      <w:r w:rsidR="00605365">
        <w:rPr>
          <w:vertAlign w:val="superscript"/>
          <w:lang w:eastAsia="en-AU"/>
        </w:rPr>
        <w:t>3</w:t>
      </w:r>
      <w:r>
        <w:rPr>
          <w:lang w:eastAsia="en-AU"/>
        </w:rPr>
        <w:t>, aimed at managing WSSV and YHV risks. These included:</w:t>
      </w:r>
    </w:p>
    <w:p w14:paraId="30CCD5C4" w14:textId="42C7950E" w:rsidR="00CC703E" w:rsidRDefault="00E37FDB" w:rsidP="00FC3200">
      <w:pPr>
        <w:pStyle w:val="ListBullet"/>
        <w:rPr>
          <w:rFonts w:eastAsiaTheme="minorEastAsia"/>
          <w:lang w:eastAsia="en-AU"/>
        </w:rPr>
      </w:pPr>
      <w:r>
        <w:rPr>
          <w:lang w:eastAsia="en-AU"/>
        </w:rPr>
        <w:t>a ban on uncooked, whole prawns weighing less than 15 grams (to minimise use as bait)</w:t>
      </w:r>
      <w:r w:rsidR="00CD6FA1">
        <w:rPr>
          <w:lang w:eastAsia="en-AU"/>
        </w:rPr>
        <w:t>,</w:t>
      </w:r>
    </w:p>
    <w:p w14:paraId="3D318EE1" w14:textId="7DADFF8B" w:rsidR="00CC703E" w:rsidRDefault="00E37FDB" w:rsidP="00FC3200">
      <w:pPr>
        <w:pStyle w:val="ListBullet"/>
      </w:pPr>
      <w:r>
        <w:rPr>
          <w:lang w:eastAsia="en-AU"/>
        </w:rPr>
        <w:t xml:space="preserve">health certification by the overseas competent authority that </w:t>
      </w:r>
      <w:r>
        <w:t>prawns had not been emergency harvested</w:t>
      </w:r>
      <w:r w:rsidR="00CD6FA1">
        <w:t>, and</w:t>
      </w:r>
    </w:p>
    <w:p w14:paraId="3AC30E4F" w14:textId="78692DDF" w:rsidR="00527A48" w:rsidRDefault="00E37FDB" w:rsidP="00FC3200">
      <w:pPr>
        <w:pStyle w:val="ListBullet"/>
      </w:pPr>
      <w:r>
        <w:rPr>
          <w:lang w:eastAsia="en-AU"/>
        </w:rPr>
        <w:t>post-arrival AQIS inspection and testing for WSSV and YHV</w:t>
      </w:r>
      <w:r>
        <w:t xml:space="preserve"> in Australia of all imported batches of uncooked whole praw</w:t>
      </w:r>
      <w:r w:rsidR="00642C86">
        <w:t>ns or unpeeled headless prawns.</w:t>
      </w:r>
    </w:p>
    <w:p w14:paraId="31431CF0" w14:textId="6808CCAE" w:rsidR="00CC703E" w:rsidRPr="00527A48" w:rsidRDefault="00E37FDB" w:rsidP="00642C86">
      <w:pPr>
        <w:widowControl w:val="0"/>
        <w:tabs>
          <w:tab w:val="clear" w:pos="567"/>
        </w:tabs>
        <w:autoSpaceDE w:val="0"/>
        <w:autoSpaceDN w:val="0"/>
        <w:adjustRightInd w:val="0"/>
        <w:spacing w:before="60" w:after="0"/>
        <w:rPr>
          <w:szCs w:val="24"/>
        </w:rPr>
      </w:pPr>
      <w:r w:rsidRPr="00527A48">
        <w:rPr>
          <w:szCs w:val="24"/>
        </w:rPr>
        <w:t>As a result, few or no consignments of uncooked prawns appear to have arrived in the first year of this requirement being in place.</w:t>
      </w:r>
    </w:p>
    <w:p w14:paraId="75395E98" w14:textId="5F6C08F9" w:rsidR="005601F2" w:rsidRPr="00642C86" w:rsidRDefault="005601F2" w:rsidP="00642C86">
      <w:pPr>
        <w:pStyle w:val="Heading4"/>
        <w:rPr>
          <w:rFonts w:eastAsiaTheme="minorEastAsia"/>
        </w:rPr>
      </w:pPr>
      <w:r w:rsidRPr="00642C86">
        <w:rPr>
          <w:rFonts w:eastAsiaTheme="minorEastAsia"/>
        </w:rPr>
        <w:lastRenderedPageBreak/>
        <w:t>Interim 2002 import conditions exempted ‘highly processed’ prawns from testing</w:t>
      </w:r>
    </w:p>
    <w:p w14:paraId="76B9FCCC" w14:textId="479D3F63" w:rsidR="00CC703E" w:rsidRDefault="00E37FDB">
      <w:pPr>
        <w:widowControl w:val="0"/>
        <w:autoSpaceDE w:val="0"/>
        <w:autoSpaceDN w:val="0"/>
        <w:adjustRightInd w:val="0"/>
        <w:spacing w:after="0"/>
        <w:rPr>
          <w:rFonts w:eastAsiaTheme="minorEastAsia"/>
          <w:szCs w:val="24"/>
          <w:lang w:eastAsia="en-AU"/>
        </w:rPr>
      </w:pPr>
      <w:r>
        <w:rPr>
          <w:rFonts w:eastAsiaTheme="minorEastAsia"/>
          <w:szCs w:val="24"/>
          <w:lang w:eastAsia="en-AU"/>
        </w:rPr>
        <w:t>After a public workshop in May 2002, the department introduced additional interim 2002 conditions</w:t>
      </w:r>
      <w:r w:rsidR="0019261F">
        <w:rPr>
          <w:rFonts w:eastAsiaTheme="minorEastAsia"/>
          <w:szCs w:val="24"/>
          <w:vertAlign w:val="superscript"/>
          <w:lang w:eastAsia="en-AU"/>
        </w:rPr>
        <w:t>10</w:t>
      </w:r>
      <w:r w:rsidR="00605365">
        <w:rPr>
          <w:rFonts w:eastAsiaTheme="minorEastAsia"/>
          <w:szCs w:val="24"/>
          <w:vertAlign w:val="superscript"/>
          <w:lang w:eastAsia="en-AU"/>
        </w:rPr>
        <w:t>4</w:t>
      </w:r>
      <w:r>
        <w:rPr>
          <w:rFonts w:eastAsiaTheme="minorEastAsia"/>
          <w:szCs w:val="24"/>
          <w:lang w:eastAsia="en-AU"/>
        </w:rPr>
        <w:t>. These allowed the importation of ‘highly processed’ uncooked prawns or prawn products without the requirement to undergo WSSV and YHV testing. These products were defined as uncooked prawns or prawn products that:</w:t>
      </w:r>
    </w:p>
    <w:p w14:paraId="5824279A" w14:textId="1FA0E9AB" w:rsidR="00CC703E" w:rsidRDefault="00E37FDB" w:rsidP="00FC3200">
      <w:pPr>
        <w:pStyle w:val="ListBullet"/>
      </w:pPr>
      <w:r>
        <w:t xml:space="preserve">had been </w:t>
      </w:r>
      <w:r>
        <w:rPr>
          <w:rFonts w:eastAsia="Times New Roman" w:cs="Arial"/>
          <w:lang w:eastAsia="en-AU"/>
        </w:rPr>
        <w:t>peeled</w:t>
      </w:r>
      <w:r>
        <w:t xml:space="preserve"> to at least the last tail segment</w:t>
      </w:r>
    </w:p>
    <w:p w14:paraId="7E1024C5" w14:textId="7B30F658" w:rsidR="00CC703E" w:rsidRDefault="00E37FDB" w:rsidP="00FC3200">
      <w:pPr>
        <w:pStyle w:val="ListBullet"/>
      </w:pPr>
      <w:r>
        <w:t xml:space="preserve">were </w:t>
      </w:r>
      <w:r>
        <w:rPr>
          <w:rFonts w:eastAsia="Times New Roman" w:cs="Arial"/>
          <w:lang w:eastAsia="en-AU"/>
        </w:rPr>
        <w:t>breaded</w:t>
      </w:r>
      <w:r>
        <w:t xml:space="preserve"> or battered</w:t>
      </w:r>
    </w:p>
    <w:p w14:paraId="4C5F9400" w14:textId="5E7E6AC1" w:rsidR="00CC703E" w:rsidRDefault="00E37FDB" w:rsidP="00FC3200">
      <w:pPr>
        <w:pStyle w:val="ListBullet"/>
      </w:pPr>
      <w:r>
        <w:t xml:space="preserve">had a </w:t>
      </w:r>
      <w:r>
        <w:rPr>
          <w:rFonts w:eastAsia="Times New Roman" w:cs="Arial"/>
          <w:lang w:eastAsia="en-AU"/>
        </w:rPr>
        <w:t>finished</w:t>
      </w:r>
      <w:r>
        <w:t xml:space="preserve"> product grade size count of at least 21</w:t>
      </w:r>
      <w:r w:rsidR="00E71E15">
        <w:t xml:space="preserve"> to </w:t>
      </w:r>
      <w:r>
        <w:t>25 per pound (55 per kilogram)</w:t>
      </w:r>
    </w:p>
    <w:p w14:paraId="09BD965A" w14:textId="77777777" w:rsidR="00CC703E" w:rsidRDefault="00E37FDB" w:rsidP="00FC3200">
      <w:pPr>
        <w:pStyle w:val="ListBullet"/>
      </w:pPr>
      <w:r>
        <w:t xml:space="preserve">were </w:t>
      </w:r>
      <w:r>
        <w:rPr>
          <w:rFonts w:eastAsia="Times New Roman" w:cs="Arial"/>
          <w:lang w:eastAsia="en-AU"/>
        </w:rPr>
        <w:t>packaged</w:t>
      </w:r>
      <w:r>
        <w:t xml:space="preserve"> in lots of no more than 3 kilograms in weight.</w:t>
      </w:r>
    </w:p>
    <w:p w14:paraId="60BAA07B" w14:textId="242A4FC4" w:rsidR="005601F2" w:rsidRPr="00381EBA" w:rsidRDefault="005601F2" w:rsidP="00642C86">
      <w:pPr>
        <w:widowControl w:val="0"/>
        <w:tabs>
          <w:tab w:val="clear" w:pos="567"/>
        </w:tabs>
        <w:autoSpaceDE w:val="0"/>
        <w:autoSpaceDN w:val="0"/>
        <w:adjustRightInd w:val="0"/>
        <w:spacing w:before="60" w:after="0"/>
        <w:rPr>
          <w:szCs w:val="24"/>
        </w:rPr>
      </w:pPr>
      <w:r>
        <w:rPr>
          <w:szCs w:val="24"/>
        </w:rPr>
        <w:t>It was expected that these highly processed prawns would not be diverted from human consumption for use as bait.</w:t>
      </w:r>
    </w:p>
    <w:p w14:paraId="4EA111D9" w14:textId="6498202E" w:rsidR="005601F2" w:rsidRPr="00642C86" w:rsidRDefault="005601F2" w:rsidP="00642C86">
      <w:pPr>
        <w:pStyle w:val="Heading4"/>
        <w:rPr>
          <w:rFonts w:eastAsiaTheme="minorEastAsia"/>
        </w:rPr>
      </w:pPr>
      <w:r w:rsidRPr="00642C86">
        <w:rPr>
          <w:rFonts w:eastAsiaTheme="minorEastAsia"/>
        </w:rPr>
        <w:t>2006 revised draft IRA report considered emerging disease risks</w:t>
      </w:r>
    </w:p>
    <w:p w14:paraId="493D9FB6" w14:textId="4B7ED37F" w:rsidR="00CC703E" w:rsidRDefault="00E37FDB">
      <w:pPr>
        <w:widowControl w:val="0"/>
        <w:autoSpaceDE w:val="0"/>
        <w:autoSpaceDN w:val="0"/>
        <w:adjustRightInd w:val="0"/>
        <w:spacing w:after="0"/>
        <w:rPr>
          <w:rFonts w:eastAsiaTheme="minorEastAsia"/>
          <w:szCs w:val="24"/>
          <w:lang w:eastAsia="en-AU"/>
        </w:rPr>
      </w:pPr>
      <w:r>
        <w:rPr>
          <w:rFonts w:eastAsiaTheme="minorEastAsia"/>
          <w:szCs w:val="24"/>
          <w:lang w:eastAsia="en-AU"/>
        </w:rPr>
        <w:t xml:space="preserve">In August 2004 the IRA team identified a need for trials on the susceptibility of selected species of Australian crustaceans to taura syndrome virus (TSV). This research was tendered out to the University of Arizona’s Aquaculture Pathology Laboratory. </w:t>
      </w:r>
      <w:r w:rsidR="00665F47">
        <w:rPr>
          <w:rFonts w:eastAsiaTheme="minorEastAsia"/>
          <w:szCs w:val="24"/>
          <w:lang w:eastAsia="en-AU"/>
        </w:rPr>
        <w:t>By</w:t>
      </w:r>
      <w:r>
        <w:rPr>
          <w:rFonts w:eastAsiaTheme="minorEastAsia"/>
          <w:szCs w:val="24"/>
          <w:lang w:eastAsia="en-AU"/>
        </w:rPr>
        <w:t xml:space="preserve"> late 2005</w:t>
      </w:r>
      <w:r w:rsidR="00665F47">
        <w:rPr>
          <w:rFonts w:eastAsiaTheme="minorEastAsia"/>
          <w:szCs w:val="24"/>
          <w:lang w:eastAsia="en-AU"/>
        </w:rPr>
        <w:t xml:space="preserve">, the department determined </w:t>
      </w:r>
      <w:r>
        <w:rPr>
          <w:rFonts w:eastAsiaTheme="minorEastAsia"/>
          <w:szCs w:val="24"/>
          <w:lang w:eastAsia="en-AU"/>
        </w:rPr>
        <w:t xml:space="preserve">that, given the increased availability of imported farmed vannamei prawns </w:t>
      </w:r>
      <w:r>
        <w:rPr>
          <w:rFonts w:eastAsiaTheme="minorEastAsia"/>
          <w:i/>
          <w:szCs w:val="24"/>
          <w:lang w:eastAsia="en-AU"/>
        </w:rPr>
        <w:t>(Litopenaeus vannamei</w:t>
      </w:r>
      <w:r>
        <w:rPr>
          <w:rFonts w:eastAsiaTheme="minorEastAsia"/>
          <w:szCs w:val="24"/>
          <w:lang w:eastAsia="en-AU"/>
        </w:rPr>
        <w:t xml:space="preserve">) from Asia and the spread of TSV to Asia from the Americas, importation of frozen vannamei prawns presented an unacceptable quarantine risk. </w:t>
      </w:r>
      <w:r w:rsidR="00665F47">
        <w:rPr>
          <w:rFonts w:eastAsiaTheme="minorEastAsia"/>
          <w:szCs w:val="24"/>
          <w:lang w:eastAsia="en-AU"/>
        </w:rPr>
        <w:t xml:space="preserve">However, the department considered </w:t>
      </w:r>
      <w:r>
        <w:rPr>
          <w:rFonts w:eastAsiaTheme="minorEastAsia"/>
          <w:szCs w:val="24"/>
          <w:lang w:eastAsia="en-AU"/>
        </w:rPr>
        <w:t>that the interim measures targeting WSSV and YHV introduced in 2001 would address this TSV risk, pending completion of the IRA.</w:t>
      </w:r>
    </w:p>
    <w:p w14:paraId="5C24D89D" w14:textId="2E44A273" w:rsidR="00CC703E" w:rsidRDefault="00E37FDB">
      <w:pPr>
        <w:widowControl w:val="0"/>
        <w:autoSpaceDE w:val="0"/>
        <w:autoSpaceDN w:val="0"/>
        <w:adjustRightInd w:val="0"/>
        <w:spacing w:after="0"/>
        <w:rPr>
          <w:szCs w:val="24"/>
        </w:rPr>
      </w:pPr>
      <w:r>
        <w:rPr>
          <w:szCs w:val="24"/>
        </w:rPr>
        <w:t xml:space="preserve">The 2006 IRA also introduced measures to address risks posed by two emerging disease threats: infectious </w:t>
      </w:r>
      <w:r>
        <w:rPr>
          <w:rFonts w:cs="Arial"/>
          <w:szCs w:val="24"/>
        </w:rPr>
        <w:t>hypodermal and hematopoietic necrosis virus (I</w:t>
      </w:r>
      <w:r>
        <w:rPr>
          <w:szCs w:val="24"/>
        </w:rPr>
        <w:t>HHNV) and necrotising hepatopancreatitis bacterium (NHPB).</w:t>
      </w:r>
    </w:p>
    <w:p w14:paraId="0C96F487" w14:textId="61DA89C4" w:rsidR="00CC703E" w:rsidRDefault="00E37FDB">
      <w:pPr>
        <w:spacing w:after="0"/>
        <w:rPr>
          <w:rFonts w:eastAsiaTheme="minorEastAsia"/>
          <w:szCs w:val="24"/>
          <w:lang w:eastAsia="en-AU"/>
        </w:rPr>
      </w:pPr>
      <w:r>
        <w:rPr>
          <w:rFonts w:eastAsiaTheme="minorEastAsia"/>
          <w:szCs w:val="24"/>
          <w:lang w:eastAsia="en-AU"/>
        </w:rPr>
        <w:t>In 2006 the WA and Queensland state governments conducted PCR testing of 14 batches of raw peeled imported supermarket prawns (5 prawns tested per batch) and found all batches WSSV positive, with WSSV prevalence of 20 to 100 per cent per batch</w:t>
      </w:r>
      <w:r w:rsidR="00281133">
        <w:rPr>
          <w:rFonts w:eastAsiaTheme="minorEastAsia"/>
          <w:szCs w:val="24"/>
          <w:vertAlign w:val="superscript"/>
          <w:lang w:eastAsia="en-AU"/>
        </w:rPr>
        <w:t>39</w:t>
      </w:r>
      <w:r>
        <w:rPr>
          <w:rFonts w:eastAsiaTheme="minorEastAsia"/>
          <w:szCs w:val="24"/>
          <w:lang w:eastAsia="en-AU"/>
        </w:rPr>
        <w:t>.</w:t>
      </w:r>
    </w:p>
    <w:p w14:paraId="3900D667" w14:textId="246711B3" w:rsidR="00CC703E" w:rsidRDefault="00E37FDB" w:rsidP="00E444D8">
      <w:r>
        <w:t>In November 2006 a revised</w:t>
      </w:r>
      <w:r>
        <w:rPr>
          <w:bCs/>
        </w:rPr>
        <w:t xml:space="preserve"> draft IRA</w:t>
      </w:r>
      <w:r>
        <w:t xml:space="preserve"> report</w:t>
      </w:r>
      <w:r w:rsidR="00281133">
        <w:rPr>
          <w:vertAlign w:val="superscript"/>
        </w:rPr>
        <w:t>10</w:t>
      </w:r>
      <w:r w:rsidR="00AA4A94">
        <w:rPr>
          <w:vertAlign w:val="superscript"/>
        </w:rPr>
        <w:t>5</w:t>
      </w:r>
      <w:r w:rsidR="00B76B9A">
        <w:t xml:space="preserve"> </w:t>
      </w:r>
      <w:r>
        <w:t>proposed that imported uncooked prawns and prawn products for human consumption be either:</w:t>
      </w:r>
    </w:p>
    <w:p w14:paraId="3293ECBC" w14:textId="342987AA" w:rsidR="00CC703E" w:rsidRPr="005131D8" w:rsidRDefault="00E37FDB" w:rsidP="005131D8">
      <w:pPr>
        <w:pStyle w:val="ListBullet"/>
      </w:pPr>
      <w:r w:rsidRPr="005131D8">
        <w:t xml:space="preserve">sourced from a country that is </w:t>
      </w:r>
      <w:r w:rsidR="007B06C1" w:rsidRPr="005131D8">
        <w:t xml:space="preserve">recognised by Australia to be </w:t>
      </w:r>
      <w:r w:rsidRPr="005131D8">
        <w:t>free of WSSV, YHV, IHHNV, TSV and NHPB to the satisfaction of Australian Government authorities</w:t>
      </w:r>
      <w:r w:rsidR="000406A2">
        <w:t xml:space="preserve">, </w:t>
      </w:r>
      <w:r w:rsidRPr="005131D8">
        <w:t>or</w:t>
      </w:r>
    </w:p>
    <w:p w14:paraId="0C0D2F1E" w14:textId="3846523C" w:rsidR="00CC703E" w:rsidRPr="005131D8" w:rsidRDefault="00E37FDB" w:rsidP="005131D8">
      <w:pPr>
        <w:pStyle w:val="ListBullet"/>
      </w:pPr>
      <w:r w:rsidRPr="005131D8">
        <w:t xml:space="preserve">headless and peeled (except for the last shell segment and tail fans), and each imported </w:t>
      </w:r>
      <w:r w:rsidRPr="005131D8">
        <w:rPr>
          <w:rFonts w:eastAsia="Times New Roman" w:cs="Arial"/>
          <w:lang w:eastAsia="en-AU"/>
        </w:rPr>
        <w:t>batch</w:t>
      </w:r>
      <w:r w:rsidRPr="005131D8">
        <w:t xml:space="preserve"> held on arrival in Australia under quarantine control and tested and found to be free of WSSV, YHV and IHHNV</w:t>
      </w:r>
      <w:r w:rsidR="000406A2">
        <w:t xml:space="preserve">, </w:t>
      </w:r>
      <w:r w:rsidRPr="005131D8">
        <w:t>or</w:t>
      </w:r>
    </w:p>
    <w:p w14:paraId="43B32471" w14:textId="7CCD9A97" w:rsidR="00CC703E" w:rsidRPr="005131D8" w:rsidRDefault="00E37FDB" w:rsidP="005131D8">
      <w:pPr>
        <w:pStyle w:val="ListBullet"/>
      </w:pPr>
      <w:r w:rsidRPr="005131D8">
        <w:lastRenderedPageBreak/>
        <w:t xml:space="preserve">highly processed (headless and peeled except for the last shell segment </w:t>
      </w:r>
      <w:r w:rsidRPr="005131D8">
        <w:rPr>
          <w:rFonts w:eastAsia="Times New Roman" w:cs="Arial"/>
          <w:lang w:eastAsia="en-AU"/>
        </w:rPr>
        <w:t>and</w:t>
      </w:r>
      <w:r w:rsidRPr="005131D8">
        <w:t xml:space="preserve"> tail fans) and coated for human consumption by being breaded (crumbed) or battered, or the uncooked prawn meat processed into dumplings, spring rolls, samosas, rolls, balls, dim sums or similar products</w:t>
      </w:r>
      <w:r w:rsidR="000406A2">
        <w:t xml:space="preserve">, </w:t>
      </w:r>
      <w:r w:rsidRPr="005131D8">
        <w:t>or</w:t>
      </w:r>
    </w:p>
    <w:p w14:paraId="4A89C968" w14:textId="1802FD99" w:rsidR="00CC703E" w:rsidRDefault="00E37FDB" w:rsidP="005131D8">
      <w:pPr>
        <w:pStyle w:val="ListBullet"/>
      </w:pPr>
      <w:r>
        <w:t xml:space="preserve">cooked in premises approved by and under the control of the competent authority </w:t>
      </w:r>
      <w:r>
        <w:rPr>
          <w:rFonts w:eastAsia="Times New Roman" w:cs="Arial"/>
          <w:lang w:eastAsia="en-AU"/>
        </w:rPr>
        <w:t>to</w:t>
      </w:r>
      <w:r>
        <w:t xml:space="preserve"> a standard where all the protein in the prawn meat is coagulated, no uncooked meat remains and the core temperature of the prawn or prawn product reaches 85 °C.</w:t>
      </w:r>
    </w:p>
    <w:p w14:paraId="23008A20" w14:textId="77777777" w:rsidR="00CC703E" w:rsidRDefault="00E37FDB" w:rsidP="005131D8">
      <w:r>
        <w:t>It was considered that any one of these measures would reduce the quarantine risks to a ‘very low level’, consistent with Australia’s conservative approach to quarantine.</w:t>
      </w:r>
    </w:p>
    <w:p w14:paraId="471CB31D" w14:textId="0C373AF4" w:rsidR="00665F47" w:rsidRPr="00642C86" w:rsidRDefault="00665F47" w:rsidP="00642C86">
      <w:pPr>
        <w:pStyle w:val="Heading4"/>
      </w:pPr>
      <w:r w:rsidRPr="00642C86">
        <w:t xml:space="preserve">Interim 2007 </w:t>
      </w:r>
      <w:r w:rsidR="005601F2" w:rsidRPr="00642C86">
        <w:rPr>
          <w:rFonts w:eastAsiaTheme="minorEastAsia"/>
        </w:rPr>
        <w:t xml:space="preserve">import </w:t>
      </w:r>
      <w:r w:rsidRPr="00642C86">
        <w:t>conditions</w:t>
      </w:r>
      <w:r w:rsidR="00527A48" w:rsidRPr="00642C86">
        <w:rPr>
          <w:rFonts w:eastAsiaTheme="minorEastAsia"/>
        </w:rPr>
        <w:t xml:space="preserve"> added a new category of ‘marinated prawns’</w:t>
      </w:r>
    </w:p>
    <w:p w14:paraId="65DB3755" w14:textId="11A8DAE6" w:rsidR="00CC703E" w:rsidRDefault="00E37FDB" w:rsidP="00642C86">
      <w:pPr>
        <w:spacing w:after="0"/>
      </w:pPr>
      <w:r>
        <w:t xml:space="preserve">After receiving 51 stakeholder </w:t>
      </w:r>
      <w:r>
        <w:rPr>
          <w:rFonts w:cs="Arial"/>
          <w:lang w:eastAsia="en-AU"/>
        </w:rPr>
        <w:t>submissions</w:t>
      </w:r>
      <w:r>
        <w:t xml:space="preserve"> on the 2006 revised draft IRA</w:t>
      </w:r>
      <w:r w:rsidR="00281133">
        <w:rPr>
          <w:vertAlign w:val="superscript"/>
        </w:rPr>
        <w:t>10</w:t>
      </w:r>
      <w:r w:rsidR="00AA4A94">
        <w:rPr>
          <w:vertAlign w:val="superscript"/>
        </w:rPr>
        <w:t>6</w:t>
      </w:r>
      <w:r>
        <w:t>, the department conducted further i</w:t>
      </w:r>
      <w:r>
        <w:rPr>
          <w:rFonts w:eastAsia="Times New Roman" w:cs="Arial"/>
          <w:szCs w:val="24"/>
          <w:lang w:eastAsia="en-AU"/>
        </w:rPr>
        <w:t>ndustry consultation. As a result, the interim 2007 conditions</w:t>
      </w:r>
      <w:r w:rsidR="00281133">
        <w:rPr>
          <w:rFonts w:eastAsia="Times New Roman" w:cs="Arial"/>
          <w:szCs w:val="24"/>
          <w:vertAlign w:val="superscript"/>
          <w:lang w:eastAsia="en-AU"/>
        </w:rPr>
        <w:t>10</w:t>
      </w:r>
      <w:r w:rsidR="00AA4A94">
        <w:rPr>
          <w:rFonts w:eastAsia="Times New Roman" w:cs="Arial"/>
          <w:szCs w:val="24"/>
          <w:vertAlign w:val="superscript"/>
          <w:lang w:eastAsia="en-AU"/>
        </w:rPr>
        <w:t>7</w:t>
      </w:r>
      <w:r w:rsidR="00FC4CE2">
        <w:rPr>
          <w:rFonts w:eastAsia="Times New Roman" w:cs="Arial"/>
          <w:szCs w:val="24"/>
          <w:lang w:eastAsia="en-AU"/>
        </w:rPr>
        <w:t xml:space="preserve"> </w:t>
      </w:r>
      <w:r>
        <w:rPr>
          <w:rFonts w:eastAsia="Times New Roman" w:cs="Arial"/>
          <w:szCs w:val="24"/>
          <w:lang w:eastAsia="en-AU"/>
        </w:rPr>
        <w:t>included more stringent conditions such as the requirement that both head and shell be removed from all uncooked prawns and each batch be virus tested for WSSV, YHV</w:t>
      </w:r>
      <w:r w:rsidR="00F035A0">
        <w:rPr>
          <w:rFonts w:eastAsia="Times New Roman" w:cs="Arial"/>
          <w:szCs w:val="24"/>
          <w:lang w:eastAsia="en-AU"/>
        </w:rPr>
        <w:t xml:space="preserve">, and </w:t>
      </w:r>
      <w:r>
        <w:rPr>
          <w:rFonts w:eastAsia="Times New Roman" w:cs="Arial"/>
          <w:szCs w:val="24"/>
          <w:lang w:eastAsia="en-AU"/>
        </w:rPr>
        <w:t>IHHNV</w:t>
      </w:r>
      <w:r w:rsidR="00467D4C">
        <w:rPr>
          <w:rFonts w:eastAsia="Times New Roman" w:cs="Arial"/>
          <w:szCs w:val="24"/>
          <w:lang w:eastAsia="en-AU"/>
        </w:rPr>
        <w:t>.</w:t>
      </w:r>
    </w:p>
    <w:p w14:paraId="25E6A4E7" w14:textId="1F83649A" w:rsidR="00CC703E" w:rsidRDefault="00E37FDB">
      <w:pPr>
        <w:widowControl w:val="0"/>
        <w:autoSpaceDE w:val="0"/>
        <w:autoSpaceDN w:val="0"/>
        <w:adjustRightInd w:val="0"/>
        <w:spacing w:after="0"/>
        <w:rPr>
          <w:b/>
        </w:rPr>
      </w:pPr>
      <w:r>
        <w:t xml:space="preserve">In response to the 2006 submissions, the department expanded the definition of the ‘highly processed’ prawn category to include </w:t>
      </w:r>
      <w:r w:rsidR="00665F47">
        <w:t xml:space="preserve">a subcategory of </w:t>
      </w:r>
      <w:r>
        <w:t>marinated prawns and marinara mix</w:t>
      </w:r>
      <w:r w:rsidRPr="00B179DD">
        <w:t>.</w:t>
      </w:r>
      <w:r w:rsidR="00642C86">
        <w:t xml:space="preserve"> </w:t>
      </w:r>
      <w:r w:rsidR="00665F47">
        <w:t>This would allow more uncooked prawns to be brought into Australia without virus testing, provided they were satisfactorily marinated.</w:t>
      </w:r>
    </w:p>
    <w:p w14:paraId="1C50F069" w14:textId="76C5FBFB" w:rsidR="00CC703E" w:rsidRDefault="00E37FDB">
      <w:pPr>
        <w:widowControl w:val="0"/>
        <w:autoSpaceDE w:val="0"/>
        <w:autoSpaceDN w:val="0"/>
        <w:adjustRightInd w:val="0"/>
        <w:spacing w:after="0"/>
      </w:pPr>
      <w:r>
        <w:t>In their submission to this IGB review</w:t>
      </w:r>
      <w:r w:rsidR="00281133">
        <w:rPr>
          <w:vertAlign w:val="superscript"/>
        </w:rPr>
        <w:t>10</w:t>
      </w:r>
      <w:r w:rsidR="00AA4A94">
        <w:rPr>
          <w:vertAlign w:val="superscript"/>
        </w:rPr>
        <w:t>8</w:t>
      </w:r>
      <w:r>
        <w:t xml:space="preserve">, the </w:t>
      </w:r>
      <w:r w:rsidRPr="00B179DD">
        <w:t>Seafood Importers Association of Australasia Inc.</w:t>
      </w:r>
      <w:r>
        <w:t xml:space="preserve"> emphasised th</w:t>
      </w:r>
      <w:r w:rsidR="00665F47">
        <w:t xml:space="preserve">at not testing </w:t>
      </w:r>
      <w:r>
        <w:t xml:space="preserve">product in the ‘marinated prawns and marinara mix’ subcategory </w:t>
      </w:r>
      <w:r w:rsidR="00665F47">
        <w:t>would not pose a greater risk of disease introduction. The subcategory</w:t>
      </w:r>
      <w:r>
        <w:t xml:space="preserve"> was:</w:t>
      </w:r>
    </w:p>
    <w:p w14:paraId="6823B25A" w14:textId="59F116A1" w:rsidR="00CC703E" w:rsidRDefault="00E37FDB">
      <w:pPr>
        <w:pStyle w:val="Quote"/>
        <w:ind w:left="641"/>
      </w:pPr>
      <w:r>
        <w:t>… designed to provide a greater level of confidence that prawns would be used as intended in foodservice outlets (that is, consumed); difficult for anglers to access; and to be less appealing as bait. It was assumed that this would negate the need for testing. Supporting this were minimum standards for the type and percentage of ingredients used, verified by manufacturers’ declaration and photos.</w:t>
      </w:r>
    </w:p>
    <w:p w14:paraId="3C7E081A" w14:textId="77777777" w:rsidR="00CC703E" w:rsidRDefault="00E37FDB" w:rsidP="00AE4DAC">
      <w:pPr>
        <w:numPr>
          <w:ilvl w:val="0"/>
          <w:numId w:val="11"/>
        </w:numPr>
        <w:tabs>
          <w:tab w:val="clear" w:pos="567"/>
          <w:tab w:val="left" w:pos="0"/>
        </w:tabs>
        <w:autoSpaceDE w:val="0"/>
        <w:autoSpaceDN w:val="0"/>
        <w:adjustRightInd w:val="0"/>
        <w:spacing w:after="0"/>
      </w:pPr>
      <w:r>
        <w:t>Two requirements were removed from the interim 2007 conditions:</w:t>
      </w:r>
    </w:p>
    <w:p w14:paraId="4A09AC61" w14:textId="089AEFBC" w:rsidR="00CC703E" w:rsidRDefault="00E37FDB" w:rsidP="005131D8">
      <w:pPr>
        <w:pStyle w:val="ListBullet"/>
      </w:pPr>
      <w:r>
        <w:t xml:space="preserve">Competent authorities were no longer required to certify that batches of uncooked prawns had not been </w:t>
      </w:r>
      <w:r>
        <w:rPr>
          <w:color w:val="000000"/>
          <w:szCs w:val="24"/>
        </w:rPr>
        <w:t>emergency</w:t>
      </w:r>
      <w:r>
        <w:t xml:space="preserve"> harvested. The department considered such certification impossible, partly because it was difficult to distinguish genuine small species of prawns from emergency harvested prawns.</w:t>
      </w:r>
    </w:p>
    <w:p w14:paraId="7026E465" w14:textId="148D3DC9" w:rsidR="00CC703E" w:rsidRDefault="00E37FDB" w:rsidP="005131D8">
      <w:pPr>
        <w:pStyle w:val="ListBullet"/>
      </w:pPr>
      <w:r>
        <w:t>Minimum size requirements on certain classes of highly processed prawns were lifted due to demand for small prawns in marinara mixes, cocktails and stir-fry, and the expectation that these types of prawns would go to the food service industry.</w:t>
      </w:r>
    </w:p>
    <w:p w14:paraId="1F14EAC2" w14:textId="26A43D04" w:rsidR="00CC703E" w:rsidRPr="00642C86" w:rsidRDefault="00665F47">
      <w:pPr>
        <w:pStyle w:val="Heading4"/>
      </w:pPr>
      <w:r w:rsidRPr="00642C86">
        <w:lastRenderedPageBreak/>
        <w:t xml:space="preserve">Interim 2008 </w:t>
      </w:r>
      <w:r w:rsidR="005601F2" w:rsidRPr="00642C86">
        <w:t xml:space="preserve">import </w:t>
      </w:r>
      <w:r w:rsidRPr="00642C86">
        <w:t xml:space="preserve">conditions removed </w:t>
      </w:r>
      <w:r w:rsidR="00E37FDB" w:rsidRPr="00642C86">
        <w:t xml:space="preserve">IHHNV </w:t>
      </w:r>
      <w:r w:rsidRPr="00642C86">
        <w:t>testing requirement</w:t>
      </w:r>
    </w:p>
    <w:p w14:paraId="007ED5E5" w14:textId="3187D889" w:rsidR="00CC703E" w:rsidRPr="00B179DD" w:rsidRDefault="00E37FDB" w:rsidP="00AE4DAC">
      <w:pPr>
        <w:numPr>
          <w:ilvl w:val="0"/>
          <w:numId w:val="11"/>
        </w:numPr>
        <w:tabs>
          <w:tab w:val="clear" w:pos="567"/>
          <w:tab w:val="left" w:pos="0"/>
        </w:tabs>
        <w:autoSpaceDE w:val="0"/>
        <w:autoSpaceDN w:val="0"/>
        <w:adjustRightInd w:val="0"/>
        <w:spacing w:after="0"/>
      </w:pPr>
      <w:r w:rsidRPr="00B179DD">
        <w:rPr>
          <w:color w:val="000000"/>
          <w:szCs w:val="24"/>
        </w:rPr>
        <w:t xml:space="preserve">As early as 2007 </w:t>
      </w:r>
      <w:r>
        <w:rPr>
          <w:color w:val="000000"/>
          <w:szCs w:val="24"/>
        </w:rPr>
        <w:t>Australian prawns were known to have an infectious hypodermal and haematopoietic necrosis virus (IHHNV) integrated sequence in their genome. This sequence is also known to occur in Madagascar prawn populations and is considered non-infectious. However, in 2008 (shortly after the release of the 2007 draft IRA) the Seafood Importers Association of Australasia Inc. commissioned a laboratory in Thailand to test for the infectious strain of IHHNV in Australian prawns from a farm in northern Queensland</w:t>
      </w:r>
      <w:r w:rsidR="00281133">
        <w:rPr>
          <w:color w:val="000000"/>
          <w:szCs w:val="24"/>
          <w:vertAlign w:val="superscript"/>
        </w:rPr>
        <w:t>10</w:t>
      </w:r>
      <w:r w:rsidR="00AA4A94">
        <w:rPr>
          <w:color w:val="000000"/>
          <w:szCs w:val="24"/>
          <w:vertAlign w:val="superscript"/>
        </w:rPr>
        <w:t>9</w:t>
      </w:r>
      <w:r>
        <w:rPr>
          <w:color w:val="000000"/>
          <w:szCs w:val="24"/>
        </w:rPr>
        <w:t>. The positive results were reported to the Australian Chief Veterinary Officer and subsequently confirmed by AAHL</w:t>
      </w:r>
      <w:r w:rsidRPr="00B179DD">
        <w:t>.</w:t>
      </w:r>
    </w:p>
    <w:p w14:paraId="1CE05543" w14:textId="575E4C41" w:rsidR="00CC703E" w:rsidRDefault="00E37FDB" w:rsidP="00AE4DAC">
      <w:pPr>
        <w:numPr>
          <w:ilvl w:val="0"/>
          <w:numId w:val="11"/>
        </w:numPr>
        <w:tabs>
          <w:tab w:val="clear" w:pos="567"/>
          <w:tab w:val="left" w:pos="0"/>
        </w:tabs>
        <w:autoSpaceDE w:val="0"/>
        <w:autoSpaceDN w:val="0"/>
        <w:adjustRightInd w:val="0"/>
        <w:spacing w:after="0"/>
        <w:rPr>
          <w:rStyle w:val="CommentReference"/>
          <w:sz w:val="24"/>
          <w:szCs w:val="24"/>
        </w:rPr>
      </w:pPr>
      <w:r>
        <w:rPr>
          <w:color w:val="000000"/>
          <w:szCs w:val="24"/>
        </w:rPr>
        <w:t>On the basis of this finding,</w:t>
      </w:r>
      <w:r w:rsidR="00665F47">
        <w:rPr>
          <w:color w:val="000000"/>
          <w:szCs w:val="24"/>
        </w:rPr>
        <w:t xml:space="preserve"> the department</w:t>
      </w:r>
      <w:r>
        <w:rPr>
          <w:color w:val="000000"/>
          <w:szCs w:val="24"/>
        </w:rPr>
        <w:t xml:space="preserve"> </w:t>
      </w:r>
      <w:r>
        <w:rPr>
          <w:szCs w:val="24"/>
        </w:rPr>
        <w:t>removed the requirement for IHHNV testing from the interim 2008 conditions</w:t>
      </w:r>
      <w:r w:rsidR="00281133">
        <w:rPr>
          <w:szCs w:val="24"/>
          <w:vertAlign w:val="superscript"/>
        </w:rPr>
        <w:t>11</w:t>
      </w:r>
      <w:r w:rsidR="00AA4A94">
        <w:rPr>
          <w:szCs w:val="24"/>
          <w:vertAlign w:val="superscript"/>
        </w:rPr>
        <w:t>0</w:t>
      </w:r>
      <w:r>
        <w:rPr>
          <w:color w:val="000000"/>
          <w:szCs w:val="24"/>
        </w:rPr>
        <w:t>. This meant that prawns sourced from New Caledonia, which was WSSV and YHV free but IHHNV positive, could be imported to Australia without the requirement to test for IHHNV. The infectious strain has not been detected in Queensland since 2008</w:t>
      </w:r>
      <w:r w:rsidR="00281133">
        <w:rPr>
          <w:color w:val="000000"/>
          <w:szCs w:val="24"/>
          <w:vertAlign w:val="superscript"/>
        </w:rPr>
        <w:t>11</w:t>
      </w:r>
      <w:r w:rsidR="00AA4A94">
        <w:rPr>
          <w:color w:val="000000"/>
          <w:szCs w:val="24"/>
          <w:vertAlign w:val="superscript"/>
        </w:rPr>
        <w:t>1</w:t>
      </w:r>
      <w:r>
        <w:rPr>
          <w:color w:val="000000"/>
          <w:szCs w:val="24"/>
        </w:rPr>
        <w:t>.</w:t>
      </w:r>
    </w:p>
    <w:p w14:paraId="65339F1D" w14:textId="39F0C326" w:rsidR="00CC703E" w:rsidRDefault="00E37FDB" w:rsidP="00AE4DAC">
      <w:pPr>
        <w:numPr>
          <w:ilvl w:val="0"/>
          <w:numId w:val="11"/>
        </w:numPr>
        <w:tabs>
          <w:tab w:val="clear" w:pos="567"/>
          <w:tab w:val="left" w:pos="0"/>
        </w:tabs>
        <w:autoSpaceDE w:val="0"/>
        <w:autoSpaceDN w:val="0"/>
        <w:adjustRightInd w:val="0"/>
        <w:spacing w:after="0"/>
        <w:rPr>
          <w:szCs w:val="24"/>
        </w:rPr>
      </w:pPr>
      <w:r>
        <w:rPr>
          <w:color w:val="000000"/>
          <w:szCs w:val="24"/>
        </w:rPr>
        <w:t>In 2009 a</w:t>
      </w:r>
      <w:r>
        <w:rPr>
          <w:szCs w:val="24"/>
        </w:rPr>
        <w:t xml:space="preserve"> draft final IRA report was assessed by the independent Eminent Scientists Group</w:t>
      </w:r>
      <w:r w:rsidR="00281133">
        <w:rPr>
          <w:szCs w:val="24"/>
          <w:vertAlign w:val="superscript"/>
        </w:rPr>
        <w:t>11</w:t>
      </w:r>
      <w:r w:rsidR="00AA4A94">
        <w:rPr>
          <w:szCs w:val="24"/>
          <w:vertAlign w:val="superscript"/>
        </w:rPr>
        <w:t>2</w:t>
      </w:r>
      <w:r w:rsidR="005D7715">
        <w:rPr>
          <w:szCs w:val="24"/>
        </w:rPr>
        <w:t xml:space="preserve"> </w:t>
      </w:r>
      <w:r>
        <w:rPr>
          <w:szCs w:val="24"/>
        </w:rPr>
        <w:t>to ensure stakeholder comments had been taken into account.</w:t>
      </w:r>
      <w:r>
        <w:rPr>
          <w:bCs/>
          <w:szCs w:val="24"/>
        </w:rPr>
        <w:t xml:space="preserve"> Most of the submissions received were outside the grounds of appeal that the </w:t>
      </w:r>
      <w:r w:rsidR="00665F47">
        <w:rPr>
          <w:bCs/>
          <w:szCs w:val="24"/>
        </w:rPr>
        <w:t>Eminent Scientists’ Group</w:t>
      </w:r>
      <w:r>
        <w:rPr>
          <w:bCs/>
          <w:szCs w:val="24"/>
        </w:rPr>
        <w:t xml:space="preserve"> could consider. </w:t>
      </w:r>
      <w:r w:rsidR="00D83D47">
        <w:rPr>
          <w:szCs w:val="24"/>
        </w:rPr>
        <w:t>S</w:t>
      </w:r>
      <w:r>
        <w:rPr>
          <w:szCs w:val="24"/>
        </w:rPr>
        <w:t xml:space="preserve">everal changes were made to the draft final IRA report, but no significant changes were made to the final recommended risk management measures contained in the </w:t>
      </w:r>
      <w:r w:rsidR="00B179DD">
        <w:rPr>
          <w:szCs w:val="24"/>
        </w:rPr>
        <w:t xml:space="preserve">2008 </w:t>
      </w:r>
      <w:r>
        <w:rPr>
          <w:szCs w:val="24"/>
        </w:rPr>
        <w:t>interim conditions.</w:t>
      </w:r>
    </w:p>
    <w:p w14:paraId="08103D60" w14:textId="3FCECA58" w:rsidR="00665F47" w:rsidRPr="00642C86" w:rsidRDefault="00665F47" w:rsidP="00642C86">
      <w:pPr>
        <w:pStyle w:val="Heading4"/>
      </w:pPr>
      <w:r w:rsidRPr="00642C86">
        <w:t>Final 2009 IRA report</w:t>
      </w:r>
    </w:p>
    <w:p w14:paraId="086C1496" w14:textId="77777777" w:rsidR="00CC703E" w:rsidRDefault="00E37FDB">
      <w:pPr>
        <w:tabs>
          <w:tab w:val="clear" w:pos="567"/>
        </w:tabs>
        <w:spacing w:after="0"/>
        <w:rPr>
          <w:rFonts w:eastAsia="Times New Roman" w:cs="Segoe UI"/>
          <w:color w:val="000000"/>
          <w:szCs w:val="24"/>
          <w:lang w:eastAsia="en-AU"/>
        </w:rPr>
      </w:pPr>
      <w:r>
        <w:rPr>
          <w:szCs w:val="24"/>
        </w:rPr>
        <w:t>The final 2009 IRA report recommended</w:t>
      </w:r>
      <w:r>
        <w:rPr>
          <w:rFonts w:eastAsia="Times New Roman" w:cs="Segoe UI"/>
          <w:color w:val="000000"/>
          <w:szCs w:val="24"/>
          <w:lang w:eastAsia="en-AU"/>
        </w:rPr>
        <w:t xml:space="preserve"> that imported prawns either:</w:t>
      </w:r>
    </w:p>
    <w:p w14:paraId="02EDECC7" w14:textId="76B0880A" w:rsidR="00CC703E" w:rsidRPr="005131D8" w:rsidRDefault="00E37FDB" w:rsidP="005131D8">
      <w:pPr>
        <w:pStyle w:val="ListBullet"/>
        <w:rPr>
          <w:lang w:eastAsia="en-AU"/>
        </w:rPr>
      </w:pPr>
      <w:r w:rsidRPr="005131D8">
        <w:rPr>
          <w:lang w:eastAsia="en-AU"/>
        </w:rPr>
        <w:t xml:space="preserve">be </w:t>
      </w:r>
      <w:r w:rsidRPr="005131D8">
        <w:t>sourced</w:t>
      </w:r>
      <w:r w:rsidRPr="005131D8">
        <w:rPr>
          <w:lang w:eastAsia="en-AU"/>
        </w:rPr>
        <w:t xml:space="preserve"> from a country or zone that is recognised by Australia to be free of WSSV, YHV and TSV</w:t>
      </w:r>
      <w:r w:rsidR="007A4915" w:rsidRPr="005131D8">
        <w:rPr>
          <w:lang w:eastAsia="en-AU"/>
        </w:rPr>
        <w:t>; and in addition,</w:t>
      </w:r>
      <w:r w:rsidR="007A4915" w:rsidRPr="005131D8">
        <w:rPr>
          <w:rFonts w:cs="Arial"/>
          <w:lang w:eastAsia="en-AU"/>
        </w:rPr>
        <w:t xml:space="preserve"> NHPB</w:t>
      </w:r>
      <w:r w:rsidR="007A4915" w:rsidRPr="005131D8">
        <w:rPr>
          <w:lang w:eastAsia="en-AU"/>
        </w:rPr>
        <w:t xml:space="preserve"> (for chilled or unfrozen product)</w:t>
      </w:r>
      <w:r w:rsidR="000406A2">
        <w:rPr>
          <w:lang w:eastAsia="en-AU"/>
        </w:rPr>
        <w:t xml:space="preserve">, </w:t>
      </w:r>
      <w:r w:rsidRPr="005131D8">
        <w:rPr>
          <w:lang w:eastAsia="en-AU"/>
        </w:rPr>
        <w:t>or</w:t>
      </w:r>
    </w:p>
    <w:p w14:paraId="53397F29" w14:textId="6D5FEB21" w:rsidR="00CC703E" w:rsidRPr="005131D8" w:rsidRDefault="00E37FDB" w:rsidP="005131D8">
      <w:pPr>
        <w:pStyle w:val="ListBullet"/>
        <w:rPr>
          <w:lang w:eastAsia="en-AU"/>
        </w:rPr>
      </w:pPr>
      <w:r w:rsidRPr="005131D8">
        <w:rPr>
          <w:lang w:eastAsia="en-AU"/>
        </w:rPr>
        <w:t>have heads and shells removed (except for the last shell segments and tail fans); if prawns are not from a disease-free source, each batch must be tested on arrival and test negative for WSSV and YHV</w:t>
      </w:r>
      <w:r w:rsidR="000406A2">
        <w:rPr>
          <w:lang w:eastAsia="en-AU"/>
        </w:rPr>
        <w:t xml:space="preserve">, </w:t>
      </w:r>
      <w:r w:rsidRPr="005131D8">
        <w:rPr>
          <w:lang w:eastAsia="en-AU"/>
        </w:rPr>
        <w:t>or</w:t>
      </w:r>
    </w:p>
    <w:p w14:paraId="4F1DF5CC" w14:textId="02F50578" w:rsidR="00CC703E" w:rsidRPr="005131D8" w:rsidRDefault="00E37FDB" w:rsidP="005131D8">
      <w:pPr>
        <w:pStyle w:val="ListBullet"/>
        <w:rPr>
          <w:lang w:eastAsia="en-AU"/>
        </w:rPr>
      </w:pPr>
      <w:r w:rsidRPr="005131D8">
        <w:rPr>
          <w:lang w:eastAsia="en-AU"/>
        </w:rPr>
        <w:t xml:space="preserve">be ‘highly </w:t>
      </w:r>
      <w:r w:rsidRPr="005131D8">
        <w:rPr>
          <w:rFonts w:cs="Arial"/>
          <w:lang w:eastAsia="en-AU"/>
        </w:rPr>
        <w:t>processed’</w:t>
      </w:r>
      <w:r w:rsidRPr="005131D8">
        <w:rPr>
          <w:lang w:eastAsia="en-AU"/>
        </w:rPr>
        <w:t xml:space="preserve"> (heads and shells-off except for the last shell segments and tail fans), and coated for human consumption by being breaded or battered, marinated in a wet or dry marinade, marinated and placed on skewers</w:t>
      </w:r>
      <w:r w:rsidR="00051347">
        <w:rPr>
          <w:lang w:eastAsia="en-AU"/>
        </w:rPr>
        <w:t>,</w:t>
      </w:r>
      <w:r w:rsidRPr="005131D8">
        <w:rPr>
          <w:lang w:eastAsia="en-AU"/>
        </w:rPr>
        <w:t xml:space="preserve"> or processed into dumplings, spring rolls, samosas, rolls, balls, dim sums or similar products</w:t>
      </w:r>
      <w:r w:rsidR="000406A2">
        <w:rPr>
          <w:lang w:eastAsia="en-AU"/>
        </w:rPr>
        <w:t>,</w:t>
      </w:r>
      <w:r w:rsidR="0012200D">
        <w:rPr>
          <w:lang w:eastAsia="en-AU"/>
        </w:rPr>
        <w:t xml:space="preserve"> </w:t>
      </w:r>
      <w:r w:rsidRPr="005131D8">
        <w:rPr>
          <w:lang w:eastAsia="en-AU"/>
        </w:rPr>
        <w:t>or</w:t>
      </w:r>
    </w:p>
    <w:p w14:paraId="4B6B611C" w14:textId="68AA31F8" w:rsidR="00CC703E" w:rsidRDefault="00E37FDB" w:rsidP="005131D8">
      <w:pPr>
        <w:pStyle w:val="ListBullet"/>
      </w:pPr>
      <w:r>
        <w:rPr>
          <w:lang w:eastAsia="en-AU"/>
        </w:rPr>
        <w:t>be cooked to a standard where all protein is coagulated and no uncooked meat remains</w:t>
      </w:r>
      <w:r w:rsidR="00281133">
        <w:rPr>
          <w:vertAlign w:val="superscript"/>
          <w:lang w:eastAsia="en-AU"/>
        </w:rPr>
        <w:t>11</w:t>
      </w:r>
      <w:r w:rsidR="00AA4A94">
        <w:rPr>
          <w:vertAlign w:val="superscript"/>
          <w:lang w:eastAsia="en-AU"/>
        </w:rPr>
        <w:t>3</w:t>
      </w:r>
      <w:r>
        <w:rPr>
          <w:lang w:eastAsia="en-AU"/>
        </w:rPr>
        <w:t>.</w:t>
      </w:r>
    </w:p>
    <w:p w14:paraId="71794C61" w14:textId="45166802" w:rsidR="00CC703E" w:rsidRDefault="00E37FDB">
      <w:pPr>
        <w:tabs>
          <w:tab w:val="clear" w:pos="567"/>
        </w:tabs>
        <w:spacing w:after="0"/>
        <w:rPr>
          <w:szCs w:val="24"/>
          <w:lang w:eastAsia="en-AU"/>
        </w:rPr>
      </w:pPr>
      <w:r>
        <w:rPr>
          <w:szCs w:val="24"/>
        </w:rPr>
        <w:t>The final IRA report was issued in October 2009 with a 30-day appeal period. Four appeals were received: two from countries exporting prawns to Australia, one from the Seafood Importers Association of Australasia Inc. and one from the Australian Prawn Farmers Association (APFA). By December 2009 the IRA Appeals Panel had disallowed the four appeals because they were outside the grounds of appeal that it could consider</w:t>
      </w:r>
      <w:r w:rsidR="001B67FB">
        <w:rPr>
          <w:szCs w:val="24"/>
          <w:vertAlign w:val="superscript"/>
        </w:rPr>
        <w:t xml:space="preserve">39, </w:t>
      </w:r>
      <w:r w:rsidR="00281133">
        <w:rPr>
          <w:szCs w:val="24"/>
          <w:vertAlign w:val="superscript"/>
        </w:rPr>
        <w:t>11</w:t>
      </w:r>
      <w:r w:rsidR="00AA4A94">
        <w:rPr>
          <w:szCs w:val="24"/>
          <w:vertAlign w:val="superscript"/>
        </w:rPr>
        <w:t>4</w:t>
      </w:r>
      <w:r>
        <w:rPr>
          <w:szCs w:val="24"/>
        </w:rPr>
        <w:t>.</w:t>
      </w:r>
    </w:p>
    <w:p w14:paraId="557423F1" w14:textId="77777777" w:rsidR="00CC703E" w:rsidRDefault="00E37FDB">
      <w:pPr>
        <w:tabs>
          <w:tab w:val="clear" w:pos="567"/>
        </w:tabs>
        <w:spacing w:after="0"/>
        <w:rPr>
          <w:szCs w:val="24"/>
        </w:rPr>
      </w:pPr>
      <w:r>
        <w:rPr>
          <w:szCs w:val="24"/>
        </w:rPr>
        <w:lastRenderedPageBreak/>
        <w:t xml:space="preserve">The </w:t>
      </w:r>
      <w:r>
        <w:rPr>
          <w:rFonts w:eastAsia="Times New Roman" w:cs="Arial"/>
          <w:szCs w:val="24"/>
          <w:lang w:eastAsia="en-AU"/>
        </w:rPr>
        <w:t>basis</w:t>
      </w:r>
      <w:r>
        <w:rPr>
          <w:szCs w:val="24"/>
        </w:rPr>
        <w:t xml:space="preserve"> of </w:t>
      </w:r>
      <w:r>
        <w:rPr>
          <w:rFonts w:eastAsia="Times New Roman" w:cs="Arial"/>
          <w:szCs w:val="24"/>
          <w:lang w:eastAsia="en-AU"/>
        </w:rPr>
        <w:t>the</w:t>
      </w:r>
      <w:r>
        <w:rPr>
          <w:szCs w:val="24"/>
        </w:rPr>
        <w:t xml:space="preserve"> APFA appeal was that:</w:t>
      </w:r>
    </w:p>
    <w:p w14:paraId="6393B462" w14:textId="28E5661A" w:rsidR="00CC703E" w:rsidRDefault="00E37FDB" w:rsidP="0056176A">
      <w:pPr>
        <w:pStyle w:val="ListBullet"/>
      </w:pPr>
      <w:r>
        <w:t>there is no evidence that marination of prawns or washing the flesh of raw prawns denatures viruses in dead prawns; therefore, the import of marinated prawns constitutes an unacceptable risk</w:t>
      </w:r>
      <w:r w:rsidR="00FF699E">
        <w:t>,</w:t>
      </w:r>
    </w:p>
    <w:p w14:paraId="347BF9A8" w14:textId="4A3E39D5" w:rsidR="00CC703E" w:rsidRDefault="00E37FDB" w:rsidP="0056176A">
      <w:pPr>
        <w:pStyle w:val="ListBullet"/>
      </w:pPr>
      <w:r>
        <w:t>there is no evidence that the pathological strain of IHHNV exists in natural populations in east coast prawn stocks or that there is exchange between the populations of the Northern Territory and the east coast; therefore, the import of prawns without risk management measures for IHHNV constitutes an unacceptable risk</w:t>
      </w:r>
      <w:r w:rsidR="000406A2">
        <w:t>, and</w:t>
      </w:r>
    </w:p>
    <w:p w14:paraId="132564A5" w14:textId="09BC494A" w:rsidR="00CC703E" w:rsidRDefault="00E37FDB" w:rsidP="0056176A">
      <w:pPr>
        <w:pStyle w:val="ListBullet"/>
      </w:pPr>
      <w:r>
        <w:t>the import of prawns from other than a disease-free source without TSV testing of each batch constitutes an unacceptable risk.</w:t>
      </w:r>
    </w:p>
    <w:p w14:paraId="50A49988" w14:textId="145B204E" w:rsidR="00527A48" w:rsidRPr="00CD0007" w:rsidRDefault="00527A48" w:rsidP="0087638C">
      <w:pPr>
        <w:pStyle w:val="Heading4"/>
      </w:pPr>
      <w:r w:rsidRPr="00CD0007">
        <w:t xml:space="preserve">Final 2010 </w:t>
      </w:r>
      <w:r w:rsidR="005857F3" w:rsidRPr="00CD0007">
        <w:t xml:space="preserve">import </w:t>
      </w:r>
      <w:r w:rsidRPr="00CD0007">
        <w:t>conditions</w:t>
      </w:r>
    </w:p>
    <w:p w14:paraId="1C92D3C7" w14:textId="5CC9E147" w:rsidR="00CC703E" w:rsidRDefault="00E37FDB">
      <w:pPr>
        <w:autoSpaceDE w:val="0"/>
        <w:autoSpaceDN w:val="0"/>
        <w:adjustRightInd w:val="0"/>
        <w:spacing w:after="0"/>
        <w:rPr>
          <w:szCs w:val="24"/>
        </w:rPr>
      </w:pPr>
      <w:r>
        <w:rPr>
          <w:color w:val="000000"/>
          <w:szCs w:val="24"/>
        </w:rPr>
        <w:t>In 2010</w:t>
      </w:r>
      <w:r>
        <w:rPr>
          <w:b/>
          <w:color w:val="000000"/>
          <w:szCs w:val="24"/>
        </w:rPr>
        <w:t xml:space="preserve"> </w:t>
      </w:r>
      <w:r>
        <w:rPr>
          <w:color w:val="000000"/>
          <w:szCs w:val="24"/>
        </w:rPr>
        <w:t xml:space="preserve">the Director of Animal and Plant Quarantine determined </w:t>
      </w:r>
      <w:r w:rsidRPr="004E632C">
        <w:rPr>
          <w:color w:val="000000"/>
          <w:szCs w:val="24"/>
        </w:rPr>
        <w:t xml:space="preserve">that </w:t>
      </w:r>
      <w:r>
        <w:rPr>
          <w:color w:val="000000"/>
          <w:szCs w:val="24"/>
        </w:rPr>
        <w:t xml:space="preserve">the </w:t>
      </w:r>
      <w:r w:rsidRPr="004E632C">
        <w:rPr>
          <w:color w:val="000000"/>
          <w:szCs w:val="24"/>
        </w:rPr>
        <w:t>import of</w:t>
      </w:r>
      <w:r>
        <w:rPr>
          <w:color w:val="000000"/>
          <w:szCs w:val="24"/>
        </w:rPr>
        <w:t xml:space="preserve"> prawns and prawn products to Australia could continue, subject to the </w:t>
      </w:r>
      <w:r>
        <w:rPr>
          <w:i/>
          <w:color w:val="000000"/>
          <w:szCs w:val="24"/>
        </w:rPr>
        <w:t>Quarantine Act 1908</w:t>
      </w:r>
      <w:r>
        <w:rPr>
          <w:color w:val="000000"/>
          <w:szCs w:val="24"/>
        </w:rPr>
        <w:t xml:space="preserve"> and the application of sanitary measures specified in the finalised 2009 IRA</w:t>
      </w:r>
      <w:r w:rsidR="002D21D9">
        <w:rPr>
          <w:color w:val="000000"/>
          <w:szCs w:val="24"/>
          <w:vertAlign w:val="superscript"/>
        </w:rPr>
        <w:t>39</w:t>
      </w:r>
      <w:r>
        <w:rPr>
          <w:color w:val="000000"/>
          <w:szCs w:val="24"/>
        </w:rPr>
        <w:t>.</w:t>
      </w:r>
      <w:r>
        <w:rPr>
          <w:szCs w:val="24"/>
        </w:rPr>
        <w:t xml:space="preserve"> The final measures in the determination</w:t>
      </w:r>
      <w:r w:rsidR="002D21D9">
        <w:rPr>
          <w:szCs w:val="24"/>
          <w:vertAlign w:val="superscript"/>
        </w:rPr>
        <w:t>11</w:t>
      </w:r>
      <w:r w:rsidR="00AA4A94">
        <w:rPr>
          <w:szCs w:val="24"/>
          <w:vertAlign w:val="superscript"/>
        </w:rPr>
        <w:t>5</w:t>
      </w:r>
      <w:r w:rsidR="006F3379">
        <w:rPr>
          <w:szCs w:val="24"/>
        </w:rPr>
        <w:t xml:space="preserve"> </w:t>
      </w:r>
      <w:r>
        <w:rPr>
          <w:szCs w:val="24"/>
        </w:rPr>
        <w:t xml:space="preserve">were not significantly different from the interim measures </w:t>
      </w:r>
      <w:r>
        <w:rPr>
          <w:rFonts w:eastAsia="Times New Roman" w:cs="Arial"/>
          <w:szCs w:val="24"/>
          <w:lang w:eastAsia="en-AU"/>
        </w:rPr>
        <w:t>implemented</w:t>
      </w:r>
      <w:r>
        <w:rPr>
          <w:szCs w:val="24"/>
        </w:rPr>
        <w:t xml:space="preserve"> in October 2007 and amended in September 2008. Changes included:</w:t>
      </w:r>
    </w:p>
    <w:p w14:paraId="47D337DC" w14:textId="44303D7C" w:rsidR="00CC703E" w:rsidRDefault="00E37FDB" w:rsidP="005131D8">
      <w:pPr>
        <w:pStyle w:val="ListBullet"/>
      </w:pPr>
      <w:r>
        <w:t>removal of risk management measures for IHHNV due to the presence of this agent in Australia</w:t>
      </w:r>
      <w:r w:rsidR="00E53EF9">
        <w:t>,</w:t>
      </w:r>
    </w:p>
    <w:p w14:paraId="0D12C01A" w14:textId="020A84F5" w:rsidR="00CC703E" w:rsidRDefault="00E37FDB" w:rsidP="005131D8">
      <w:pPr>
        <w:pStyle w:val="ListBullet"/>
      </w:pPr>
      <w:r>
        <w:t>inclusion of marinated products in the ‘highly processed’ product category, subject to inspection</w:t>
      </w:r>
      <w:r w:rsidR="00C92347">
        <w:t>, and</w:t>
      </w:r>
    </w:p>
    <w:p w14:paraId="23605C5F" w14:textId="77777777" w:rsidR="00CC703E" w:rsidRDefault="00E37FDB" w:rsidP="005131D8">
      <w:pPr>
        <w:pStyle w:val="ListBullet"/>
      </w:pPr>
      <w:r>
        <w:t>clarification that risk management measures for NHPB only applied to unfrozen product.</w:t>
      </w:r>
    </w:p>
    <w:p w14:paraId="42C46175" w14:textId="6C8A1AC4" w:rsidR="00CC703E" w:rsidRPr="0056176A" w:rsidRDefault="00E37FDB" w:rsidP="0056176A">
      <w:pPr>
        <w:pStyle w:val="Heading3"/>
        <w:rPr>
          <w:rStyle w:val="Heading3Char"/>
          <w:rFonts w:eastAsia="Calibri"/>
          <w:b/>
          <w:bCs/>
        </w:rPr>
      </w:pPr>
      <w:bookmarkStart w:id="124" w:name="_Toc490040482"/>
      <w:bookmarkStart w:id="125" w:name="_Toc491784109"/>
      <w:bookmarkStart w:id="126" w:name="_Toc500508398"/>
      <w:r w:rsidRPr="0056176A">
        <w:rPr>
          <w:rStyle w:val="Heading3Char"/>
          <w:rFonts w:eastAsia="Calibri"/>
          <w:b/>
          <w:bCs/>
        </w:rPr>
        <w:t xml:space="preserve">Achieving </w:t>
      </w:r>
      <w:r w:rsidR="00477128" w:rsidRPr="0056176A">
        <w:rPr>
          <w:rStyle w:val="Heading3Char"/>
          <w:rFonts w:eastAsia="Calibri"/>
          <w:b/>
          <w:bCs/>
        </w:rPr>
        <w:t xml:space="preserve">an </w:t>
      </w:r>
      <w:r w:rsidRPr="0056176A">
        <w:rPr>
          <w:rStyle w:val="Heading3Char"/>
          <w:rFonts w:eastAsia="Calibri"/>
          <w:b/>
          <w:bCs/>
        </w:rPr>
        <w:t>appropriate level of protection</w:t>
      </w:r>
      <w:bookmarkEnd w:id="124"/>
      <w:bookmarkEnd w:id="125"/>
      <w:bookmarkEnd w:id="126"/>
    </w:p>
    <w:p w14:paraId="02DBA125" w14:textId="48050169" w:rsidR="00CC703E" w:rsidRDefault="00E37FDB">
      <w:pPr>
        <w:autoSpaceDE w:val="0"/>
        <w:autoSpaceDN w:val="0"/>
        <w:adjustRightInd w:val="0"/>
        <w:spacing w:after="0"/>
        <w:rPr>
          <w:szCs w:val="24"/>
        </w:rPr>
      </w:pPr>
      <w:r>
        <w:rPr>
          <w:szCs w:val="24"/>
        </w:rPr>
        <w:t>It is clear from careful examination of the recommendations of the 2009 prawn IRA that the level of WSSV-infected prawns that would be tolerated was not zero. The IRA accepted that the testing regime proposed was incapable of detecting all infected prawns. Instead, the intention was to reduce the level of infected prawns to a ‘level consistent with the ALOP’.</w:t>
      </w:r>
    </w:p>
    <w:p w14:paraId="3EC1C18A" w14:textId="2C85324D" w:rsidR="00CC703E" w:rsidRDefault="00E37FDB">
      <w:pPr>
        <w:spacing w:after="0"/>
      </w:pPr>
      <w:r>
        <w:t xml:space="preserve">The authors of the IRA </w:t>
      </w:r>
      <w:r w:rsidR="005412BF">
        <w:t xml:space="preserve">seem to have </w:t>
      </w:r>
      <w:r>
        <w:t>assumed that:</w:t>
      </w:r>
    </w:p>
    <w:p w14:paraId="2A2A8E59" w14:textId="5F0C951E" w:rsidR="00CC703E" w:rsidRDefault="00E37FDB" w:rsidP="005131D8">
      <w:pPr>
        <w:pStyle w:val="ListBullet"/>
      </w:pPr>
      <w:r>
        <w:t>only a small percentage of imported uncooked prawns available for retail sale would be WSSV or YHD positive</w:t>
      </w:r>
      <w:r w:rsidR="00B47957">
        <w:t>,</w:t>
      </w:r>
    </w:p>
    <w:p w14:paraId="3DA3B430" w14:textId="00C186EE" w:rsidR="00CC703E" w:rsidRDefault="00E37FDB" w:rsidP="005131D8">
      <w:pPr>
        <w:pStyle w:val="ListBullet"/>
      </w:pPr>
      <w:r>
        <w:t>a small proportion of retail uncooked prawns might be used as bait, but only a few of these would be infected</w:t>
      </w:r>
      <w:r w:rsidR="00B47957">
        <w:t>,</w:t>
      </w:r>
    </w:p>
    <w:p w14:paraId="4C4476B2" w14:textId="1B620293" w:rsidR="00CC703E" w:rsidRDefault="00E37FDB" w:rsidP="005131D8">
      <w:pPr>
        <w:pStyle w:val="ListBullet"/>
      </w:pPr>
      <w:r>
        <w:t>most recreational fishers would continue to buy bait at bait shops because it would be cheaper and more suitable for their needs than buying retail prawns</w:t>
      </w:r>
      <w:r w:rsidR="00B47957">
        <w:t>,</w:t>
      </w:r>
    </w:p>
    <w:p w14:paraId="798A5BA9" w14:textId="6C95FF1C" w:rsidR="00CC703E" w:rsidRDefault="00E37FDB" w:rsidP="005131D8">
      <w:pPr>
        <w:pStyle w:val="ListBullet"/>
      </w:pPr>
      <w:r>
        <w:lastRenderedPageBreak/>
        <w:t>most prawns used as bait would be eaten by fish rather than crustaceans; even if infected, th</w:t>
      </w:r>
      <w:r w:rsidR="00D154AF">
        <w:t>is</w:t>
      </w:r>
      <w:r>
        <w:t xml:space="preserve"> prawn</w:t>
      </w:r>
      <w:r w:rsidR="00D154AF">
        <w:t xml:space="preserve"> meat</w:t>
      </w:r>
      <w:r>
        <w:t xml:space="preserve"> would not </w:t>
      </w:r>
      <w:r w:rsidR="00D154AF">
        <w:t>last uneaten</w:t>
      </w:r>
      <w:r>
        <w:t xml:space="preserve"> long enough to transmit disease or cause a transient or more long-lasting infection in the wild</w:t>
      </w:r>
      <w:r w:rsidR="00E95C02">
        <w:t>, and</w:t>
      </w:r>
    </w:p>
    <w:p w14:paraId="4BEB49CC" w14:textId="61C7F6F9" w:rsidR="00CC703E" w:rsidRDefault="00652A28" w:rsidP="005131D8">
      <w:pPr>
        <w:pStyle w:val="ListBullet"/>
      </w:pPr>
      <w:r>
        <w:t>as most recreational fishers would not be near prawn farms</w:t>
      </w:r>
      <w:r w:rsidR="00E95C02">
        <w:t xml:space="preserve"> that</w:t>
      </w:r>
      <w:r w:rsidR="00746900">
        <w:t xml:space="preserve"> are close to only a very small proportion of the Australian coastline</w:t>
      </w:r>
      <w:r>
        <w:t xml:space="preserve">, </w:t>
      </w:r>
      <w:r w:rsidR="00E37FDB">
        <w:t>an even smaller number of any infected prawns used as bait would be used near prawn farms, so the resultant risks of infecting one or more of those prawn farms would be negligible.</w:t>
      </w:r>
      <w:r w:rsidR="00F035A0">
        <w:t xml:space="preserve"> The IRA did not address the possibility that recreational fishers would fish in the inlet channels to prawn farms.</w:t>
      </w:r>
    </w:p>
    <w:p w14:paraId="1C7AE410" w14:textId="222CC0B8" w:rsidR="00CC703E" w:rsidRDefault="00E37FDB">
      <w:pPr>
        <w:spacing w:after="0"/>
        <w:rPr>
          <w:bCs/>
          <w:color w:val="000000"/>
          <w:szCs w:val="28"/>
        </w:rPr>
      </w:pPr>
      <w:r>
        <w:t>However, these assumptions were not clearly expressed in the IRA, and verification measures were not put in place to check that any of them were holding true over time.</w:t>
      </w:r>
    </w:p>
    <w:p w14:paraId="318C0232" w14:textId="0CDF6CBE" w:rsidR="00CC703E" w:rsidRDefault="00E37FDB">
      <w:pPr>
        <w:widowControl w:val="0"/>
        <w:autoSpaceDE w:val="0"/>
        <w:autoSpaceDN w:val="0"/>
        <w:adjustRightInd w:val="0"/>
        <w:spacing w:after="0"/>
        <w:rPr>
          <w:szCs w:val="24"/>
        </w:rPr>
      </w:pPr>
      <w:r>
        <w:rPr>
          <w:szCs w:val="24"/>
        </w:rPr>
        <w:t>An important consideration when evaluating the effectiveness of risk management measures is the ability to confirm that the measure will be properly implemented and deliver the desired effect</w:t>
      </w:r>
      <w:r w:rsidR="00E74627">
        <w:rPr>
          <w:szCs w:val="24"/>
          <w:vertAlign w:val="superscript"/>
        </w:rPr>
        <w:t>39</w:t>
      </w:r>
      <w:r w:rsidR="00CA590E">
        <w:rPr>
          <w:szCs w:val="24"/>
          <w:vertAlign w:val="superscript"/>
        </w:rPr>
        <w:t xml:space="preserve"> (p. </w:t>
      </w:r>
      <w:r w:rsidR="00F72ED7">
        <w:rPr>
          <w:szCs w:val="24"/>
          <w:vertAlign w:val="superscript"/>
        </w:rPr>
        <w:t>165</w:t>
      </w:r>
      <w:r w:rsidR="00CA590E">
        <w:rPr>
          <w:szCs w:val="24"/>
          <w:vertAlign w:val="superscript"/>
        </w:rPr>
        <w:t>)</w:t>
      </w:r>
      <w:r>
        <w:rPr>
          <w:szCs w:val="24"/>
        </w:rPr>
        <w:t>.</w:t>
      </w:r>
    </w:p>
    <w:p w14:paraId="633CFD79" w14:textId="3754C436" w:rsidR="00CC703E" w:rsidRDefault="00E37FDB">
      <w:pPr>
        <w:widowControl w:val="0"/>
        <w:autoSpaceDE w:val="0"/>
        <w:autoSpaceDN w:val="0"/>
        <w:adjustRightInd w:val="0"/>
        <w:spacing w:after="0"/>
        <w:rPr>
          <w:szCs w:val="24"/>
        </w:rPr>
      </w:pPr>
      <w:r>
        <w:rPr>
          <w:szCs w:val="24"/>
        </w:rPr>
        <w:t>Another important consideration not included in the IRA was that Australia had imported substantial volumes of frozen prawns from WSSV-</w:t>
      </w:r>
      <w:r>
        <w:t>affected countries such as Thailand</w:t>
      </w:r>
      <w:r>
        <w:rPr>
          <w:szCs w:val="24"/>
        </w:rPr>
        <w:t xml:space="preserve"> since the discovery of the virulent pathogen in that country in 1994. As a result, an increasing number of infected prawns could have been used for broodstock conditioning (as in the Darwin incursion in 2000</w:t>
      </w:r>
      <w:r w:rsidR="00E74627">
        <w:rPr>
          <w:szCs w:val="24"/>
          <w:vertAlign w:val="superscript"/>
        </w:rPr>
        <w:t>39</w:t>
      </w:r>
      <w:r w:rsidR="00CA590E">
        <w:rPr>
          <w:szCs w:val="24"/>
          <w:vertAlign w:val="superscript"/>
        </w:rPr>
        <w:t xml:space="preserve"> (p. </w:t>
      </w:r>
      <w:r w:rsidR="00342AB4">
        <w:rPr>
          <w:szCs w:val="24"/>
          <w:vertAlign w:val="superscript"/>
        </w:rPr>
        <w:t>183</w:t>
      </w:r>
      <w:r w:rsidR="00CA590E">
        <w:rPr>
          <w:szCs w:val="24"/>
          <w:vertAlign w:val="superscript"/>
        </w:rPr>
        <w:t>)</w:t>
      </w:r>
      <w:r>
        <w:rPr>
          <w:szCs w:val="24"/>
        </w:rPr>
        <w:t xml:space="preserve"> or for bait. However, apart from the Darwin incident, Australia had no known incursions of WSSV over the 14 years to 2010. Indeed the Darwin incident seemed to highlight the difficulty the virus faced in establishing and</w:t>
      </w:r>
      <w:r>
        <w:rPr>
          <w:b/>
          <w:szCs w:val="24"/>
        </w:rPr>
        <w:t xml:space="preserve"> </w:t>
      </w:r>
      <w:r>
        <w:rPr>
          <w:szCs w:val="24"/>
        </w:rPr>
        <w:t>spreading ongoing infection in the wild</w:t>
      </w:r>
      <w:r w:rsidR="00E74627">
        <w:rPr>
          <w:szCs w:val="24"/>
          <w:vertAlign w:val="superscript"/>
        </w:rPr>
        <w:t>39</w:t>
      </w:r>
      <w:r w:rsidR="00CA590E">
        <w:rPr>
          <w:szCs w:val="24"/>
          <w:vertAlign w:val="superscript"/>
        </w:rPr>
        <w:t xml:space="preserve"> (p. 114)</w:t>
      </w:r>
      <w:r>
        <w:rPr>
          <w:szCs w:val="24"/>
        </w:rPr>
        <w:t>.</w:t>
      </w:r>
    </w:p>
    <w:p w14:paraId="35D4E579" w14:textId="78256956" w:rsidR="00CC703E" w:rsidRDefault="00E37FDB">
      <w:pPr>
        <w:autoSpaceDE w:val="0"/>
        <w:autoSpaceDN w:val="0"/>
        <w:adjustRightInd w:val="0"/>
        <w:spacing w:after="0"/>
        <w:rPr>
          <w:szCs w:val="24"/>
          <w:lang w:eastAsia="ja-JP"/>
        </w:rPr>
      </w:pPr>
      <w:r>
        <w:rPr>
          <w:szCs w:val="24"/>
          <w:lang w:eastAsia="ja-JP"/>
        </w:rPr>
        <w:t>The various conditions exempting types of highly processed prawns from testing, while verifying at the border that they met various definitions of ‘highly processed’, clearly assumed that any such products once sold would virtually always be cooked and eaten by people rather than being used as bait. Consequently, such prawns might be infected but pose no risks.</w:t>
      </w:r>
    </w:p>
    <w:p w14:paraId="4374169E" w14:textId="7CF291A9" w:rsidR="00CC703E" w:rsidRDefault="00E37FDB">
      <w:pPr>
        <w:autoSpaceDE w:val="0"/>
        <w:autoSpaceDN w:val="0"/>
        <w:adjustRightInd w:val="0"/>
        <w:spacing w:after="0"/>
        <w:rPr>
          <w:szCs w:val="24"/>
          <w:lang w:eastAsia="ja-JP"/>
        </w:rPr>
      </w:pPr>
      <w:r>
        <w:rPr>
          <w:szCs w:val="24"/>
          <w:lang w:eastAsia="ja-JP"/>
        </w:rPr>
        <w:t xml:space="preserve">Any practice </w:t>
      </w:r>
      <w:r>
        <w:rPr>
          <w:szCs w:val="24"/>
        </w:rPr>
        <w:t>that</w:t>
      </w:r>
      <w:r>
        <w:rPr>
          <w:szCs w:val="24"/>
          <w:lang w:eastAsia="ja-JP"/>
        </w:rPr>
        <w:t xml:space="preserve"> contradicted these assumptions could materially change the level of risk.</w:t>
      </w:r>
    </w:p>
    <w:p w14:paraId="57948610" w14:textId="66C7021E" w:rsidR="00CC703E" w:rsidRDefault="00E37FDB">
      <w:pPr>
        <w:widowControl w:val="0"/>
        <w:autoSpaceDE w:val="0"/>
        <w:autoSpaceDN w:val="0"/>
        <w:adjustRightInd w:val="0"/>
        <w:spacing w:after="0"/>
        <w:rPr>
          <w:szCs w:val="24"/>
        </w:rPr>
      </w:pPr>
      <w:r>
        <w:rPr>
          <w:szCs w:val="24"/>
        </w:rPr>
        <w:t>The 2009 IRA identified the use of imported uncooked prawns as bait or berley as a high-risk pathway</w:t>
      </w:r>
      <w:r w:rsidR="00E74627">
        <w:rPr>
          <w:szCs w:val="24"/>
          <w:vertAlign w:val="superscript"/>
        </w:rPr>
        <w:t>39</w:t>
      </w:r>
      <w:r>
        <w:rPr>
          <w:szCs w:val="24"/>
        </w:rPr>
        <w:t>. Internationally, the main method of spreading WSSV virus has been through feeding dead infected prawns to na</w:t>
      </w:r>
      <w:r w:rsidR="00E74627">
        <w:rPr>
          <w:szCs w:val="24"/>
        </w:rPr>
        <w:t>t</w:t>
      </w:r>
      <w:r>
        <w:rPr>
          <w:szCs w:val="24"/>
        </w:rPr>
        <w:t>ive prawn populations</w:t>
      </w:r>
      <w:r w:rsidR="00E74627">
        <w:rPr>
          <w:szCs w:val="24"/>
          <w:vertAlign w:val="superscript"/>
        </w:rPr>
        <w:t>26</w:t>
      </w:r>
      <w:r>
        <w:rPr>
          <w:szCs w:val="24"/>
        </w:rPr>
        <w:t>. To gain an understanding of the likely use of prawns by recreational fishers, in 2007 the IRA authors had commissioned a survey of recreational fishers</w:t>
      </w:r>
      <w:r w:rsidR="00E20A65">
        <w:rPr>
          <w:szCs w:val="24"/>
          <w:vertAlign w:val="superscript"/>
        </w:rPr>
        <w:t>99</w:t>
      </w:r>
      <w:r w:rsidR="003463D8">
        <w:rPr>
          <w:szCs w:val="24"/>
        </w:rPr>
        <w:t xml:space="preserve"> </w:t>
      </w:r>
      <w:r>
        <w:rPr>
          <w:szCs w:val="24"/>
        </w:rPr>
        <w:t>from the company that surveyed this demographic in 2002</w:t>
      </w:r>
      <w:r w:rsidR="00E74627">
        <w:rPr>
          <w:szCs w:val="24"/>
          <w:vertAlign w:val="superscript"/>
        </w:rPr>
        <w:t>10</w:t>
      </w:r>
      <w:r w:rsidR="00E20A65">
        <w:rPr>
          <w:szCs w:val="24"/>
          <w:vertAlign w:val="superscript"/>
        </w:rPr>
        <w:t>0</w:t>
      </w:r>
      <w:r>
        <w:rPr>
          <w:szCs w:val="24"/>
        </w:rPr>
        <w:t>. The authors determined that, if the recommended controls were in place, the risk of an incursion by this pathway was low enough to meet the ALOP. However, by 2016 circumstances had changed because of a failure to ensure that:</w:t>
      </w:r>
    </w:p>
    <w:p w14:paraId="77E7E568" w14:textId="38C420C3" w:rsidR="00CC703E" w:rsidRDefault="005412BF" w:rsidP="005131D8">
      <w:pPr>
        <w:pStyle w:val="ListBullet"/>
      </w:pPr>
      <w:r>
        <w:t>the level of infected prawns on the market remained at the low level assumed by the IRA</w:t>
      </w:r>
      <w:r w:rsidR="00832C5A">
        <w:t>,</w:t>
      </w:r>
    </w:p>
    <w:p w14:paraId="1658BF92" w14:textId="689B68BE" w:rsidR="00CC703E" w:rsidRDefault="00E37FDB" w:rsidP="005131D8">
      <w:pPr>
        <w:pStyle w:val="ListBullet"/>
      </w:pPr>
      <w:r>
        <w:t xml:space="preserve">imported </w:t>
      </w:r>
      <w:r w:rsidR="00F035A0">
        <w:t xml:space="preserve">uncooked </w:t>
      </w:r>
      <w:r>
        <w:t>prawns were not diverted to the bait market</w:t>
      </w:r>
      <w:r w:rsidR="00C92347">
        <w:t>, and</w:t>
      </w:r>
    </w:p>
    <w:p w14:paraId="65B9F005" w14:textId="72280B97" w:rsidR="00CC703E" w:rsidRDefault="00E37FDB" w:rsidP="005131D8">
      <w:pPr>
        <w:pStyle w:val="ListBullet"/>
      </w:pPr>
      <w:r>
        <w:lastRenderedPageBreak/>
        <w:t xml:space="preserve">recreational fishers were aware of the </w:t>
      </w:r>
      <w:r w:rsidR="000C1383">
        <w:t>advice</w:t>
      </w:r>
      <w:r>
        <w:t xml:space="preserve"> not to use imported prawns as bait.</w:t>
      </w:r>
    </w:p>
    <w:p w14:paraId="2939E18F" w14:textId="05860647" w:rsidR="00CC703E" w:rsidRDefault="00E37FDB" w:rsidP="00A105F7">
      <w:pPr>
        <w:autoSpaceDE w:val="0"/>
        <w:autoSpaceDN w:val="0"/>
        <w:adjustRightInd w:val="0"/>
        <w:spacing w:after="0"/>
        <w:rPr>
          <w:szCs w:val="24"/>
          <w:highlight w:val="yellow"/>
          <w:lang w:eastAsia="ja-JP"/>
        </w:rPr>
      </w:pPr>
      <w:r>
        <w:rPr>
          <w:szCs w:val="24"/>
          <w:lang w:eastAsia="ja-JP"/>
        </w:rPr>
        <w:t xml:space="preserve">The department did not conduct ongoing or periodic assessments to determine whether critical (but implicit) assumptions in the IRA were being achieved. In particular, there was no verification that only low levels of WSSV-infected prawns were detectable at retail outlets. Rather, the department failed to seriously </w:t>
      </w:r>
      <w:r w:rsidRPr="00E061AE">
        <w:rPr>
          <w:szCs w:val="24"/>
          <w:lang w:eastAsia="ja-JP"/>
        </w:rPr>
        <w:t>consider</w:t>
      </w:r>
      <w:r>
        <w:rPr>
          <w:szCs w:val="24"/>
          <w:lang w:eastAsia="ja-JP"/>
        </w:rPr>
        <w:t xml:space="preserve"> the possibility that higher levels of WSSV detections at retail outlets might dangerously increase the risk of spillovers of virus and disease into wild or farmed prawn populations. Because this potential increase in risk was not being measured systematically, it could not be communicated to key stakeholders such as prawn farmers and relevant state/territory </w:t>
      </w:r>
      <w:r>
        <w:rPr>
          <w:szCs w:val="24"/>
        </w:rPr>
        <w:t>government</w:t>
      </w:r>
      <w:r>
        <w:rPr>
          <w:szCs w:val="24"/>
          <w:lang w:eastAsia="ja-JP"/>
        </w:rPr>
        <w:t xml:space="preserve"> agencies.</w:t>
      </w:r>
    </w:p>
    <w:p w14:paraId="2C8EFA73" w14:textId="09D8C4D6" w:rsidR="00CC703E" w:rsidRDefault="00E37FDB">
      <w:pPr>
        <w:autoSpaceDE w:val="0"/>
        <w:autoSpaceDN w:val="0"/>
        <w:adjustRightInd w:val="0"/>
        <w:spacing w:after="0"/>
        <w:rPr>
          <w:szCs w:val="24"/>
          <w:lang w:eastAsia="ja-JP"/>
        </w:rPr>
      </w:pPr>
      <w:r>
        <w:rPr>
          <w:szCs w:val="24"/>
          <w:lang w:eastAsia="ja-JP"/>
        </w:rPr>
        <w:t>The role of prawn farmers in maintaining good on-farm biosecurity that might protect them from such an event was not included in the risk estimation. Like many other Australian agricultural producers that have not experienced a pest or disease outbreak, prawn farmers assumed</w:t>
      </w:r>
      <w:r w:rsidR="00E95C02">
        <w:rPr>
          <w:szCs w:val="24"/>
          <w:lang w:eastAsia="ja-JP"/>
        </w:rPr>
        <w:t xml:space="preserve"> (</w:t>
      </w:r>
      <w:r w:rsidR="000C1383">
        <w:rPr>
          <w:szCs w:val="24"/>
          <w:lang w:eastAsia="ja-JP"/>
        </w:rPr>
        <w:t>or hoped</w:t>
      </w:r>
      <w:r w:rsidR="005412BF">
        <w:rPr>
          <w:szCs w:val="24"/>
          <w:lang w:eastAsia="ja-JP"/>
        </w:rPr>
        <w:t>,</w:t>
      </w:r>
      <w:r w:rsidR="000C1383">
        <w:rPr>
          <w:szCs w:val="24"/>
          <w:lang w:eastAsia="ja-JP"/>
        </w:rPr>
        <w:t xml:space="preserve"> despite misgivings</w:t>
      </w:r>
      <w:r w:rsidR="00E95C02">
        <w:rPr>
          <w:szCs w:val="24"/>
          <w:lang w:eastAsia="ja-JP"/>
        </w:rPr>
        <w:t>)</w:t>
      </w:r>
      <w:r w:rsidR="000C1383">
        <w:rPr>
          <w:szCs w:val="24"/>
          <w:lang w:eastAsia="ja-JP"/>
        </w:rPr>
        <w:t xml:space="preserve"> </w:t>
      </w:r>
      <w:r>
        <w:rPr>
          <w:szCs w:val="24"/>
          <w:lang w:eastAsia="ja-JP"/>
        </w:rPr>
        <w:t>that the system of pre-border and border controls set up under the IRA would protect them</w:t>
      </w:r>
      <w:r w:rsidR="000C1383">
        <w:rPr>
          <w:szCs w:val="24"/>
          <w:lang w:eastAsia="ja-JP"/>
        </w:rPr>
        <w:t>, and that they would not need to go to the lengths required of overseas prawn farmers in protecting their farms</w:t>
      </w:r>
      <w:r>
        <w:rPr>
          <w:szCs w:val="24"/>
          <w:lang w:eastAsia="ja-JP"/>
        </w:rPr>
        <w:t>.</w:t>
      </w:r>
    </w:p>
    <w:p w14:paraId="042ADCE8" w14:textId="23EF83EA" w:rsidR="00CC703E" w:rsidRDefault="00E37FDB">
      <w:pPr>
        <w:autoSpaceDE w:val="0"/>
        <w:autoSpaceDN w:val="0"/>
        <w:adjustRightInd w:val="0"/>
        <w:spacing w:after="0"/>
        <w:rPr>
          <w:szCs w:val="24"/>
        </w:rPr>
      </w:pPr>
      <w:r>
        <w:rPr>
          <w:szCs w:val="24"/>
        </w:rPr>
        <w:t>The failure to keep WSSV out of Australia was later identified by the department in Senate hearings</w:t>
      </w:r>
      <w:r w:rsidR="00E74627">
        <w:rPr>
          <w:szCs w:val="24"/>
          <w:vertAlign w:val="superscript"/>
        </w:rPr>
        <w:t>11</w:t>
      </w:r>
      <w:r w:rsidR="00E20A65">
        <w:rPr>
          <w:szCs w:val="24"/>
          <w:vertAlign w:val="superscript"/>
        </w:rPr>
        <w:t>6</w:t>
      </w:r>
      <w:r w:rsidR="0093504A">
        <w:rPr>
          <w:szCs w:val="24"/>
          <w:vertAlign w:val="superscript"/>
        </w:rPr>
        <w:t xml:space="preserve"> (p. 29)</w:t>
      </w:r>
      <w:r w:rsidR="009F0CF4">
        <w:rPr>
          <w:szCs w:val="24"/>
        </w:rPr>
        <w:t>:</w:t>
      </w:r>
    </w:p>
    <w:p w14:paraId="020242A9" w14:textId="05B973B3" w:rsidR="009F0CF4" w:rsidRDefault="009F0CF4" w:rsidP="00E52C99">
      <w:pPr>
        <w:pStyle w:val="Quote"/>
      </w:pPr>
      <w:r w:rsidRPr="009F0CF4">
        <w:t>The results of our compliance investigation known as Operation Cattai, show that the following three factors resulted in infected prawns being available for sale at retail. These factors are: testing methods; our inspection practices; and importer behaviour. Firstly, on testing methods, the variation in methods used by individual laboratories contributed to an inconsistent approach to determining infection rates in prawns.</w:t>
      </w:r>
    </w:p>
    <w:p w14:paraId="7B695C90" w14:textId="17F9CC73" w:rsidR="00CC703E" w:rsidRDefault="00E37FDB">
      <w:pPr>
        <w:autoSpaceDE w:val="0"/>
        <w:autoSpaceDN w:val="0"/>
        <w:adjustRightInd w:val="0"/>
        <w:spacing w:after="0"/>
        <w:rPr>
          <w:szCs w:val="24"/>
        </w:rPr>
      </w:pPr>
      <w:r>
        <w:rPr>
          <w:szCs w:val="24"/>
        </w:rPr>
        <w:t xml:space="preserve">However, </w:t>
      </w:r>
      <w:r w:rsidR="008E3C32">
        <w:rPr>
          <w:szCs w:val="24"/>
        </w:rPr>
        <w:t xml:space="preserve">I consider that </w:t>
      </w:r>
      <w:r>
        <w:rPr>
          <w:szCs w:val="24"/>
        </w:rPr>
        <w:t xml:space="preserve">a major </w:t>
      </w:r>
      <w:r w:rsidR="000C1383">
        <w:rPr>
          <w:szCs w:val="24"/>
        </w:rPr>
        <w:t xml:space="preserve">underlying </w:t>
      </w:r>
      <w:r>
        <w:rPr>
          <w:szCs w:val="24"/>
        </w:rPr>
        <w:t>cause of failure was a lack of verification that the import controls, and especially sampling and testing processes, were working as originally envisaged by the team who wrote the IRA. As detailed in this report, the sampling and testing regime prescribed by the IRA was extremely complex and costly to deliver reliably; and it was never implemented in a way that would deliver the intent of the IRA.</w:t>
      </w:r>
    </w:p>
    <w:p w14:paraId="1410E791" w14:textId="0F6B1D29" w:rsidR="00CC703E" w:rsidRPr="005131D8" w:rsidRDefault="00E37FDB" w:rsidP="005131D8">
      <w:pPr>
        <w:pStyle w:val="Heading3"/>
        <w:rPr>
          <w:rStyle w:val="Heading3Char"/>
          <w:rFonts w:eastAsia="Calibri"/>
          <w:b/>
          <w:bCs/>
        </w:rPr>
      </w:pPr>
      <w:bookmarkStart w:id="127" w:name="_Toc491784110"/>
      <w:bookmarkStart w:id="128" w:name="_Toc500508399"/>
      <w:r w:rsidRPr="005131D8">
        <w:rPr>
          <w:rStyle w:val="Heading3Char"/>
          <w:rFonts w:eastAsia="Calibri"/>
          <w:b/>
          <w:bCs/>
        </w:rPr>
        <w:t>Sampling and testing a batch of imported prawns for WSSV and YHV</w:t>
      </w:r>
      <w:bookmarkEnd w:id="127"/>
      <w:bookmarkEnd w:id="128"/>
    </w:p>
    <w:p w14:paraId="679064D7" w14:textId="0D78D5FC" w:rsidR="00CC703E" w:rsidRDefault="00E37FDB">
      <w:pPr>
        <w:autoSpaceDE w:val="0"/>
        <w:autoSpaceDN w:val="0"/>
        <w:adjustRightInd w:val="0"/>
        <w:spacing w:after="0"/>
        <w:rPr>
          <w:lang w:eastAsia="en-AU"/>
        </w:rPr>
      </w:pPr>
      <w:r>
        <w:rPr>
          <w:lang w:eastAsia="en-AU"/>
        </w:rPr>
        <w:t xml:space="preserve">The introduction of a requirement to test some categories of uncooked prawns </w:t>
      </w:r>
      <w:r w:rsidRPr="00256FA0">
        <w:rPr>
          <w:lang w:eastAsia="en-AU"/>
        </w:rPr>
        <w:t>post-</w:t>
      </w:r>
      <w:r>
        <w:rPr>
          <w:lang w:eastAsia="en-AU"/>
        </w:rPr>
        <w:t xml:space="preserve">import to establish whether individual batches were infected with WSSV and YHV was fraught with difficulty. The basic technical parameters for Australia’s prescribed regime were developed </w:t>
      </w:r>
      <w:r w:rsidRPr="00256FA0">
        <w:rPr>
          <w:lang w:eastAsia="en-AU"/>
        </w:rPr>
        <w:t>using</w:t>
      </w:r>
      <w:r>
        <w:rPr>
          <w:lang w:eastAsia="en-AU"/>
        </w:rPr>
        <w:t xml:space="preserve"> highly skilled epidemiological and laboratory technical expertise. Assumptions about how some biosecurity risks would be managed by the sampling and testing regime were dependent on its precise implementation over time. This proved to be unachievable in practice.</w:t>
      </w:r>
    </w:p>
    <w:p w14:paraId="360A5620" w14:textId="77777777" w:rsidR="00CC703E" w:rsidRDefault="00E37FDB" w:rsidP="0056176A">
      <w:pPr>
        <w:pStyle w:val="Heading4"/>
      </w:pPr>
      <w:r>
        <w:lastRenderedPageBreak/>
        <w:t>Sampling</w:t>
      </w:r>
    </w:p>
    <w:p w14:paraId="4596CA96" w14:textId="49F81413" w:rsidR="00CC703E" w:rsidRDefault="00E37FDB">
      <w:pPr>
        <w:autoSpaceDE w:val="0"/>
        <w:autoSpaceDN w:val="0"/>
        <w:adjustRightInd w:val="0"/>
        <w:spacing w:after="0"/>
        <w:rPr>
          <w:lang w:eastAsia="en-AU"/>
        </w:rPr>
      </w:pPr>
      <w:r w:rsidRPr="00256FA0">
        <w:rPr>
          <w:lang w:eastAsia="en-AU"/>
        </w:rPr>
        <w:t>Prawn c</w:t>
      </w:r>
      <w:r>
        <w:rPr>
          <w:lang w:eastAsia="en-AU"/>
        </w:rPr>
        <w:t>onsignment</w:t>
      </w:r>
      <w:r w:rsidRPr="00256FA0">
        <w:rPr>
          <w:lang w:eastAsia="en-AU"/>
        </w:rPr>
        <w:t>s</w:t>
      </w:r>
      <w:r>
        <w:rPr>
          <w:lang w:eastAsia="en-AU"/>
        </w:rPr>
        <w:t xml:space="preserve"> often </w:t>
      </w:r>
      <w:r w:rsidRPr="00256FA0">
        <w:rPr>
          <w:lang w:eastAsia="en-AU"/>
        </w:rPr>
        <w:t xml:space="preserve">arrive in </w:t>
      </w:r>
      <w:r>
        <w:rPr>
          <w:lang w:eastAsia="en-AU"/>
        </w:rPr>
        <w:t>container load</w:t>
      </w:r>
      <w:r w:rsidRPr="00256FA0">
        <w:rPr>
          <w:lang w:eastAsia="en-AU"/>
        </w:rPr>
        <w:t>s</w:t>
      </w:r>
      <w:r>
        <w:rPr>
          <w:lang w:eastAsia="en-AU"/>
        </w:rPr>
        <w:t xml:space="preserve"> weighing up to 20 tonnes,</w:t>
      </w:r>
      <w:r w:rsidRPr="00256FA0">
        <w:rPr>
          <w:lang w:eastAsia="en-AU"/>
        </w:rPr>
        <w:t xml:space="preserve"> and each container</w:t>
      </w:r>
      <w:r>
        <w:rPr>
          <w:lang w:eastAsia="en-AU"/>
        </w:rPr>
        <w:t xml:space="preserve"> may consist of one or more batches. </w:t>
      </w:r>
      <w:r w:rsidRPr="00E061AE">
        <w:rPr>
          <w:lang w:eastAsia="en-AU"/>
        </w:rPr>
        <w:t>The 2009 IRA defined</w:t>
      </w:r>
      <w:r>
        <w:rPr>
          <w:lang w:eastAsia="en-AU"/>
        </w:rPr>
        <w:t xml:space="preserve"> a batch as ‘a population from a different pond population or fishing period population</w:t>
      </w:r>
      <w:r w:rsidR="00C0065B">
        <w:rPr>
          <w:lang w:eastAsia="en-AU"/>
        </w:rPr>
        <w:t>’</w:t>
      </w:r>
      <w:r w:rsidR="00C0065B">
        <w:rPr>
          <w:vertAlign w:val="superscript"/>
          <w:lang w:eastAsia="en-AU"/>
        </w:rPr>
        <w:t>39</w:t>
      </w:r>
      <w:r w:rsidR="00CA590E">
        <w:rPr>
          <w:vertAlign w:val="superscript"/>
          <w:lang w:eastAsia="en-AU"/>
        </w:rPr>
        <w:t xml:space="preserve"> (p. </w:t>
      </w:r>
      <w:r w:rsidR="003E221F">
        <w:rPr>
          <w:vertAlign w:val="superscript"/>
          <w:lang w:eastAsia="en-AU"/>
        </w:rPr>
        <w:t>178</w:t>
      </w:r>
      <w:r w:rsidR="00CA590E">
        <w:rPr>
          <w:vertAlign w:val="superscript"/>
          <w:lang w:eastAsia="en-AU"/>
        </w:rPr>
        <w:t>)</w:t>
      </w:r>
      <w:r w:rsidR="00C47E6E">
        <w:rPr>
          <w:lang w:eastAsia="en-AU"/>
        </w:rPr>
        <w:t xml:space="preserve"> </w:t>
      </w:r>
      <w:r>
        <w:rPr>
          <w:lang w:eastAsia="en-AU"/>
        </w:rPr>
        <w:t>and assumed that within a group of prawns harvested from the same pond or caught at sea on the same day, any diseased prawns were likely to be reasonably evenly distributed within the batch.</w:t>
      </w:r>
    </w:p>
    <w:p w14:paraId="44E6C8D7" w14:textId="6F13F348" w:rsidR="00CC703E" w:rsidRDefault="00E37FDB">
      <w:pPr>
        <w:autoSpaceDE w:val="0"/>
        <w:autoSpaceDN w:val="0"/>
        <w:adjustRightInd w:val="0"/>
        <w:spacing w:after="0"/>
        <w:rPr>
          <w:lang w:eastAsia="en-AU"/>
        </w:rPr>
      </w:pPr>
      <w:r>
        <w:rPr>
          <w:szCs w:val="24"/>
          <w:lang w:eastAsia="en-AU"/>
        </w:rPr>
        <w:t xml:space="preserve">In practice, farms in Thailand range from less than 1 hectare to nearly 30 hectares in production water surface area. Farms in Vietnam are much smaller, generally less than 3 hectares. The average size of prawn farms in Thailand is </w:t>
      </w:r>
      <w:r>
        <w:rPr>
          <w:szCs w:val="24"/>
          <w:lang w:val="en"/>
        </w:rPr>
        <w:t>6.96±1.36 hectares per farm, compared with only 1.76±0.61 hectares per farm in Vietnam</w:t>
      </w:r>
      <w:r w:rsidR="00C0065B">
        <w:rPr>
          <w:szCs w:val="24"/>
          <w:vertAlign w:val="superscript"/>
        </w:rPr>
        <w:t>11</w:t>
      </w:r>
      <w:r w:rsidR="00E20A65">
        <w:rPr>
          <w:szCs w:val="24"/>
          <w:vertAlign w:val="superscript"/>
        </w:rPr>
        <w:t>7</w:t>
      </w:r>
      <w:r>
        <w:rPr>
          <w:szCs w:val="24"/>
          <w:lang w:eastAsia="en-AU"/>
        </w:rPr>
        <w:t xml:space="preserve">. Average pond production (based on two harvests per year) is </w:t>
      </w:r>
      <w:r>
        <w:rPr>
          <w:rFonts w:ascii="Calibri" w:hAnsi="Calibri"/>
          <w:szCs w:val="24"/>
          <w:lang w:val="en"/>
        </w:rPr>
        <w:t xml:space="preserve">17.7±2.0 metric tonnes per hectare per year in Thailand and 9.3±1.9 metric tonnes per hectare per year in Vietnam. </w:t>
      </w:r>
      <w:r>
        <w:rPr>
          <w:lang w:eastAsia="en-AU"/>
        </w:rPr>
        <w:t>This means that a 20-tonne container, filled after one or more production runs at a processing factory, could contain prawns from either a single large pond or from up to 40 small ponds (at the minimum 0.5 tonne per hectare).</w:t>
      </w:r>
    </w:p>
    <w:p w14:paraId="64B3AC9B" w14:textId="732688C1" w:rsidR="00CC703E" w:rsidRDefault="00E37FDB">
      <w:pPr>
        <w:autoSpaceDE w:val="0"/>
        <w:autoSpaceDN w:val="0"/>
        <w:adjustRightInd w:val="0"/>
        <w:spacing w:after="0"/>
        <w:rPr>
          <w:lang w:eastAsia="en-AU"/>
        </w:rPr>
      </w:pPr>
      <w:r>
        <w:t xml:space="preserve">The sampling regime </w:t>
      </w:r>
      <w:r>
        <w:rPr>
          <w:szCs w:val="24"/>
        </w:rPr>
        <w:t>implemented</w:t>
      </w:r>
      <w:r>
        <w:t xml:space="preserve"> in the </w:t>
      </w:r>
      <w:r>
        <w:rPr>
          <w:szCs w:val="24"/>
        </w:rPr>
        <w:t xml:space="preserve">2007 interim </w:t>
      </w:r>
      <w:r w:rsidR="008E3C32">
        <w:rPr>
          <w:szCs w:val="24"/>
        </w:rPr>
        <w:t xml:space="preserve">import </w:t>
      </w:r>
      <w:r>
        <w:rPr>
          <w:szCs w:val="24"/>
        </w:rPr>
        <w:t xml:space="preserve">conditions is still in use today. It was </w:t>
      </w:r>
      <w:r>
        <w:t xml:space="preserve">designed to detect the agent if present at 5 per cent prevalence or greater, with 95 per cent confidence (the OIE standard). </w:t>
      </w:r>
      <w:r>
        <w:rPr>
          <w:lang w:eastAsia="en-AU"/>
        </w:rPr>
        <w:t>Statistical modelling, accurately applied to a true random sampling regime, shows that a surprisingly small number of samples will accurately reflect the true prevalence within a large batch of prawns. If true random samples are taken from each batch, it can be calculated statistically that, to detect a within-batch prevalence of at least 5 per cent with 95 per cent confidence, a total of 65 prawns (5 from each of 13 cartons) must be collected and tested with a highly sensitive test. If a lower prevalence (level of infected prawns) is targeted, more prawns need to be sampled and tested. For example, for surveillance for proof of freedom, a 95 per cent chance of detecting an infected population where 2 per cent or more of animals are infected (the OIE standard), would require a sample of 149 prawns per batch to be tested (assuming a test of 100 per cent sensitivity and specificity)</w:t>
      </w:r>
      <w:r w:rsidR="00C0065B">
        <w:rPr>
          <w:vertAlign w:val="superscript"/>
          <w:lang w:eastAsia="en-AU"/>
        </w:rPr>
        <w:t>11</w:t>
      </w:r>
      <w:r w:rsidR="00E20A65">
        <w:rPr>
          <w:vertAlign w:val="superscript"/>
          <w:lang w:eastAsia="en-AU"/>
        </w:rPr>
        <w:t>8</w:t>
      </w:r>
      <w:r>
        <w:rPr>
          <w:lang w:eastAsia="en-AU"/>
        </w:rPr>
        <w:t>.</w:t>
      </w:r>
    </w:p>
    <w:p w14:paraId="5BF1A19B" w14:textId="72B3F477" w:rsidR="00CC703E" w:rsidRDefault="00E37FDB">
      <w:pPr>
        <w:spacing w:after="0"/>
      </w:pPr>
      <w:r>
        <w:t>If each batch of uncooked prawns is sampled randomly to detect a within-batch prevalence of ≥5 per cent with 95 per cent confidence, there is about a 3.5 per cent chance of not finding any infected prawn in a sample of 65 prawns from a population (batch) with a true prevalence of 5 per cent infected (using the formula Risk = (1–prevalence)</w:t>
      </w:r>
      <w:r>
        <w:rPr>
          <w:vertAlign w:val="superscript"/>
        </w:rPr>
        <w:t>n</w:t>
      </w:r>
      <w:r>
        <w:t xml:space="preserve">, where </w:t>
      </w:r>
      <w:r>
        <w:rPr>
          <w:i/>
        </w:rPr>
        <w:t>n</w:t>
      </w:r>
      <w:r>
        <w:t xml:space="preserve"> is the sample size).</w:t>
      </w:r>
    </w:p>
    <w:p w14:paraId="5FD19558" w14:textId="4D26E92E" w:rsidR="00CC703E" w:rsidRDefault="00E37FDB" w:rsidP="0056176A">
      <w:r>
        <w:rPr>
          <w:lang w:eastAsia="en-AU"/>
        </w:rPr>
        <w:t xml:space="preserve">This assumption and definition of a batch are critical to the sampling regime’s ability to deliver a meaningful result. If more than one </w:t>
      </w:r>
      <w:r w:rsidR="009C69A5">
        <w:rPr>
          <w:lang w:eastAsia="en-AU"/>
        </w:rPr>
        <w:t>‘</w:t>
      </w:r>
      <w:r>
        <w:rPr>
          <w:lang w:eastAsia="en-AU"/>
        </w:rPr>
        <w:t>batch</w:t>
      </w:r>
      <w:r w:rsidR="009C69A5">
        <w:rPr>
          <w:lang w:eastAsia="en-AU"/>
        </w:rPr>
        <w:t>’</w:t>
      </w:r>
      <w:r>
        <w:rPr>
          <w:lang w:eastAsia="en-AU"/>
        </w:rPr>
        <w:t xml:space="preserve"> is sampled as one, test-positive or negative prawns may be clustered such that a random sample of the whole consignment may not accurately reflect the true prevalence within the batch.</w:t>
      </w:r>
      <w:r>
        <w:t xml:space="preserve"> A container load will consist of 10 </w:t>
      </w:r>
      <w:r w:rsidR="00467D4C">
        <w:t>×</w:t>
      </w:r>
      <w:r w:rsidRPr="0088665C">
        <w:t xml:space="preserve"> 1</w:t>
      </w:r>
      <w:r>
        <w:t>-kilogram packets in a carton, and 1,800 boxes in a container. The prawn packets within a carton will be non-random and the boxes will be non-random with respect to disease, so the assumptions around the 13 × 5 are violated.</w:t>
      </w:r>
    </w:p>
    <w:p w14:paraId="065B293D" w14:textId="2D02F0E2" w:rsidR="00CC703E" w:rsidRDefault="00E37FDB">
      <w:pPr>
        <w:autoSpaceDE w:val="0"/>
        <w:autoSpaceDN w:val="0"/>
        <w:adjustRightInd w:val="0"/>
        <w:spacing w:after="0"/>
        <w:rPr>
          <w:lang w:eastAsia="en-AU"/>
        </w:rPr>
      </w:pPr>
      <w:r>
        <w:rPr>
          <w:lang w:eastAsia="en-AU"/>
        </w:rPr>
        <w:t xml:space="preserve">True random sampling may be carried out by selecting cartons in an order prescribed by a chart of random numbers or even by a simple roll of the dice on each </w:t>
      </w:r>
      <w:r>
        <w:rPr>
          <w:lang w:eastAsia="en-AU"/>
        </w:rPr>
        <w:lastRenderedPageBreak/>
        <w:t>decision. Counterintuitively, random sampling will not be achieved by a person picking boxes ‘at random’ because various biases will come into play (for example, the first box in a large series is almost never selected).</w:t>
      </w:r>
    </w:p>
    <w:p w14:paraId="7249BB96" w14:textId="77777777" w:rsidR="00CC703E" w:rsidRDefault="00E37FDB">
      <w:pPr>
        <w:autoSpaceDE w:val="0"/>
        <w:autoSpaceDN w:val="0"/>
        <w:adjustRightInd w:val="0"/>
        <w:spacing w:after="0"/>
      </w:pPr>
      <w:r>
        <w:t xml:space="preserve">This calculation did not take into account the likely mixing of multiple batches at the prawn processing factory, non-homogeneity of </w:t>
      </w:r>
      <w:r>
        <w:rPr>
          <w:lang w:eastAsia="en-AU"/>
        </w:rPr>
        <w:t>the</w:t>
      </w:r>
      <w:r>
        <w:t xml:space="preserve"> batch and whether differences in the prevalence of infected batches being presented for processing and then import might affect the risks of the sampling and testing regime being able to deliver the target prevalence and confidence level.</w:t>
      </w:r>
    </w:p>
    <w:p w14:paraId="11AE4CB3" w14:textId="1D0769D9" w:rsidR="00CC703E" w:rsidRDefault="00E37FDB">
      <w:pPr>
        <w:autoSpaceDE w:val="0"/>
        <w:autoSpaceDN w:val="0"/>
        <w:adjustRightInd w:val="0"/>
        <w:spacing w:after="0"/>
      </w:pPr>
      <w:r w:rsidRPr="0088665C">
        <w:t>T</w:t>
      </w:r>
      <w:r>
        <w:t xml:space="preserve">he prawn sampling regime prescribed in the </w:t>
      </w:r>
      <w:r w:rsidRPr="0088665C">
        <w:t xml:space="preserve">2007 </w:t>
      </w:r>
      <w:r>
        <w:t xml:space="preserve">import conditions was designed to find </w:t>
      </w:r>
      <w:r w:rsidR="008E3C32">
        <w:t xml:space="preserve">a target prevalence of </w:t>
      </w:r>
      <w:r>
        <w:t>virus-infected prawns present in a pond</w:t>
      </w:r>
      <w:r w:rsidRPr="0088665C">
        <w:t>. I</w:t>
      </w:r>
      <w:r>
        <w:t>t is unsuitable for sampling a full container of up to 20</w:t>
      </w:r>
      <w:r w:rsidRPr="0088665C">
        <w:t> </w:t>
      </w:r>
      <w:r>
        <w:t>tonnes of processed prawns from an unknown number of farms or ponds</w:t>
      </w:r>
      <w:r w:rsidRPr="0088665C">
        <w:t>.</w:t>
      </w:r>
      <w:r>
        <w:t xml:space="preserve"> </w:t>
      </w:r>
      <w:r w:rsidRPr="0088665C">
        <w:t>This</w:t>
      </w:r>
      <w:r>
        <w:t xml:space="preserve"> means that the </w:t>
      </w:r>
      <w:r w:rsidRPr="0088665C">
        <w:t>2007</w:t>
      </w:r>
      <w:r>
        <w:t xml:space="preserve"> sampling regime is inadequate for finding the design prevalence of </w:t>
      </w:r>
      <w:r w:rsidRPr="0088665C">
        <w:t xml:space="preserve">a </w:t>
      </w:r>
      <w:r>
        <w:t>targeted virus</w:t>
      </w:r>
      <w:r w:rsidR="008E3C32">
        <w:t xml:space="preserve"> in a typical import consignment</w:t>
      </w:r>
      <w:r>
        <w:t>.</w:t>
      </w:r>
    </w:p>
    <w:p w14:paraId="66C13562" w14:textId="1C4A98E2" w:rsidR="00CC703E" w:rsidRDefault="008E3C32">
      <w:pPr>
        <w:autoSpaceDE w:val="0"/>
        <w:autoSpaceDN w:val="0"/>
        <w:adjustRightInd w:val="0"/>
        <w:spacing w:after="0"/>
      </w:pPr>
      <w:r>
        <w:t>T</w:t>
      </w:r>
      <w:r w:rsidR="00E37FDB">
        <w:t xml:space="preserve">he inadequacy of the 2007 sampling regime was revealed </w:t>
      </w:r>
      <w:r w:rsidR="009C69A5">
        <w:t xml:space="preserve">during </w:t>
      </w:r>
      <w:r w:rsidR="00E37FDB">
        <w:t xml:space="preserve">this review, when clear articulation of both the problem and a potential solution emerged from a multidisciplinary discussion. The discussion canvassed the possibility that a much greater statistical rigour might be achieved by taking 1 prawn from each of 65 randomly selected cartons. It would take no longer for two inspectors attending a full seals-intact inspection to collect, and cost no more to test, than the existing regime. If statistically validated, </w:t>
      </w:r>
      <w:r>
        <w:t>a</w:t>
      </w:r>
      <w:r w:rsidR="00E37FDB">
        <w:t xml:space="preserve"> </w:t>
      </w:r>
      <w:r>
        <w:t>revi</w:t>
      </w:r>
      <w:r w:rsidR="00E37FDB">
        <w:t xml:space="preserve">sed </w:t>
      </w:r>
      <w:r w:rsidR="009C69A5">
        <w:t>sampl</w:t>
      </w:r>
      <w:r w:rsidR="00E37FDB">
        <w:t>ing regime could be shared with overseas competent authorities.</w:t>
      </w:r>
    </w:p>
    <w:p w14:paraId="1D29DFF3" w14:textId="77777777" w:rsidR="00CC703E" w:rsidRDefault="00E37FDB" w:rsidP="0056176A">
      <w:pPr>
        <w:pStyle w:val="Heading3"/>
        <w:numPr>
          <w:ilvl w:val="0"/>
          <w:numId w:val="0"/>
        </w:numPr>
        <w:pBdr>
          <w:top w:val="single" w:sz="4" w:space="1" w:color="auto"/>
          <w:left w:val="single" w:sz="4" w:space="1" w:color="auto"/>
          <w:bottom w:val="single" w:sz="4" w:space="1" w:color="auto"/>
          <w:right w:val="single" w:sz="4" w:space="1" w:color="auto"/>
        </w:pBdr>
        <w:ind w:left="794" w:hanging="794"/>
      </w:pPr>
      <w:bookmarkStart w:id="129" w:name="_Toc499132634"/>
      <w:bookmarkStart w:id="130" w:name="_Toc499963152"/>
      <w:bookmarkStart w:id="131" w:name="_Toc500162458"/>
      <w:bookmarkStart w:id="132" w:name="_Toc500238715"/>
      <w:bookmarkStart w:id="133" w:name="_Toc500508400"/>
      <w:r>
        <w:t xml:space="preserve">Recommendation </w:t>
      </w:r>
      <w:r w:rsidR="00F329C0">
        <w:fldChar w:fldCharType="begin"/>
      </w:r>
      <w:r w:rsidR="00F329C0">
        <w:instrText xml:space="preserve"> SEQ Recommendation \* ARABIC </w:instrText>
      </w:r>
      <w:r w:rsidR="00F329C0">
        <w:fldChar w:fldCharType="separate"/>
      </w:r>
      <w:r w:rsidR="00121BC1">
        <w:rPr>
          <w:noProof/>
        </w:rPr>
        <w:t>2</w:t>
      </w:r>
      <w:bookmarkEnd w:id="129"/>
      <w:bookmarkEnd w:id="130"/>
      <w:bookmarkEnd w:id="131"/>
      <w:bookmarkEnd w:id="132"/>
      <w:bookmarkEnd w:id="133"/>
      <w:r w:rsidR="00F329C0">
        <w:rPr>
          <w:noProof/>
        </w:rPr>
        <w:fldChar w:fldCharType="end"/>
      </w:r>
    </w:p>
    <w:p w14:paraId="6A811D9B" w14:textId="5104DDD6" w:rsidR="00CC703E" w:rsidRDefault="00150A32" w:rsidP="0056176A">
      <w:pPr>
        <w:pBdr>
          <w:top w:val="single" w:sz="4" w:space="1" w:color="auto"/>
          <w:left w:val="single" w:sz="4" w:space="1" w:color="auto"/>
          <w:bottom w:val="single" w:sz="4" w:space="1" w:color="auto"/>
          <w:right w:val="single" w:sz="4" w:space="1" w:color="auto"/>
        </w:pBdr>
        <w:tabs>
          <w:tab w:val="clear" w:pos="567"/>
        </w:tabs>
        <w:spacing w:before="0" w:after="0"/>
        <w:rPr>
          <w:szCs w:val="24"/>
        </w:rPr>
      </w:pPr>
      <w:r w:rsidRPr="00150A32">
        <w:rPr>
          <w:szCs w:val="24"/>
        </w:rPr>
        <w:t>The department should, as a priority, review the sampling regime for consignments of imported uncooked prawns and prawn products.</w:t>
      </w:r>
    </w:p>
    <w:p w14:paraId="7659A337" w14:textId="2B837E7C" w:rsidR="00CC703E" w:rsidRPr="00C4292B" w:rsidRDefault="00E37FDB" w:rsidP="0056176A">
      <w:pPr>
        <w:pBdr>
          <w:top w:val="single" w:sz="4" w:space="1" w:color="auto"/>
          <w:left w:val="single" w:sz="4" w:space="1" w:color="auto"/>
          <w:bottom w:val="single" w:sz="4" w:space="1" w:color="auto"/>
          <w:right w:val="single" w:sz="4" w:space="1" w:color="auto"/>
        </w:pBdr>
      </w:pPr>
      <w:r>
        <w:rPr>
          <w:b/>
        </w:rPr>
        <w:t>Department’s response:</w:t>
      </w:r>
      <w:r w:rsidR="00C4292B">
        <w:t xml:space="preserve"> Agree. </w:t>
      </w:r>
      <w:r w:rsidR="00C4292B" w:rsidRPr="00C4292B">
        <w:t>An improved sampling process for consignments of imported uncooked prawns and prawn products has been implemented. Sampling regimes will also be considered in the prawn risk review.</w:t>
      </w:r>
    </w:p>
    <w:p w14:paraId="67D76200" w14:textId="77777777" w:rsidR="00CC703E" w:rsidRDefault="00E37FDB" w:rsidP="0087638C">
      <w:pPr>
        <w:pStyle w:val="Heading4"/>
      </w:pPr>
      <w:r>
        <w:t>Test sensitivity and specificity</w:t>
      </w:r>
    </w:p>
    <w:p w14:paraId="4CD77EEE" w14:textId="5FAABA91" w:rsidR="00CC703E" w:rsidRDefault="00E37FDB" w:rsidP="00E061AE">
      <w:pPr>
        <w:spacing w:after="0"/>
        <w:rPr>
          <w:lang w:eastAsia="en-AU"/>
        </w:rPr>
      </w:pPr>
      <w:r w:rsidRPr="00E221DF">
        <w:t xml:space="preserve">The </w:t>
      </w:r>
      <w:r>
        <w:t>‘</w:t>
      </w:r>
      <w:r w:rsidRPr="00E221DF">
        <w:t>sensitivity</w:t>
      </w:r>
      <w:r>
        <w:t>’</w:t>
      </w:r>
      <w:r w:rsidRPr="00E221DF">
        <w:t xml:space="preserve"> of</w:t>
      </w:r>
      <w:r>
        <w:rPr>
          <w:lang w:eastAsia="en-AU"/>
        </w:rPr>
        <w:t xml:space="preserve"> a test for WSSV is a measure of its ability to correctly identify all the prawns </w:t>
      </w:r>
      <w:r w:rsidRPr="00E221DF">
        <w:rPr>
          <w:lang w:eastAsia="en-AU"/>
        </w:rPr>
        <w:t xml:space="preserve">(in a sample) </w:t>
      </w:r>
      <w:r>
        <w:rPr>
          <w:lang w:eastAsia="en-AU"/>
        </w:rPr>
        <w:t>that are infected with WSSV. The higher the test sensitivity, the lower the proportion of truly infected prawns that will not be detected (false negatives). A test with 100 per cent sensitivity correctly identifies all prawns that are infected. A test with 90 per cent sensitivity will miss 10 per cent of the infected prawns.</w:t>
      </w:r>
    </w:p>
    <w:p w14:paraId="022D3DA4" w14:textId="506B576B" w:rsidR="00CC703E" w:rsidRDefault="00E37FDB">
      <w:pPr>
        <w:autoSpaceDE w:val="0"/>
        <w:autoSpaceDN w:val="0"/>
        <w:adjustRightInd w:val="0"/>
        <w:spacing w:after="0"/>
        <w:rPr>
          <w:lang w:eastAsia="en-AU"/>
        </w:rPr>
      </w:pPr>
      <w:r>
        <w:rPr>
          <w:lang w:eastAsia="en-AU"/>
        </w:rPr>
        <w:t>The ‘</w:t>
      </w:r>
      <w:r w:rsidRPr="00E221DF">
        <w:t>specificity</w:t>
      </w:r>
      <w:r>
        <w:t>’</w:t>
      </w:r>
      <w:r>
        <w:rPr>
          <w:b/>
          <w:lang w:eastAsia="en-AU"/>
        </w:rPr>
        <w:t xml:space="preserve"> </w:t>
      </w:r>
      <w:r>
        <w:rPr>
          <w:lang w:eastAsia="en-AU"/>
        </w:rPr>
        <w:t>of a test is a measure of its ability to correctly identify all the prawns (</w:t>
      </w:r>
      <w:r w:rsidRPr="00E221DF">
        <w:rPr>
          <w:lang w:eastAsia="en-AU"/>
        </w:rPr>
        <w:t xml:space="preserve">in a sample) </w:t>
      </w:r>
      <w:r>
        <w:rPr>
          <w:lang w:eastAsia="en-AU"/>
        </w:rPr>
        <w:t>that do not have WSSV. A test with 90 per cent specificity will correctly identify 90 per cent of prawns that were free of WSSV (true negatives), but it will also classify 10 per cent of the samples as positive when they are not (false positives).</w:t>
      </w:r>
    </w:p>
    <w:p w14:paraId="1CA27381" w14:textId="3B72D5C4" w:rsidR="00CC703E" w:rsidRDefault="00E37FDB">
      <w:pPr>
        <w:spacing w:after="0"/>
      </w:pPr>
      <w:r>
        <w:rPr>
          <w:lang w:val="en" w:eastAsia="en-AU"/>
        </w:rPr>
        <w:t xml:space="preserve">No test is 100 per cent sensitive and 100 per cent specific. There is normally some trade-off. A very sensitive test that will correctly pick up all positives is likely to </w:t>
      </w:r>
      <w:r>
        <w:rPr>
          <w:lang w:val="en" w:eastAsia="en-AU"/>
        </w:rPr>
        <w:lastRenderedPageBreak/>
        <w:t xml:space="preserve">find some false positives, and a very specific test is likely to miss some truly positive samples but correctly identify all negative samples. </w:t>
      </w:r>
      <w:r>
        <w:t>A less sensitive test will lead to false negative results, which may allow virus-positive material to move across the border. A less specific test will lead to false positive results, which could support regulatory decisions to export or destroy high-value cargo.</w:t>
      </w:r>
    </w:p>
    <w:p w14:paraId="1F35D4D0" w14:textId="5169CFF5" w:rsidR="00CC703E" w:rsidRDefault="00E37FDB">
      <w:pPr>
        <w:autoSpaceDE w:val="0"/>
        <w:autoSpaceDN w:val="0"/>
        <w:adjustRightInd w:val="0"/>
        <w:spacing w:after="0"/>
        <w:rPr>
          <w:lang w:eastAsia="en-AU"/>
        </w:rPr>
      </w:pPr>
      <w:r>
        <w:rPr>
          <w:lang w:val="en" w:eastAsia="en-AU"/>
        </w:rPr>
        <w:t>The purpose of the test</w:t>
      </w:r>
      <w:r w:rsidRPr="00E221DF">
        <w:rPr>
          <w:lang w:val="en" w:eastAsia="en-AU"/>
        </w:rPr>
        <w:t xml:space="preserve"> will</w:t>
      </w:r>
      <w:r>
        <w:rPr>
          <w:lang w:val="en" w:eastAsia="en-AU"/>
        </w:rPr>
        <w:t xml:space="preserve"> also </w:t>
      </w:r>
      <w:r w:rsidRPr="00E221DF">
        <w:rPr>
          <w:lang w:val="en" w:eastAsia="en-AU"/>
        </w:rPr>
        <w:t>determine</w:t>
      </w:r>
      <w:r>
        <w:rPr>
          <w:lang w:val="en" w:eastAsia="en-AU"/>
        </w:rPr>
        <w:t xml:space="preserve"> </w:t>
      </w:r>
      <w:r>
        <w:rPr>
          <w:lang w:eastAsia="en-AU"/>
        </w:rPr>
        <w:t>whether a more sensitive or more specific test is needed. For example, establishing whether WSSV is present in the wild requires a highly specific test that minimises false positives. In contrast, preventing a disease agent from entering the country through trade requires a highly sensitive test to catch and exclude as many infected products as possible.</w:t>
      </w:r>
    </w:p>
    <w:p w14:paraId="6F31FBD6" w14:textId="63BEB7FB" w:rsidR="00CC703E" w:rsidRDefault="00E37FDB">
      <w:pPr>
        <w:autoSpaceDE w:val="0"/>
        <w:autoSpaceDN w:val="0"/>
        <w:adjustRightInd w:val="0"/>
        <w:spacing w:after="0"/>
        <w:rPr>
          <w:lang w:eastAsia="en-AU"/>
        </w:rPr>
      </w:pPr>
      <w:r>
        <w:rPr>
          <w:lang w:eastAsia="en-AU"/>
        </w:rPr>
        <w:t>To approach the</w:t>
      </w:r>
      <w:r w:rsidR="009C69A5">
        <w:rPr>
          <w:lang w:eastAsia="en-AU"/>
        </w:rPr>
        <w:t xml:space="preserve"> ideal</w:t>
      </w:r>
      <w:r>
        <w:rPr>
          <w:lang w:eastAsia="en-AU"/>
        </w:rPr>
        <w:t xml:space="preserve"> target of 100 per cent for both parameters, a two-step testing regime can be implemented, with tests of varying sensitivity and specificity. In this case, it is normal to screen samples using a more sensitive test first to find as many positive samples as possible. The potential positives are then tested using a highly specific confirmatory test to eliminate false positives</w:t>
      </w:r>
      <w:r w:rsidRPr="00E12E22">
        <w:rPr>
          <w:lang w:eastAsia="en-AU"/>
        </w:rPr>
        <w:t xml:space="preserve"> without</w:t>
      </w:r>
      <w:r>
        <w:rPr>
          <w:lang w:eastAsia="en-AU"/>
        </w:rPr>
        <w:t xml:space="preserve"> increasing the risk of missing some true positives.</w:t>
      </w:r>
    </w:p>
    <w:p w14:paraId="6B973D7F" w14:textId="2F321C71" w:rsidR="00CC703E" w:rsidRDefault="00E37FDB">
      <w:pPr>
        <w:autoSpaceDE w:val="0"/>
        <w:autoSpaceDN w:val="0"/>
        <w:adjustRightInd w:val="0"/>
        <w:spacing w:after="0"/>
        <w:rPr>
          <w:b/>
          <w:bCs/>
          <w:lang w:eastAsia="en-AU"/>
        </w:rPr>
      </w:pPr>
      <w:r>
        <w:rPr>
          <w:lang w:eastAsia="en-AU"/>
        </w:rPr>
        <w:t>Reversing the order of testing will reduce the efficiency of the process. If the screening test is less sensitive than the confirmatory test, and the confirmatory test is less specific than the screening test, the screening test will find fewer true positives and confirmatory testing is likely to find more false positives.</w:t>
      </w:r>
    </w:p>
    <w:p w14:paraId="241F1B9D" w14:textId="02CDC6AA" w:rsidR="00CC703E" w:rsidRDefault="00E37FDB">
      <w:pPr>
        <w:autoSpaceDE w:val="0"/>
        <w:autoSpaceDN w:val="0"/>
        <w:adjustRightInd w:val="0"/>
        <w:spacing w:after="0"/>
        <w:rPr>
          <w:lang w:eastAsia="en-AU"/>
        </w:rPr>
      </w:pPr>
      <w:r>
        <w:rPr>
          <w:lang w:eastAsia="en-AU"/>
        </w:rPr>
        <w:t>A 2007 departmental report</w:t>
      </w:r>
      <w:r w:rsidR="00C0065B">
        <w:rPr>
          <w:vertAlign w:val="superscript"/>
          <w:lang w:eastAsia="en-AU"/>
        </w:rPr>
        <w:t>1</w:t>
      </w:r>
      <w:r w:rsidR="00E20A65">
        <w:rPr>
          <w:vertAlign w:val="superscript"/>
          <w:lang w:eastAsia="en-AU"/>
        </w:rPr>
        <w:t>19</w:t>
      </w:r>
      <w:r w:rsidR="005309EF">
        <w:rPr>
          <w:lang w:eastAsia="en-AU"/>
        </w:rPr>
        <w:t xml:space="preserve"> </w:t>
      </w:r>
      <w:r>
        <w:rPr>
          <w:lang w:eastAsia="en-AU"/>
        </w:rPr>
        <w:t xml:space="preserve">recognised the tension between achieving high sensitivity and high specificity in prawn import testing. When considering the 2007 import conditions, which specified testing for three diseases (WSSV, YHV and IHHNV), Morris </w:t>
      </w:r>
      <w:r w:rsidRPr="00CA590E">
        <w:rPr>
          <w:lang w:eastAsia="en-AU"/>
        </w:rPr>
        <w:t>et al.</w:t>
      </w:r>
      <w:r w:rsidR="00C0065B">
        <w:rPr>
          <w:vertAlign w:val="superscript"/>
          <w:lang w:eastAsia="en-AU"/>
        </w:rPr>
        <w:t>12</w:t>
      </w:r>
      <w:r w:rsidR="00FE4D39">
        <w:rPr>
          <w:vertAlign w:val="superscript"/>
          <w:lang w:eastAsia="en-AU"/>
        </w:rPr>
        <w:t>0</w:t>
      </w:r>
      <w:r w:rsidRPr="00CA590E">
        <w:rPr>
          <w:lang w:eastAsia="en-AU"/>
        </w:rPr>
        <w:t xml:space="preserve"> i</w:t>
      </w:r>
      <w:r>
        <w:rPr>
          <w:lang w:eastAsia="en-AU"/>
        </w:rPr>
        <w:t xml:space="preserve">dentified an increase in levels of false positives when multiple tests were applied to the same sample. The </w:t>
      </w:r>
      <w:r>
        <w:rPr>
          <w:lang w:val="x-none" w:eastAsia="en-AU"/>
        </w:rPr>
        <w:t xml:space="preserve">issue of false positives </w:t>
      </w:r>
      <w:r>
        <w:rPr>
          <w:lang w:eastAsia="en-AU"/>
        </w:rPr>
        <w:t>(low specificity) is</w:t>
      </w:r>
      <w:r>
        <w:rPr>
          <w:lang w:val="x-none" w:eastAsia="en-AU"/>
        </w:rPr>
        <w:t xml:space="preserve"> greatly exacerbated </w:t>
      </w:r>
      <w:r>
        <w:rPr>
          <w:lang w:eastAsia="en-AU"/>
        </w:rPr>
        <w:t>when</w:t>
      </w:r>
      <w:r>
        <w:rPr>
          <w:lang w:val="x-none" w:eastAsia="en-AU"/>
        </w:rPr>
        <w:t xml:space="preserve"> a consignment </w:t>
      </w:r>
      <w:r>
        <w:rPr>
          <w:lang w:eastAsia="en-AU"/>
        </w:rPr>
        <w:t>has to</w:t>
      </w:r>
      <w:r>
        <w:rPr>
          <w:lang w:val="x-none" w:eastAsia="en-AU"/>
        </w:rPr>
        <w:t xml:space="preserve"> pass three separate tests</w:t>
      </w:r>
      <w:r>
        <w:rPr>
          <w:lang w:eastAsia="en-AU"/>
        </w:rPr>
        <w:t>. This is called</w:t>
      </w:r>
      <w:r>
        <w:rPr>
          <w:lang w:val="x-none" w:eastAsia="en-AU"/>
        </w:rPr>
        <w:t xml:space="preserve"> parallel test interpretation (positive to any one of the tests is a fail)</w:t>
      </w:r>
      <w:r>
        <w:rPr>
          <w:lang w:eastAsia="en-AU"/>
        </w:rPr>
        <w:t>.</w:t>
      </w:r>
      <w:r>
        <w:rPr>
          <w:lang w:val="x-none" w:eastAsia="en-AU"/>
        </w:rPr>
        <w:t xml:space="preserve"> </w:t>
      </w:r>
      <w:r>
        <w:rPr>
          <w:lang w:eastAsia="en-AU"/>
        </w:rPr>
        <w:t>I</w:t>
      </w:r>
      <w:r>
        <w:rPr>
          <w:lang w:val="x-none" w:eastAsia="en-AU"/>
        </w:rPr>
        <w:t xml:space="preserve">n parallel </w:t>
      </w:r>
      <w:r>
        <w:rPr>
          <w:lang w:eastAsia="en-AU"/>
        </w:rPr>
        <w:t xml:space="preserve">test </w:t>
      </w:r>
      <w:r>
        <w:rPr>
          <w:lang w:val="x-none" w:eastAsia="en-AU"/>
        </w:rPr>
        <w:t>interpretation</w:t>
      </w:r>
      <w:r>
        <w:rPr>
          <w:lang w:eastAsia="en-AU"/>
        </w:rPr>
        <w:t>,</w:t>
      </w:r>
      <w:r>
        <w:rPr>
          <w:lang w:val="x-none" w:eastAsia="en-AU"/>
        </w:rPr>
        <w:t xml:space="preserve"> sensitivity is increased but specificity is reduced.</w:t>
      </w:r>
      <w:r>
        <w:rPr>
          <w:lang w:eastAsia="en-AU"/>
        </w:rPr>
        <w:t xml:space="preserve"> The </w:t>
      </w:r>
      <w:r>
        <w:rPr>
          <w:szCs w:val="24"/>
        </w:rPr>
        <w:t>interim 2008 import conditions did not include</w:t>
      </w:r>
      <w:r>
        <w:rPr>
          <w:lang w:eastAsia="en-AU"/>
        </w:rPr>
        <w:t xml:space="preserve"> IHHNV on the list of diseases to be tested for, so problems associated with </w:t>
      </w:r>
      <w:r>
        <w:rPr>
          <w:lang w:val="x-none" w:eastAsia="en-AU"/>
        </w:rPr>
        <w:t>parallel test interpretation</w:t>
      </w:r>
      <w:r>
        <w:rPr>
          <w:lang w:eastAsia="en-AU"/>
        </w:rPr>
        <w:t xml:space="preserve"> were not as great as they could have been.</w:t>
      </w:r>
    </w:p>
    <w:p w14:paraId="58730DDB" w14:textId="4AF90468" w:rsidR="00CC703E" w:rsidRDefault="00E37FDB" w:rsidP="0087638C">
      <w:pPr>
        <w:pStyle w:val="Heading4"/>
      </w:pPr>
      <w:r>
        <w:t>Testing prawns for WSSV</w:t>
      </w:r>
      <w:r w:rsidR="00381EBA">
        <w:t xml:space="preserve"> by polymerase chain reaction (PCR) tests</w:t>
      </w:r>
    </w:p>
    <w:p w14:paraId="03217B2D" w14:textId="3A59C89C" w:rsidR="005412BF" w:rsidRPr="00E95C02" w:rsidRDefault="005412BF" w:rsidP="00E95C02">
      <w:pPr>
        <w:autoSpaceDE w:val="0"/>
        <w:autoSpaceDN w:val="0"/>
        <w:adjustRightInd w:val="0"/>
        <w:spacing w:after="0"/>
        <w:rPr>
          <w:lang w:val="x-none" w:eastAsia="en-AU"/>
        </w:rPr>
      </w:pPr>
      <w:bookmarkStart w:id="134" w:name="_Ref497229808"/>
      <w:r w:rsidRPr="00E95C02">
        <w:rPr>
          <w:lang w:val="x-none" w:eastAsia="en-AU"/>
        </w:rPr>
        <w:t>The PCR technique was developed in the 1980s and early 1990s and is known as conventional PCR. A modification to improve sensitivity and specificity involves two successive runs of PCR, the second set amplifying a secondary target within the first run product. This is known as a “nested PCR”. In the mid 1990s it was also realised that the PCR reaction could be monitored using a fluorescent label bound to the accumulating PCR product. This fluorescence could be measured “in real time” thus is known as quantitative real time</w:t>
      </w:r>
      <w:r w:rsidR="008E3C32" w:rsidRPr="00E95C02">
        <w:rPr>
          <w:lang w:val="x-none" w:eastAsia="en-AU"/>
        </w:rPr>
        <w:t xml:space="preserve"> (RT)</w:t>
      </w:r>
      <w:r w:rsidRPr="00E95C02">
        <w:rPr>
          <w:lang w:val="x-none" w:eastAsia="en-AU"/>
        </w:rPr>
        <w:t xml:space="preserve"> or qPCR.</w:t>
      </w:r>
    </w:p>
    <w:p w14:paraId="50E770C3" w14:textId="79E2BEC0" w:rsidR="00CC703E" w:rsidRDefault="00E37FDB">
      <w:pPr>
        <w:pStyle w:val="Caption"/>
        <w:rPr>
          <w:b w:val="0"/>
          <w:sz w:val="22"/>
          <w:lang w:eastAsia="en-AU"/>
        </w:rPr>
      </w:pPr>
      <w:bookmarkStart w:id="135" w:name="_Ref498371903"/>
      <w:r>
        <w:lastRenderedPageBreak/>
        <w:t xml:space="preserve">Box </w:t>
      </w:r>
      <w:r w:rsidR="00F329C0">
        <w:fldChar w:fldCharType="begin"/>
      </w:r>
      <w:r w:rsidR="00F329C0">
        <w:instrText xml:space="preserve"> SEQ Box \* ARABIC </w:instrText>
      </w:r>
      <w:r w:rsidR="00F329C0">
        <w:fldChar w:fldCharType="separate"/>
      </w:r>
      <w:r w:rsidR="00121BC1">
        <w:rPr>
          <w:noProof/>
        </w:rPr>
        <w:t>3</w:t>
      </w:r>
      <w:r w:rsidR="00F329C0">
        <w:rPr>
          <w:noProof/>
        </w:rPr>
        <w:fldChar w:fldCharType="end"/>
      </w:r>
      <w:bookmarkEnd w:id="134"/>
      <w:bookmarkEnd w:id="135"/>
      <w:r>
        <w:t xml:space="preserve"> Quantitative polymerase chain reaction</w:t>
      </w:r>
      <w:r w:rsidR="00381EBA">
        <w:t xml:space="preserve"> (qPCR)</w:t>
      </w:r>
      <w:r>
        <w:t xml:space="preserve"> test for white spot syndrome virus</w:t>
      </w:r>
    </w:p>
    <w:tbl>
      <w:tblPr>
        <w:tblStyle w:val="TableGrid"/>
        <w:tblW w:w="0" w:type="auto"/>
        <w:tblLook w:val="04A0" w:firstRow="1" w:lastRow="0" w:firstColumn="1" w:lastColumn="0" w:noHBand="0" w:noVBand="1"/>
      </w:tblPr>
      <w:tblGrid>
        <w:gridCol w:w="9402"/>
      </w:tblGrid>
      <w:tr w:rsidR="00CC703E" w14:paraId="5C0D1FDB" w14:textId="77777777">
        <w:tc>
          <w:tcPr>
            <w:tcW w:w="9402" w:type="dxa"/>
          </w:tcPr>
          <w:p w14:paraId="59DDB963" w14:textId="05FE5C18" w:rsidR="00CC703E" w:rsidRDefault="00E37FDB">
            <w:pPr>
              <w:pStyle w:val="Tabletext"/>
              <w:rPr>
                <w:sz w:val="22"/>
                <w:lang w:eastAsia="en-AU"/>
              </w:rPr>
            </w:pPr>
            <w:r>
              <w:rPr>
                <w:sz w:val="22"/>
                <w:lang w:eastAsia="en-AU"/>
              </w:rPr>
              <w:t>Prawns are tested for WSSV by the quantitative</w:t>
            </w:r>
            <w:r w:rsidR="005412BF">
              <w:rPr>
                <w:sz w:val="22"/>
                <w:lang w:eastAsia="en-AU"/>
              </w:rPr>
              <w:t xml:space="preserve"> real time</w:t>
            </w:r>
            <w:r>
              <w:rPr>
                <w:sz w:val="22"/>
                <w:lang w:eastAsia="en-AU"/>
              </w:rPr>
              <w:t xml:space="preserve"> (q)PCR. This involves preparing a sample of DNA from prawns in a solution containing tiny fragments of a single strand of target viral DNA (known as a primer or probe) and precursor chemicals for building DNA (a ‘mastermix’). This mixture is put through a series of heating and cooling cycles. As the solution is heated, the existing DNA in the sample uncoils and if any matching DNA is present, the primer will bind to the targeted DNA uncoiled strand. An enzyme called polymerase detects the newly bound primer/target DNA compound and at each heating and cooling cycle this enzyme exponentially amplifies or doubles the targeted DNA </w:t>
            </w:r>
            <w:r w:rsidR="003800B6">
              <w:rPr>
                <w:sz w:val="22"/>
                <w:lang w:eastAsia="en-AU"/>
              </w:rPr>
              <w:t>(a ‘chain reaction’)</w:t>
            </w:r>
            <w:r w:rsidR="00E95C02">
              <w:rPr>
                <w:sz w:val="22"/>
                <w:lang w:eastAsia="en-AU"/>
              </w:rPr>
              <w:t xml:space="preserve"> </w:t>
            </w:r>
            <w:r>
              <w:rPr>
                <w:sz w:val="22"/>
                <w:lang w:eastAsia="en-AU"/>
              </w:rPr>
              <w:t>and causes the release of a fluorescent compound.</w:t>
            </w:r>
          </w:p>
          <w:p w14:paraId="2A1DEEEC" w14:textId="260C8E9C" w:rsidR="00CC703E" w:rsidRPr="008E3C32" w:rsidRDefault="00E37FDB">
            <w:pPr>
              <w:pStyle w:val="Tabletext"/>
              <w:rPr>
                <w:sz w:val="22"/>
                <w:lang w:val="en-NZ" w:eastAsia="en-AU"/>
              </w:rPr>
            </w:pPr>
            <w:r>
              <w:rPr>
                <w:sz w:val="22"/>
                <w:lang w:eastAsia="en-AU"/>
              </w:rPr>
              <w:t>The testing machine detects the increasing fluorescent signal, and when this crosses a threshold (the cycle threshold or C</w:t>
            </w:r>
            <w:r>
              <w:rPr>
                <w:vertAlign w:val="subscript"/>
              </w:rPr>
              <w:t>t</w:t>
            </w:r>
            <w:r>
              <w:rPr>
                <w:sz w:val="22"/>
                <w:lang w:eastAsia="en-AU"/>
              </w:rPr>
              <w:t xml:space="preserve"> value) calculated by the </w:t>
            </w:r>
            <w:r w:rsidR="005412BF">
              <w:rPr>
                <w:sz w:val="22"/>
                <w:lang w:eastAsia="en-AU"/>
              </w:rPr>
              <w:t>PCR system software</w:t>
            </w:r>
            <w:r>
              <w:rPr>
                <w:sz w:val="22"/>
                <w:lang w:eastAsia="en-AU"/>
              </w:rPr>
              <w:t xml:space="preserve">, the sample is considered WSSV positive. If no signal is detected or it does not reach the threshold, the sample is considered WSSV negative. </w:t>
            </w:r>
            <w:r>
              <w:rPr>
                <w:sz w:val="22"/>
                <w:lang w:val="en-NZ" w:eastAsia="en-AU"/>
              </w:rPr>
              <w:t xml:space="preserve">Because the primer is tiny and will only bind with an exactly (or almost exactly) matching </w:t>
            </w:r>
            <w:r w:rsidRPr="008E3C32">
              <w:rPr>
                <w:sz w:val="22"/>
                <w:lang w:val="en-NZ" w:eastAsia="en-AU"/>
              </w:rPr>
              <w:t>DNA sequence, PCR can detect tiny fragments of target DNA in a sample.</w:t>
            </w:r>
          </w:p>
          <w:p w14:paraId="5963930C" w14:textId="5EC095E5" w:rsidR="00CC703E" w:rsidRDefault="003800B6" w:rsidP="006002C1">
            <w:pPr>
              <w:pStyle w:val="Tabletext"/>
              <w:rPr>
                <w:lang w:val="en" w:eastAsia="en-AU"/>
              </w:rPr>
            </w:pPr>
            <w:r w:rsidRPr="00E95C02">
              <w:rPr>
                <w:sz w:val="22"/>
                <w:lang w:eastAsia="en-AU"/>
              </w:rPr>
              <w:t>The higher the C</w:t>
            </w:r>
            <w:r w:rsidRPr="00E95C02">
              <w:rPr>
                <w:sz w:val="22"/>
                <w:vertAlign w:val="subscript"/>
              </w:rPr>
              <w:t>t</w:t>
            </w:r>
            <w:r w:rsidRPr="00E95C02">
              <w:rPr>
                <w:sz w:val="22"/>
                <w:lang w:eastAsia="en-AU"/>
              </w:rPr>
              <w:t xml:space="preserve"> value found in a qPCR test, the lower the amount of viral DNA present in the sample. </w:t>
            </w:r>
            <w:r w:rsidRPr="00E95C02">
              <w:rPr>
                <w:sz w:val="22"/>
                <w:lang w:val="en" w:eastAsia="en-AU"/>
              </w:rPr>
              <w:t xml:space="preserve">Running the qPCR for more cycles may increase the sensitivity—picking up and amplifying very tiny DNA fragments—but eventually decrease the specificity of the test, due to </w:t>
            </w:r>
            <w:r w:rsidRPr="00E95C02">
              <w:rPr>
                <w:sz w:val="22"/>
                <w:lang w:val="en-US" w:eastAsia="en-AU"/>
              </w:rPr>
              <w:t xml:space="preserve">amplification of non-target DNA, fluorescence caused by primer-primer interaction </w:t>
            </w:r>
            <w:r w:rsidRPr="00E95C02">
              <w:rPr>
                <w:sz w:val="22"/>
                <w:lang w:val="en" w:eastAsia="en-AU"/>
              </w:rPr>
              <w:t>or increasing machine errors</w:t>
            </w:r>
            <w:r w:rsidR="00C0065B">
              <w:rPr>
                <w:sz w:val="22"/>
                <w:vertAlign w:val="superscript"/>
                <w:lang w:eastAsia="en-AU"/>
              </w:rPr>
              <w:t>12</w:t>
            </w:r>
            <w:r w:rsidR="006002C1">
              <w:rPr>
                <w:sz w:val="22"/>
                <w:vertAlign w:val="superscript"/>
                <w:lang w:eastAsia="en-AU"/>
              </w:rPr>
              <w:t>1</w:t>
            </w:r>
            <w:r w:rsidR="00416327">
              <w:rPr>
                <w:sz w:val="22"/>
                <w:vertAlign w:val="superscript"/>
                <w:lang w:eastAsia="en-AU"/>
              </w:rPr>
              <w:t>,</w:t>
            </w:r>
            <w:r w:rsidR="00416327" w:rsidRPr="00416327">
              <w:rPr>
                <w:rFonts w:eastAsia="Calibri"/>
                <w:sz w:val="24"/>
                <w:vertAlign w:val="superscript"/>
                <w:lang w:eastAsia="en-AU"/>
              </w:rPr>
              <w:t xml:space="preserve"> </w:t>
            </w:r>
            <w:r w:rsidR="00C0065B">
              <w:rPr>
                <w:sz w:val="22"/>
                <w:vertAlign w:val="superscript"/>
                <w:lang w:eastAsia="en-AU"/>
              </w:rPr>
              <w:t>12</w:t>
            </w:r>
            <w:r w:rsidR="006002C1">
              <w:rPr>
                <w:sz w:val="22"/>
                <w:vertAlign w:val="superscript"/>
                <w:lang w:eastAsia="en-AU"/>
              </w:rPr>
              <w:t>2</w:t>
            </w:r>
            <w:r w:rsidR="00416327">
              <w:rPr>
                <w:sz w:val="22"/>
                <w:vertAlign w:val="superscript"/>
                <w:lang w:eastAsia="en-AU"/>
              </w:rPr>
              <w:t>,</w:t>
            </w:r>
            <w:r w:rsidR="00416327" w:rsidRPr="00416327">
              <w:rPr>
                <w:rFonts w:eastAsia="Calibri"/>
                <w:sz w:val="24"/>
                <w:vertAlign w:val="superscript"/>
                <w:lang w:eastAsia="en-AU"/>
              </w:rPr>
              <w:t xml:space="preserve"> </w:t>
            </w:r>
            <w:r w:rsidR="00C0065B">
              <w:rPr>
                <w:sz w:val="22"/>
                <w:vertAlign w:val="superscript"/>
                <w:lang w:eastAsia="en-AU"/>
              </w:rPr>
              <w:t>12</w:t>
            </w:r>
            <w:r w:rsidR="006002C1">
              <w:rPr>
                <w:sz w:val="22"/>
                <w:vertAlign w:val="superscript"/>
                <w:lang w:eastAsia="en-AU"/>
              </w:rPr>
              <w:t>3</w:t>
            </w:r>
            <w:r w:rsidRPr="00E95C02">
              <w:rPr>
                <w:sz w:val="22"/>
                <w:lang w:val="en" w:eastAsia="en-AU"/>
              </w:rPr>
              <w:t>.</w:t>
            </w:r>
            <w:r w:rsidR="00E95C02">
              <w:rPr>
                <w:sz w:val="22"/>
                <w:lang w:val="en" w:eastAsia="en-AU"/>
              </w:rPr>
              <w:t xml:space="preserve"> </w:t>
            </w:r>
            <w:r w:rsidR="00E37FDB" w:rsidRPr="008E3C32">
              <w:rPr>
                <w:sz w:val="22"/>
                <w:lang w:val="en" w:eastAsia="en-AU"/>
              </w:rPr>
              <w:t xml:space="preserve">To </w:t>
            </w:r>
            <w:r w:rsidR="00E37FDB" w:rsidRPr="008E3C32">
              <w:rPr>
                <w:sz w:val="22"/>
                <w:lang w:eastAsia="en-AU"/>
              </w:rPr>
              <w:t>determine</w:t>
            </w:r>
            <w:r w:rsidR="00E37FDB" w:rsidRPr="008E3C32">
              <w:rPr>
                <w:sz w:val="22"/>
                <w:lang w:val="en" w:eastAsia="en-AU"/>
              </w:rPr>
              <w:t xml:space="preserve"> how many virus copies were in the tested sample, the sample is subjected to PCR reaction alongside a serially diluted synthetic DNA</w:t>
            </w:r>
            <w:r w:rsidR="00E37FDB">
              <w:rPr>
                <w:sz w:val="22"/>
                <w:lang w:val="en" w:eastAsia="en-AU"/>
              </w:rPr>
              <w:t xml:space="preserve"> standard. After reaction, the PCR system software automatically determines the C</w:t>
            </w:r>
            <w:r w:rsidR="00E37FDB">
              <w:rPr>
                <w:vertAlign w:val="subscript"/>
              </w:rPr>
              <w:t>t</w:t>
            </w:r>
            <w:r w:rsidR="00E37FDB">
              <w:rPr>
                <w:sz w:val="22"/>
                <w:lang w:val="en" w:eastAsia="en-AU"/>
              </w:rPr>
              <w:t xml:space="preserve"> value for each PCR sample. Based on the C</w:t>
            </w:r>
            <w:r w:rsidR="00E37FDB">
              <w:rPr>
                <w:vertAlign w:val="subscript"/>
              </w:rPr>
              <w:t>t</w:t>
            </w:r>
            <w:r w:rsidR="00E37FDB">
              <w:rPr>
                <w:sz w:val="22"/>
                <w:lang w:val="en" w:eastAsia="en-AU"/>
              </w:rPr>
              <w:t xml:space="preserve"> values, the software calculates the standard curve for standard dilution and determines the WSSV copy number for the DNA samples by extrapolating values from the standard curve.</w:t>
            </w:r>
          </w:p>
        </w:tc>
      </w:tr>
    </w:tbl>
    <w:p w14:paraId="39110A74" w14:textId="148E0700" w:rsidR="00B97BF4" w:rsidRDefault="00B97BF4" w:rsidP="0093504A">
      <w:pPr>
        <w:spacing w:before="240" w:after="0"/>
        <w:rPr>
          <w:lang w:eastAsia="en-AU"/>
        </w:rPr>
      </w:pPr>
      <w:r>
        <w:t>In 2007 the department sought expressions of interest to test imported prawns at the border using PCR methods recommended by the OIE.</w:t>
      </w:r>
      <w:r w:rsidR="00242B77">
        <w:t xml:space="preserve"> </w:t>
      </w:r>
      <w:r w:rsidRPr="00197604">
        <w:rPr>
          <w:lang w:eastAsia="en-AU"/>
        </w:rPr>
        <w:t>Most t</w:t>
      </w:r>
      <w:r>
        <w:rPr>
          <w:lang w:eastAsia="en-AU"/>
        </w:rPr>
        <w:t xml:space="preserve">ests recommended by the OIE are designed to support targeted surveillance and diagnosis for freedom from disease. </w:t>
      </w:r>
      <w:r>
        <w:rPr>
          <w:lang w:val="x-none" w:eastAsia="en-AU"/>
        </w:rPr>
        <w:t xml:space="preserve">The OIE tests for WSSV are published in </w:t>
      </w:r>
      <w:r w:rsidR="00907747" w:rsidRPr="00932FC2">
        <w:rPr>
          <w:lang w:val="x-none" w:eastAsia="en-AU"/>
        </w:rPr>
        <w:t xml:space="preserve">chapter 2.2.8 of </w:t>
      </w:r>
      <w:r w:rsidR="003800B6" w:rsidRPr="00932FC2">
        <w:rPr>
          <w:lang w:val="x-none" w:eastAsia="en-AU"/>
        </w:rPr>
        <w:t>its</w:t>
      </w:r>
      <w:r>
        <w:rPr>
          <w:lang w:val="x-none" w:eastAsia="en-AU"/>
        </w:rPr>
        <w:t xml:space="preserve"> </w:t>
      </w:r>
      <w:r w:rsidR="00932FC2" w:rsidRPr="00932FC2">
        <w:rPr>
          <w:i/>
        </w:rPr>
        <w:t>Manual of diagnostic tests for aquatic animals</w:t>
      </w:r>
      <w:r w:rsidR="00D424B1" w:rsidRPr="00EE28E4">
        <w:rPr>
          <w:rStyle w:val="Hyperlink"/>
          <w:color w:val="auto"/>
          <w:u w:val="none"/>
          <w:vertAlign w:val="superscript"/>
        </w:rPr>
        <w:t>60</w:t>
      </w:r>
      <w:r w:rsidR="00E95C02">
        <w:t xml:space="preserve">. </w:t>
      </w:r>
      <w:r w:rsidR="0095120F" w:rsidRPr="00E95C02">
        <w:rPr>
          <w:lang w:eastAsia="en-AU"/>
        </w:rPr>
        <w:t>As</w:t>
      </w:r>
      <w:r w:rsidR="0095120F">
        <w:rPr>
          <w:lang w:eastAsia="en-AU"/>
        </w:rPr>
        <w:t xml:space="preserve"> of November 2016, t</w:t>
      </w:r>
      <w:r>
        <w:rPr>
          <w:lang w:eastAsia="en-AU"/>
        </w:rPr>
        <w:t>he OIE refer</w:t>
      </w:r>
      <w:r w:rsidR="0095120F">
        <w:rPr>
          <w:lang w:eastAsia="en-AU"/>
        </w:rPr>
        <w:t>red</w:t>
      </w:r>
      <w:r>
        <w:rPr>
          <w:lang w:eastAsia="en-AU"/>
        </w:rPr>
        <w:t xml:space="preserve"> to the following </w:t>
      </w:r>
      <w:r w:rsidRPr="00E95C02">
        <w:rPr>
          <w:lang w:eastAsia="en-AU"/>
        </w:rPr>
        <w:t>PCR</w:t>
      </w:r>
      <w:r>
        <w:rPr>
          <w:lang w:eastAsia="en-AU"/>
        </w:rPr>
        <w:t xml:space="preserve"> tests for WSSV:</w:t>
      </w:r>
    </w:p>
    <w:p w14:paraId="5DCACACC" w14:textId="518BBBD9" w:rsidR="00B97BF4" w:rsidRPr="00D248D8" w:rsidRDefault="00B97BF4" w:rsidP="00FC3200">
      <w:pPr>
        <w:pStyle w:val="ListBullet"/>
        <w:rPr>
          <w:lang w:val="x-none" w:eastAsia="en-AU"/>
        </w:rPr>
      </w:pPr>
      <w:r>
        <w:rPr>
          <w:lang w:eastAsia="en-AU"/>
        </w:rPr>
        <w:t xml:space="preserve">Two-step </w:t>
      </w:r>
      <w:r w:rsidRPr="00E95C02">
        <w:rPr>
          <w:lang w:eastAsia="en-AU"/>
        </w:rPr>
        <w:t>PCR</w:t>
      </w:r>
      <w:r>
        <w:rPr>
          <w:lang w:eastAsia="en-AU"/>
        </w:rPr>
        <w:t xml:space="preserve"> test called a ‘nested PCR’, described by Lo et al.</w:t>
      </w:r>
      <w:r w:rsidR="00FB2946">
        <w:rPr>
          <w:lang w:eastAsia="en-AU"/>
        </w:rPr>
        <w:t xml:space="preserve"> </w:t>
      </w:r>
      <w:r>
        <w:rPr>
          <w:lang w:eastAsia="en-AU"/>
        </w:rPr>
        <w:t>in 1996</w:t>
      </w:r>
      <w:r w:rsidR="00D424B1">
        <w:rPr>
          <w:vertAlign w:val="superscript"/>
          <w:lang w:eastAsia="en-AU"/>
        </w:rPr>
        <w:t>12</w:t>
      </w:r>
      <w:r w:rsidR="006002C1">
        <w:rPr>
          <w:vertAlign w:val="superscript"/>
          <w:lang w:eastAsia="en-AU"/>
        </w:rPr>
        <w:t>4</w:t>
      </w:r>
      <w:r>
        <w:rPr>
          <w:lang w:eastAsia="en-AU"/>
        </w:rPr>
        <w:t xml:space="preserve">. This test is commonly used by prawn farmers in South-East Asia to test for WSSV in post-larvae (PLs) </w:t>
      </w:r>
      <w:r w:rsidRPr="00D248D8">
        <w:rPr>
          <w:lang w:eastAsia="en-AU"/>
        </w:rPr>
        <w:t>prawns at the hatchery. PLs that are positive at the first step have a heavy viral load, meaning they are likely to succumb to WSD before harvest. PLs that are only positive at the second step—called ‘one-step negative two-step positive PLs’—are safer to use because the low level of virus detected by the two-step nested PCR ensures that a successful harvest can be achieved before an outbreak occurs</w:t>
      </w:r>
      <w:r w:rsidR="00D424B1">
        <w:rPr>
          <w:vertAlign w:val="superscript"/>
          <w:lang w:eastAsia="en-AU"/>
        </w:rPr>
        <w:t>60</w:t>
      </w:r>
      <w:r w:rsidRPr="00D248D8">
        <w:rPr>
          <w:lang w:eastAsia="en-AU"/>
        </w:rPr>
        <w:t>. The second step will detect 50 WSSV copies per 10 ng of total DNA.</w:t>
      </w:r>
    </w:p>
    <w:p w14:paraId="47D2D8F6" w14:textId="78B258E8" w:rsidR="00B97BF4" w:rsidRPr="00D248D8" w:rsidRDefault="00B97BF4" w:rsidP="00FC3200">
      <w:pPr>
        <w:pStyle w:val="ListBullet"/>
        <w:rPr>
          <w:lang w:val="x-none" w:eastAsia="en-AU"/>
        </w:rPr>
      </w:pPr>
      <w:r w:rsidRPr="00D248D8">
        <w:rPr>
          <w:lang w:eastAsia="en-AU"/>
        </w:rPr>
        <w:t>‘</w:t>
      </w:r>
      <w:r w:rsidRPr="00D248D8">
        <w:rPr>
          <w:lang w:val="x-none" w:eastAsia="en-AU"/>
        </w:rPr>
        <w:t>TaqMan® qPCR</w:t>
      </w:r>
      <w:r w:rsidRPr="00D248D8">
        <w:rPr>
          <w:lang w:eastAsia="en-AU"/>
        </w:rPr>
        <w:t>’,</w:t>
      </w:r>
      <w:r w:rsidRPr="00D248D8">
        <w:rPr>
          <w:lang w:val="x-none" w:eastAsia="en-AU"/>
        </w:rPr>
        <w:t xml:space="preserve"> </w:t>
      </w:r>
      <w:r w:rsidRPr="00D248D8">
        <w:rPr>
          <w:lang w:eastAsia="en-AU"/>
        </w:rPr>
        <w:t>described by Durand and Lightner in 2002</w:t>
      </w:r>
      <w:r w:rsidR="006002C1">
        <w:rPr>
          <w:vertAlign w:val="superscript"/>
          <w:lang w:eastAsia="en-AU"/>
        </w:rPr>
        <w:t>25</w:t>
      </w:r>
      <w:r w:rsidRPr="00D248D8">
        <w:rPr>
          <w:lang w:eastAsia="en-AU"/>
        </w:rPr>
        <w:t>, and now generally referred to as ‘the OIE test’ or ‘the OIE TaqMan® test’. This test is extremely sensitive and will</w:t>
      </w:r>
      <w:r w:rsidRPr="00D248D8">
        <w:rPr>
          <w:lang w:val="en" w:eastAsia="en-AU"/>
        </w:rPr>
        <w:t xml:space="preserve"> detect as little as four WSSV copies per 10 ng of total DNA</w:t>
      </w:r>
      <w:r w:rsidRPr="00D248D8">
        <w:rPr>
          <w:lang w:eastAsia="en-AU"/>
        </w:rPr>
        <w:t>.</w:t>
      </w:r>
    </w:p>
    <w:p w14:paraId="7EDA41EF" w14:textId="29C19086" w:rsidR="00B97BF4" w:rsidRPr="00D248D8" w:rsidRDefault="00B97BF4" w:rsidP="00FC3200">
      <w:pPr>
        <w:pStyle w:val="ListBullet"/>
        <w:rPr>
          <w:lang w:val="x-none" w:eastAsia="en-AU"/>
        </w:rPr>
      </w:pPr>
      <w:r w:rsidRPr="00D248D8">
        <w:rPr>
          <w:lang w:val="x-none" w:eastAsia="en-AU"/>
        </w:rPr>
        <w:t>IQ2000 kit</w:t>
      </w:r>
      <w:r w:rsidR="00D424B1">
        <w:rPr>
          <w:vertAlign w:val="superscript"/>
          <w:lang w:eastAsia="en-AU"/>
        </w:rPr>
        <w:t>12</w:t>
      </w:r>
      <w:r w:rsidR="006002C1">
        <w:rPr>
          <w:vertAlign w:val="superscript"/>
          <w:lang w:eastAsia="en-AU"/>
        </w:rPr>
        <w:t>5</w:t>
      </w:r>
      <w:r w:rsidRPr="00D248D8">
        <w:rPr>
          <w:lang w:eastAsia="en-AU"/>
        </w:rPr>
        <w:t>, a</w:t>
      </w:r>
      <w:r w:rsidRPr="00D248D8">
        <w:rPr>
          <w:lang w:val="x-none" w:eastAsia="en-AU"/>
        </w:rPr>
        <w:t xml:space="preserve"> commercial kit</w:t>
      </w:r>
      <w:r w:rsidRPr="00D248D8">
        <w:rPr>
          <w:lang w:eastAsia="en-AU"/>
        </w:rPr>
        <w:t xml:space="preserve"> that </w:t>
      </w:r>
      <w:r w:rsidRPr="00D248D8">
        <w:rPr>
          <w:lang w:val="x-none" w:eastAsia="en-AU"/>
        </w:rPr>
        <w:t>has been validated and approved as a test by the OIE but does not appear to be in use in Australia.</w:t>
      </w:r>
    </w:p>
    <w:p w14:paraId="16207599" w14:textId="4CBD68C7" w:rsidR="00B97BF4" w:rsidRDefault="00B97BF4" w:rsidP="00B97BF4">
      <w:pPr>
        <w:autoSpaceDE w:val="0"/>
        <w:autoSpaceDN w:val="0"/>
        <w:adjustRightInd w:val="0"/>
        <w:spacing w:after="0"/>
        <w:rPr>
          <w:lang w:val="x-none" w:eastAsia="en-AU"/>
        </w:rPr>
      </w:pPr>
      <w:r w:rsidRPr="00D248D8">
        <w:rPr>
          <w:lang w:val="x-none" w:eastAsia="en-AU"/>
        </w:rPr>
        <w:lastRenderedPageBreak/>
        <w:t xml:space="preserve">The </w:t>
      </w:r>
      <w:r w:rsidRPr="00D248D8">
        <w:rPr>
          <w:lang w:eastAsia="en-AU"/>
        </w:rPr>
        <w:t>nested and q</w:t>
      </w:r>
      <w:r w:rsidRPr="00D248D8">
        <w:rPr>
          <w:lang w:val="x-none" w:eastAsia="en-AU"/>
        </w:rPr>
        <w:t xml:space="preserve">PCR tests for WSSV have not been </w:t>
      </w:r>
      <w:r w:rsidRPr="00D248D8">
        <w:rPr>
          <w:lang w:eastAsia="en-AU"/>
        </w:rPr>
        <w:t xml:space="preserve">put </w:t>
      </w:r>
      <w:r>
        <w:rPr>
          <w:lang w:eastAsia="en-AU"/>
        </w:rPr>
        <w:t xml:space="preserve">through a </w:t>
      </w:r>
      <w:r>
        <w:rPr>
          <w:lang w:val="x-none" w:eastAsia="en-AU"/>
        </w:rPr>
        <w:t>formal validat</w:t>
      </w:r>
      <w:r>
        <w:rPr>
          <w:lang w:eastAsia="en-AU"/>
        </w:rPr>
        <w:t>ion process</w:t>
      </w:r>
      <w:r>
        <w:rPr>
          <w:lang w:val="x-none" w:eastAsia="en-AU"/>
        </w:rPr>
        <w:t xml:space="preserve"> by</w:t>
      </w:r>
      <w:r>
        <w:rPr>
          <w:lang w:eastAsia="en-AU"/>
        </w:rPr>
        <w:t xml:space="preserve"> the </w:t>
      </w:r>
      <w:r>
        <w:rPr>
          <w:lang w:val="x-none" w:eastAsia="en-AU"/>
        </w:rPr>
        <w:t xml:space="preserve">OIE but </w:t>
      </w:r>
      <w:r>
        <w:rPr>
          <w:lang w:eastAsia="en-AU"/>
        </w:rPr>
        <w:t>have been</w:t>
      </w:r>
      <w:r>
        <w:rPr>
          <w:lang w:val="x-none" w:eastAsia="en-AU"/>
        </w:rPr>
        <w:t xml:space="preserve"> in wide use</w:t>
      </w:r>
      <w:r>
        <w:rPr>
          <w:lang w:eastAsia="en-AU"/>
        </w:rPr>
        <w:t xml:space="preserve"> internationally for many years without reported problems</w:t>
      </w:r>
      <w:r>
        <w:rPr>
          <w:lang w:val="x-none" w:eastAsia="en-AU"/>
        </w:rPr>
        <w:t>.</w:t>
      </w:r>
    </w:p>
    <w:p w14:paraId="764C2726" w14:textId="2DCB42A6" w:rsidR="00B97BF4" w:rsidRDefault="00B97BF4" w:rsidP="00B97BF4">
      <w:pPr>
        <w:autoSpaceDE w:val="0"/>
        <w:autoSpaceDN w:val="0"/>
        <w:adjustRightInd w:val="0"/>
        <w:spacing w:after="0"/>
        <w:rPr>
          <w:lang w:eastAsia="en-AU"/>
        </w:rPr>
      </w:pPr>
      <w:r>
        <w:rPr>
          <w:lang w:eastAsia="en-AU"/>
        </w:rPr>
        <w:t>Before the OIE TaqMan® test was developed, AAHL had developed an in-house real-time WSSV qPCR assay (‘the CSIRO WSSV qPCR test’ or ‘the AAHL test’)</w:t>
      </w:r>
      <w:r w:rsidR="00D424B1">
        <w:rPr>
          <w:vertAlign w:val="superscript"/>
          <w:lang w:eastAsia="en-AU"/>
        </w:rPr>
        <w:t>12</w:t>
      </w:r>
      <w:r w:rsidR="006002C1">
        <w:rPr>
          <w:vertAlign w:val="superscript"/>
          <w:lang w:eastAsia="en-AU"/>
        </w:rPr>
        <w:t>6</w:t>
      </w:r>
      <w:r>
        <w:rPr>
          <w:lang w:eastAsia="en-AU"/>
        </w:rPr>
        <w:t xml:space="preserve">, which was more sensitive than the nested PCR. This AAHL test was used in the </w:t>
      </w:r>
      <w:r w:rsidRPr="00D248D8">
        <w:rPr>
          <w:lang w:eastAsia="en-AU"/>
        </w:rPr>
        <w:t>2002</w:t>
      </w:r>
      <w:r>
        <w:rPr>
          <w:lang w:eastAsia="en-AU"/>
        </w:rPr>
        <w:t xml:space="preserve"> survey </w:t>
      </w:r>
      <w:r w:rsidR="00E3620D">
        <w:rPr>
          <w:lang w:eastAsia="en-AU"/>
        </w:rPr>
        <w:t>(</w:t>
      </w:r>
      <w:r w:rsidR="00D248D8">
        <w:rPr>
          <w:lang w:eastAsia="en-AU"/>
        </w:rPr>
        <w:t>s</w:t>
      </w:r>
      <w:r w:rsidR="00E3620D">
        <w:rPr>
          <w:lang w:eastAsia="en-AU"/>
        </w:rPr>
        <w:t xml:space="preserve">ection 3.4) </w:t>
      </w:r>
      <w:r>
        <w:rPr>
          <w:lang w:eastAsia="en-AU"/>
        </w:rPr>
        <w:t>to prove WSSV freedom after the Darwin incident in 2000</w:t>
      </w:r>
      <w:r w:rsidR="00D424B1">
        <w:rPr>
          <w:vertAlign w:val="superscript"/>
          <w:lang w:eastAsia="en-AU"/>
        </w:rPr>
        <w:t>26</w:t>
      </w:r>
      <w:r>
        <w:rPr>
          <w:lang w:eastAsia="en-AU"/>
        </w:rPr>
        <w:t xml:space="preserve">. The primers used in this test identify a different part of the WSSV viral genome to the OIE test. </w:t>
      </w:r>
      <w:r>
        <w:rPr>
          <w:lang w:val="x-none" w:eastAsia="en-AU"/>
        </w:rPr>
        <w:t xml:space="preserve">This </w:t>
      </w:r>
      <w:r>
        <w:rPr>
          <w:lang w:eastAsia="en-AU"/>
        </w:rPr>
        <w:t xml:space="preserve">test </w:t>
      </w:r>
      <w:r>
        <w:rPr>
          <w:lang w:val="x-none" w:eastAsia="en-AU"/>
        </w:rPr>
        <w:t xml:space="preserve">is </w:t>
      </w:r>
      <w:r>
        <w:rPr>
          <w:lang w:eastAsia="en-AU"/>
        </w:rPr>
        <w:t xml:space="preserve">therefore </w:t>
      </w:r>
      <w:r>
        <w:rPr>
          <w:lang w:val="x-none" w:eastAsia="en-AU"/>
        </w:rPr>
        <w:t>not</w:t>
      </w:r>
      <w:r>
        <w:rPr>
          <w:lang w:eastAsia="en-AU"/>
        </w:rPr>
        <w:t xml:space="preserve"> strictly</w:t>
      </w:r>
      <w:r>
        <w:rPr>
          <w:lang w:val="x-none" w:eastAsia="en-AU"/>
        </w:rPr>
        <w:t xml:space="preserve"> </w:t>
      </w:r>
      <w:r>
        <w:rPr>
          <w:lang w:eastAsia="en-AU"/>
        </w:rPr>
        <w:t>‘</w:t>
      </w:r>
      <w:r>
        <w:rPr>
          <w:lang w:val="x-none" w:eastAsia="en-AU"/>
        </w:rPr>
        <w:t>equivalent to the OIE test</w:t>
      </w:r>
      <w:r>
        <w:rPr>
          <w:lang w:eastAsia="en-AU"/>
        </w:rPr>
        <w:t>’</w:t>
      </w:r>
      <w:r>
        <w:rPr>
          <w:lang w:val="x-none" w:eastAsia="en-AU"/>
        </w:rPr>
        <w:t xml:space="preserve"> specified by the 2009 IRA or by the </w:t>
      </w:r>
      <w:r>
        <w:rPr>
          <w:lang w:eastAsia="en-AU"/>
        </w:rPr>
        <w:t>department</w:t>
      </w:r>
      <w:r>
        <w:rPr>
          <w:lang w:val="x-none" w:eastAsia="en-AU"/>
        </w:rPr>
        <w:t xml:space="preserve"> in</w:t>
      </w:r>
      <w:r>
        <w:rPr>
          <w:lang w:eastAsia="en-AU"/>
        </w:rPr>
        <w:t xml:space="preserve"> its requirements for screening</w:t>
      </w:r>
      <w:r>
        <w:rPr>
          <w:lang w:val="x-none" w:eastAsia="en-AU"/>
        </w:rPr>
        <w:t xml:space="preserve"> laboratories.</w:t>
      </w:r>
      <w:r>
        <w:rPr>
          <w:lang w:eastAsia="en-AU"/>
        </w:rPr>
        <w:t xml:space="preserve"> However, </w:t>
      </w:r>
      <w:r w:rsidR="00A66F70">
        <w:rPr>
          <w:lang w:eastAsia="en-AU"/>
        </w:rPr>
        <w:t xml:space="preserve">up to 2017, </w:t>
      </w:r>
      <w:r>
        <w:rPr>
          <w:lang w:eastAsia="en-AU"/>
        </w:rPr>
        <w:t>AAHL continue</w:t>
      </w:r>
      <w:r w:rsidR="00A66F70">
        <w:rPr>
          <w:lang w:eastAsia="en-AU"/>
        </w:rPr>
        <w:t>d</w:t>
      </w:r>
      <w:r>
        <w:rPr>
          <w:lang w:eastAsia="en-AU"/>
        </w:rPr>
        <w:t xml:space="preserve"> to use this test and the OIE TaqMan® test in parallel to build the case for ‘equivalence’ between the two tests. According to AAHL, its test has very similar sensitivity to the OIE TaqMan® test.</w:t>
      </w:r>
    </w:p>
    <w:p w14:paraId="3BBC1CDB" w14:textId="4DD99097" w:rsidR="00A6453C" w:rsidRDefault="00A6453C" w:rsidP="00A6453C">
      <w:pPr>
        <w:autoSpaceDE w:val="0"/>
        <w:autoSpaceDN w:val="0"/>
        <w:adjustRightInd w:val="0"/>
        <w:spacing w:after="0"/>
        <w:rPr>
          <w:lang w:eastAsia="en-AU"/>
        </w:rPr>
      </w:pPr>
      <w:r>
        <w:rPr>
          <w:lang w:eastAsia="en-AU"/>
        </w:rPr>
        <w:t>Most testing conducted by AAHL involves detection of serious exotic and enzootic pathogens. This requires the use of the most sensitive testing methods. For this reason, AAHL does not apply any cut-off (C</w:t>
      </w:r>
      <w:r>
        <w:rPr>
          <w:vertAlign w:val="subscript"/>
        </w:rPr>
        <w:t>t</w:t>
      </w:r>
      <w:r w:rsidRPr="00E735C7">
        <w:t>)</w:t>
      </w:r>
      <w:r>
        <w:rPr>
          <w:lang w:eastAsia="en-AU"/>
        </w:rPr>
        <w:t xml:space="preserve"> value, meaning that any sample that generates a typical amplification curve (even if only one of two duplicate samples) is categorised as positive. </w:t>
      </w:r>
      <w:r w:rsidRPr="00435DB4">
        <w:rPr>
          <w:lang w:eastAsia="en-AU"/>
        </w:rPr>
        <w:t xml:space="preserve">The </w:t>
      </w:r>
      <w:r w:rsidRPr="00E735C7">
        <w:rPr>
          <w:lang w:eastAsia="en-AU"/>
        </w:rPr>
        <w:t>qPCR</w:t>
      </w:r>
      <w:r>
        <w:rPr>
          <w:lang w:eastAsia="en-AU"/>
        </w:rPr>
        <w:t xml:space="preserve"> tests are run for 45 cycles or more and any reaction occurring up to 45 cycles is reported as a positive. As prescribed by the OIE </w:t>
      </w:r>
      <w:r w:rsidR="00190893" w:rsidRPr="00190893">
        <w:rPr>
          <w:i/>
          <w:iCs/>
        </w:rPr>
        <w:t>Manual of diagnostic tests for aquatic animals</w:t>
      </w:r>
      <w:r w:rsidR="00D8346D" w:rsidRPr="00EE28E4">
        <w:rPr>
          <w:rStyle w:val="Hyperlink"/>
          <w:iCs/>
          <w:color w:val="auto"/>
          <w:u w:val="none"/>
          <w:vertAlign w:val="superscript"/>
        </w:rPr>
        <w:t>60</w:t>
      </w:r>
      <w:r>
        <w:rPr>
          <w:lang w:eastAsia="en-AU"/>
        </w:rPr>
        <w:t>, additional confirmation that very high C</w:t>
      </w:r>
      <w:r>
        <w:rPr>
          <w:vertAlign w:val="subscript"/>
        </w:rPr>
        <w:t>t</w:t>
      </w:r>
      <w:r>
        <w:rPr>
          <w:lang w:eastAsia="en-AU"/>
        </w:rPr>
        <w:t xml:space="preserve"> value results truly represent viral DNA is often undertaken by sequencing any amplicons (DNA fragments) detected.</w:t>
      </w:r>
    </w:p>
    <w:p w14:paraId="3AABC3C4" w14:textId="669358E0" w:rsidR="00A6453C" w:rsidRDefault="00A6453C" w:rsidP="00A6453C">
      <w:pPr>
        <w:autoSpaceDE w:val="0"/>
        <w:autoSpaceDN w:val="0"/>
        <w:adjustRightInd w:val="0"/>
        <w:spacing w:after="0"/>
        <w:rPr>
          <w:lang w:val="en" w:eastAsia="en-AU"/>
        </w:rPr>
      </w:pPr>
      <w:r>
        <w:rPr>
          <w:szCs w:val="24"/>
          <w:lang w:val="en-NZ" w:eastAsia="en-AU"/>
        </w:rPr>
        <w:t>T</w:t>
      </w:r>
      <w:r>
        <w:rPr>
          <w:szCs w:val="24"/>
          <w:lang w:eastAsia="en-AU"/>
        </w:rPr>
        <w:t>he OIE does not recommend a specific C</w:t>
      </w:r>
      <w:r>
        <w:rPr>
          <w:szCs w:val="24"/>
          <w:vertAlign w:val="subscript"/>
          <w:lang w:eastAsia="en-AU"/>
        </w:rPr>
        <w:t>t</w:t>
      </w:r>
      <w:r>
        <w:rPr>
          <w:szCs w:val="24"/>
          <w:lang w:eastAsia="en-AU"/>
        </w:rPr>
        <w:t xml:space="preserve"> value for real-time </w:t>
      </w:r>
      <w:r w:rsidRPr="00E735C7">
        <w:rPr>
          <w:szCs w:val="24"/>
          <w:lang w:eastAsia="en-AU"/>
        </w:rPr>
        <w:t>PCR</w:t>
      </w:r>
      <w:r>
        <w:rPr>
          <w:szCs w:val="24"/>
          <w:lang w:eastAsia="en-AU"/>
        </w:rPr>
        <w:t xml:space="preserve"> tests using the TaqMan® system</w:t>
      </w:r>
      <w:r>
        <w:rPr>
          <w:lang w:eastAsia="en-AU"/>
        </w:rPr>
        <w:t>, and its chapter on WSSV</w:t>
      </w:r>
      <w:r w:rsidR="00295B7A">
        <w:rPr>
          <w:vertAlign w:val="superscript"/>
          <w:lang w:eastAsia="en-AU"/>
        </w:rPr>
        <w:t>60</w:t>
      </w:r>
      <w:r>
        <w:rPr>
          <w:lang w:eastAsia="en-AU"/>
        </w:rPr>
        <w:t xml:space="preserve"> specifies </w:t>
      </w:r>
      <w:r>
        <w:rPr>
          <w:lang w:val="en" w:eastAsia="en-AU"/>
        </w:rPr>
        <w:t>that the C</w:t>
      </w:r>
      <w:r>
        <w:rPr>
          <w:vertAlign w:val="subscript"/>
        </w:rPr>
        <w:t>t</w:t>
      </w:r>
      <w:r>
        <w:rPr>
          <w:lang w:val="en" w:eastAsia="en-AU"/>
        </w:rPr>
        <w:t xml:space="preserve"> </w:t>
      </w:r>
      <w:r>
        <w:rPr>
          <w:lang w:eastAsia="en-AU"/>
        </w:rPr>
        <w:t>value</w:t>
      </w:r>
      <w:r>
        <w:rPr>
          <w:lang w:val="en" w:eastAsia="en-AU"/>
        </w:rPr>
        <w:t xml:space="preserve"> for the assay is unique to each laboratory’s method</w:t>
      </w:r>
      <w:r>
        <w:rPr>
          <w:lang w:eastAsia="en-AU"/>
        </w:rPr>
        <w:t xml:space="preserve"> and systems</w:t>
      </w:r>
      <w:r>
        <w:rPr>
          <w:szCs w:val="24"/>
          <w:lang w:eastAsia="en-AU"/>
        </w:rPr>
        <w:t>. Laboratories frequently select a subjective cut-off value for real-time amplification assays, above which a C</w:t>
      </w:r>
      <w:r>
        <w:rPr>
          <w:vertAlign w:val="subscript"/>
        </w:rPr>
        <w:t>t</w:t>
      </w:r>
      <w:r>
        <w:rPr>
          <w:szCs w:val="24"/>
          <w:lang w:eastAsia="en-AU"/>
        </w:rPr>
        <w:t xml:space="preserve"> value is deemed false</w:t>
      </w:r>
      <w:r w:rsidR="00295B7A">
        <w:rPr>
          <w:szCs w:val="24"/>
          <w:vertAlign w:val="superscript"/>
          <w:lang w:eastAsia="en-AU"/>
        </w:rPr>
        <w:t>12</w:t>
      </w:r>
      <w:r w:rsidR="006002C1">
        <w:rPr>
          <w:szCs w:val="24"/>
          <w:vertAlign w:val="superscript"/>
          <w:lang w:eastAsia="en-AU"/>
        </w:rPr>
        <w:t>1</w:t>
      </w:r>
      <w:r>
        <w:rPr>
          <w:szCs w:val="24"/>
          <w:lang w:eastAsia="en-AU"/>
        </w:rPr>
        <w:t xml:space="preserve">. The </w:t>
      </w:r>
      <w:r>
        <w:rPr>
          <w:rFonts w:ascii="Calibri" w:hAnsi="Calibri"/>
          <w:szCs w:val="24"/>
        </w:rPr>
        <w:t>C</w:t>
      </w:r>
      <w:r>
        <w:rPr>
          <w:szCs w:val="24"/>
          <w:vertAlign w:val="subscript"/>
          <w:lang w:eastAsia="en-AU"/>
        </w:rPr>
        <w:t>t</w:t>
      </w:r>
      <w:r>
        <w:rPr>
          <w:rFonts w:ascii="Calibri" w:hAnsi="Calibri"/>
          <w:szCs w:val="24"/>
        </w:rPr>
        <w:t xml:space="preserve"> value may vary within a reasonable range but it is still possible to specify a cut-off value for regulatory purposes. </w:t>
      </w:r>
      <w:r>
        <w:rPr>
          <w:rFonts w:ascii="Calibri" w:eastAsia="Times New Roman" w:hAnsi="Calibri" w:cs="Mangal"/>
          <w:szCs w:val="24"/>
          <w:lang w:eastAsia="x-none" w:bidi="hi-IN"/>
        </w:rPr>
        <w:t xml:space="preserve">If all laboratories use a procedure prescribed in enough detail, it </w:t>
      </w:r>
      <w:r w:rsidR="00A22C9B">
        <w:rPr>
          <w:rFonts w:ascii="Calibri" w:eastAsia="Times New Roman" w:hAnsi="Calibri" w:cs="Mangal"/>
          <w:szCs w:val="24"/>
          <w:lang w:eastAsia="x-none" w:bidi="hi-IN"/>
        </w:rPr>
        <w:t>sh</w:t>
      </w:r>
      <w:r>
        <w:rPr>
          <w:rFonts w:ascii="Calibri" w:eastAsia="Times New Roman" w:hAnsi="Calibri" w:cs="Mangal"/>
          <w:szCs w:val="24"/>
          <w:lang w:eastAsia="x-none" w:bidi="hi-IN"/>
        </w:rPr>
        <w:t xml:space="preserve">ould be </w:t>
      </w:r>
      <w:r>
        <w:rPr>
          <w:rFonts w:ascii="Calibri" w:hAnsi="Calibri"/>
          <w:szCs w:val="24"/>
        </w:rPr>
        <w:t>possible to achieve consistency of testing results across laboratories</w:t>
      </w:r>
      <w:r>
        <w:rPr>
          <w:lang w:val="en" w:eastAsia="en-AU"/>
        </w:rPr>
        <w:t>.</w:t>
      </w:r>
    </w:p>
    <w:p w14:paraId="6EFDEDAC" w14:textId="77777777" w:rsidR="00D248D8" w:rsidRDefault="00B97BF4" w:rsidP="00D248D8">
      <w:pPr>
        <w:autoSpaceDE w:val="0"/>
        <w:autoSpaceDN w:val="0"/>
        <w:adjustRightInd w:val="0"/>
        <w:spacing w:after="0"/>
        <w:rPr>
          <w:rFonts w:cs="Calibri"/>
          <w:szCs w:val="24"/>
          <w:lang w:eastAsia="en-AU"/>
        </w:rPr>
      </w:pPr>
      <w:r>
        <w:t xml:space="preserve">Following the request for expressions of interest, the department approved two laboratories to test prawn imports for YHV and WSSV: </w:t>
      </w:r>
      <w:r>
        <w:rPr>
          <w:bCs/>
        </w:rPr>
        <w:t>Advanced Analytical Australia Pty Ltd (AAA), a private laboratory,</w:t>
      </w:r>
      <w:r>
        <w:t xml:space="preserve"> and </w:t>
      </w:r>
      <w:r w:rsidRPr="00D248D8">
        <w:rPr>
          <w:lang w:eastAsia="en-AU"/>
        </w:rPr>
        <w:t>Elizabeth</w:t>
      </w:r>
      <w:r>
        <w:rPr>
          <w:bCs/>
        </w:rPr>
        <w:t xml:space="preserve"> Macarthur Agricultural Institute (EMAI</w:t>
      </w:r>
      <w:r>
        <w:t xml:space="preserve">), the NSW Government’s central veterinary laboratory. EMAI was approved as a veterinary laboratory for carrying out a range of tests and AAA was approved to carry out specific tests, including WSSV. Both were NATA accredited to conduct WSSV qPCR. </w:t>
      </w:r>
      <w:r w:rsidRPr="00E75C31">
        <w:rPr>
          <w:rFonts w:cs="Calibri"/>
          <w:szCs w:val="24"/>
          <w:lang w:eastAsia="en-AU"/>
        </w:rPr>
        <w:t>F</w:t>
      </w:r>
      <w:r>
        <w:rPr>
          <w:rFonts w:cs="Calibri"/>
          <w:szCs w:val="24"/>
          <w:lang w:eastAsia="en-AU"/>
        </w:rPr>
        <w:t xml:space="preserve">rom 2007 to 2015 </w:t>
      </w:r>
      <w:r>
        <w:t xml:space="preserve">both laboratories regularly </w:t>
      </w:r>
      <w:r>
        <w:rPr>
          <w:rFonts w:cs="Calibri"/>
          <w:szCs w:val="24"/>
          <w:lang w:eastAsia="en-AU"/>
        </w:rPr>
        <w:t xml:space="preserve">successfully completed </w:t>
      </w:r>
      <w:r>
        <w:t>q</w:t>
      </w:r>
      <w:r>
        <w:rPr>
          <w:rFonts w:cs="Calibri"/>
          <w:szCs w:val="24"/>
          <w:lang w:eastAsia="en-AU"/>
        </w:rPr>
        <w:t>uality assurance inter-laboratory testing for WSSV, and NATA conducted several routine audit visits to each laboratory.</w:t>
      </w:r>
    </w:p>
    <w:p w14:paraId="7E8BEEFE" w14:textId="5922BF26" w:rsidR="00CC703E" w:rsidRDefault="00E37FDB" w:rsidP="00D248D8">
      <w:pPr>
        <w:autoSpaceDE w:val="0"/>
        <w:autoSpaceDN w:val="0"/>
        <w:adjustRightInd w:val="0"/>
        <w:spacing w:after="0"/>
        <w:rPr>
          <w:lang w:eastAsia="en-AU"/>
        </w:rPr>
      </w:pPr>
      <w:r>
        <w:rPr>
          <w:lang w:eastAsia="en-AU"/>
        </w:rPr>
        <w:t>Properly designed and carried-out qPCR tests</w:t>
      </w:r>
      <w:r w:rsidRPr="00E12E22">
        <w:rPr>
          <w:lang w:eastAsia="en-AU"/>
        </w:rPr>
        <w:t xml:space="preserve"> (</w:t>
      </w:r>
      <w:r w:rsidR="00D248D8">
        <w:rPr>
          <w:lang w:eastAsia="en-AU"/>
        </w:rPr>
        <w:fldChar w:fldCharType="begin"/>
      </w:r>
      <w:r w:rsidR="00D248D8">
        <w:rPr>
          <w:lang w:eastAsia="en-AU"/>
        </w:rPr>
        <w:instrText xml:space="preserve"> REF _Ref498371903 \h </w:instrText>
      </w:r>
      <w:r w:rsidR="00D248D8">
        <w:rPr>
          <w:lang w:eastAsia="en-AU"/>
        </w:rPr>
      </w:r>
      <w:r w:rsidR="00D248D8">
        <w:rPr>
          <w:lang w:eastAsia="en-AU"/>
        </w:rPr>
        <w:fldChar w:fldCharType="separate"/>
      </w:r>
      <w:r w:rsidR="00121BC1">
        <w:t xml:space="preserve">Box </w:t>
      </w:r>
      <w:r w:rsidR="00121BC1">
        <w:rPr>
          <w:noProof/>
        </w:rPr>
        <w:t>3</w:t>
      </w:r>
      <w:r w:rsidR="00D248D8">
        <w:rPr>
          <w:lang w:eastAsia="en-AU"/>
        </w:rPr>
        <w:fldChar w:fldCharType="end"/>
      </w:r>
      <w:r w:rsidRPr="00E12E22">
        <w:rPr>
          <w:lang w:eastAsia="en-AU"/>
        </w:rPr>
        <w:t>)</w:t>
      </w:r>
      <w:r>
        <w:rPr>
          <w:lang w:eastAsia="en-AU"/>
        </w:rPr>
        <w:t xml:space="preserve"> can detect minute fragments of genetic material (DNA or RNA) specific to the organism being tested for. As a result, they have become a preferred diagnostic test method. However, they are so sensitive that they may detect particles of virus that are not able to infect cells. Consequently, a positive qPCR result for WSSV does not always mean that infectious virus is present</w:t>
      </w:r>
      <w:r w:rsidR="00295B7A">
        <w:rPr>
          <w:vertAlign w:val="superscript"/>
          <w:lang w:eastAsia="en-AU"/>
        </w:rPr>
        <w:t>12</w:t>
      </w:r>
      <w:r w:rsidR="00974FE9">
        <w:rPr>
          <w:vertAlign w:val="superscript"/>
          <w:lang w:eastAsia="en-AU"/>
        </w:rPr>
        <w:t>7</w:t>
      </w:r>
      <w:r>
        <w:rPr>
          <w:lang w:eastAsia="en-AU"/>
        </w:rPr>
        <w:t xml:space="preserve">. The WSSV genome </w:t>
      </w:r>
      <w:r w:rsidRPr="00E12E22">
        <w:rPr>
          <w:lang w:eastAsia="en-AU"/>
        </w:rPr>
        <w:t>consists of</w:t>
      </w:r>
      <w:r>
        <w:rPr>
          <w:lang w:eastAsia="en-AU"/>
        </w:rPr>
        <w:t xml:space="preserve"> around 293,000 base pairs. </w:t>
      </w:r>
      <w:r>
        <w:rPr>
          <w:lang w:eastAsia="en-AU"/>
        </w:rPr>
        <w:lastRenderedPageBreak/>
        <w:t>The qPCR targets a sequence of only 69 of the base pairs, which may remain intact and cause a positive test reaction even after severe degradation of the virus.</w:t>
      </w:r>
    </w:p>
    <w:p w14:paraId="6A8F428C" w14:textId="349415CD" w:rsidR="0088269F" w:rsidRDefault="0088269F" w:rsidP="0088269F">
      <w:pPr>
        <w:autoSpaceDE w:val="0"/>
        <w:autoSpaceDN w:val="0"/>
        <w:adjustRightInd w:val="0"/>
        <w:spacing w:after="0"/>
        <w:rPr>
          <w:lang w:eastAsia="en-AU"/>
        </w:rPr>
      </w:pPr>
      <w:r>
        <w:t xml:space="preserve">Persistent infection of prawns with WSSV is common. Viral loads during persistent infection can be extremely low and difficult to detect even when using sensitive methods such as </w:t>
      </w:r>
      <w:r w:rsidR="0095120F">
        <w:t>q</w:t>
      </w:r>
      <w:r>
        <w:t xml:space="preserve">PCR. </w:t>
      </w:r>
      <w:r>
        <w:rPr>
          <w:lang w:eastAsia="en-AU"/>
        </w:rPr>
        <w:t>Confirmation that a high C</w:t>
      </w:r>
      <w:r>
        <w:rPr>
          <w:vertAlign w:val="subscript"/>
        </w:rPr>
        <w:t>t</w:t>
      </w:r>
      <w:r>
        <w:rPr>
          <w:lang w:eastAsia="en-AU"/>
        </w:rPr>
        <w:t xml:space="preserve"> sample contains infectious WSSV requires a bioassay showing that the sample, if inoculated into prawns, will infect them. This is expensive, time-consuming and impractical for routine testing of imported prawns.</w:t>
      </w:r>
    </w:p>
    <w:p w14:paraId="595C8FB1" w14:textId="5A2A4F6F" w:rsidR="00CC703E" w:rsidRDefault="00E37FDB">
      <w:pPr>
        <w:autoSpaceDE w:val="0"/>
        <w:autoSpaceDN w:val="0"/>
        <w:adjustRightInd w:val="0"/>
        <w:spacing w:after="0"/>
      </w:pPr>
      <w:r>
        <w:t>A strongly positive (low C</w:t>
      </w:r>
      <w:r>
        <w:rPr>
          <w:vertAlign w:val="subscript"/>
        </w:rPr>
        <w:t>t</w:t>
      </w:r>
      <w:r>
        <w:t xml:space="preserve"> value) sample almost always indicates that WSSV infection has been present in the prawn. If that prawn has been cooked, the virus will no longer be infective, but fragments of its inactive DNA may still be detected</w:t>
      </w:r>
      <w:r w:rsidR="00B06ED1">
        <w:rPr>
          <w:vertAlign w:val="superscript"/>
        </w:rPr>
        <w:t>1</w:t>
      </w:r>
      <w:r w:rsidR="00974FE9">
        <w:rPr>
          <w:vertAlign w:val="superscript"/>
        </w:rPr>
        <w:t>28</w:t>
      </w:r>
      <w:r>
        <w:t xml:space="preserve">. However, the OIE states that cooking destroys the viability of the virus. </w:t>
      </w:r>
      <w:r w:rsidRPr="00E12E22">
        <w:t>F</w:t>
      </w:r>
      <w:r>
        <w:t xml:space="preserve">urther research </w:t>
      </w:r>
      <w:r w:rsidRPr="00E12E22">
        <w:t xml:space="preserve">is required </w:t>
      </w:r>
      <w:r>
        <w:t>to determine</w:t>
      </w:r>
      <w:r w:rsidRPr="00E12E22">
        <w:t xml:space="preserve"> the effect of cooking on both the virus and on WSSV testing results</w:t>
      </w:r>
      <w:r>
        <w:t>.</w:t>
      </w:r>
    </w:p>
    <w:p w14:paraId="4F01583C" w14:textId="77777777" w:rsidR="00CC703E" w:rsidRDefault="00E37FDB" w:rsidP="00A15982">
      <w:pPr>
        <w:pStyle w:val="Heading3"/>
        <w:numPr>
          <w:ilvl w:val="0"/>
          <w:numId w:val="0"/>
        </w:numPr>
        <w:pBdr>
          <w:top w:val="single" w:sz="4" w:space="1" w:color="auto"/>
          <w:left w:val="single" w:sz="4" w:space="1" w:color="auto"/>
          <w:bottom w:val="single" w:sz="4" w:space="1" w:color="auto"/>
          <w:right w:val="single" w:sz="4" w:space="1" w:color="auto"/>
        </w:pBdr>
        <w:ind w:left="794" w:hanging="794"/>
      </w:pPr>
      <w:bookmarkStart w:id="136" w:name="_Toc500162459"/>
      <w:bookmarkStart w:id="137" w:name="_Toc500238716"/>
      <w:bookmarkStart w:id="138" w:name="_Toc500508401"/>
      <w:bookmarkStart w:id="139" w:name="_Toc499963153"/>
      <w:r>
        <w:t xml:space="preserve">Recommendation </w:t>
      </w:r>
      <w:r w:rsidR="00F329C0">
        <w:fldChar w:fldCharType="begin"/>
      </w:r>
      <w:r w:rsidR="00F329C0">
        <w:instrText xml:space="preserve"> SEQ Recommendation \* ARABIC </w:instrText>
      </w:r>
      <w:r w:rsidR="00F329C0">
        <w:fldChar w:fldCharType="separate"/>
      </w:r>
      <w:r w:rsidR="00121BC1">
        <w:rPr>
          <w:noProof/>
        </w:rPr>
        <w:t>3</w:t>
      </w:r>
      <w:bookmarkEnd w:id="136"/>
      <w:bookmarkEnd w:id="137"/>
      <w:bookmarkEnd w:id="138"/>
      <w:r w:rsidR="00F329C0">
        <w:rPr>
          <w:noProof/>
        </w:rPr>
        <w:fldChar w:fldCharType="end"/>
      </w:r>
      <w:bookmarkEnd w:id="139"/>
    </w:p>
    <w:p w14:paraId="6F26C766" w14:textId="77777777" w:rsidR="00150A32" w:rsidRDefault="00150A32" w:rsidP="0087638C">
      <w:pPr>
        <w:pBdr>
          <w:top w:val="single" w:sz="4" w:space="1" w:color="auto"/>
          <w:left w:val="single" w:sz="4" w:space="1" w:color="auto"/>
          <w:bottom w:val="single" w:sz="4" w:space="1" w:color="auto"/>
          <w:right w:val="single" w:sz="4" w:space="1" w:color="auto"/>
        </w:pBdr>
        <w:spacing w:before="0" w:after="0"/>
        <w:rPr>
          <w:szCs w:val="24"/>
        </w:rPr>
      </w:pPr>
      <w:r>
        <w:rPr>
          <w:szCs w:val="24"/>
        </w:rPr>
        <w:t>The department should facilitate research to validate the impact of cooking on:</w:t>
      </w:r>
    </w:p>
    <w:p w14:paraId="3DBC7430" w14:textId="77777777" w:rsidR="00150A32" w:rsidRDefault="00150A32" w:rsidP="00A105F7">
      <w:pPr>
        <w:pStyle w:val="ListBullet"/>
        <w:pBdr>
          <w:top w:val="single" w:sz="4" w:space="1" w:color="auto"/>
          <w:left w:val="single" w:sz="4" w:space="1" w:color="auto"/>
          <w:bottom w:val="single" w:sz="4" w:space="1" w:color="auto"/>
          <w:right w:val="single" w:sz="4" w:space="1" w:color="auto"/>
        </w:pBdr>
        <w:spacing w:before="60" w:after="0"/>
      </w:pPr>
      <w:r>
        <w:t>white spot syndrome virus inactivation, and</w:t>
      </w:r>
    </w:p>
    <w:p w14:paraId="01194919" w14:textId="01C23114" w:rsidR="00CC703E" w:rsidRDefault="00150A32" w:rsidP="00A105F7">
      <w:pPr>
        <w:pStyle w:val="ListBullet"/>
        <w:pBdr>
          <w:top w:val="single" w:sz="4" w:space="1" w:color="auto"/>
          <w:left w:val="single" w:sz="4" w:space="1" w:color="auto"/>
          <w:bottom w:val="single" w:sz="4" w:space="1" w:color="auto"/>
          <w:right w:val="single" w:sz="4" w:space="1" w:color="auto"/>
        </w:pBdr>
        <w:spacing w:before="60" w:after="0"/>
      </w:pPr>
      <w:r>
        <w:t>white spot syndrome virus testing results.</w:t>
      </w:r>
    </w:p>
    <w:p w14:paraId="4215EBA5" w14:textId="69F2BE15" w:rsidR="00CC703E" w:rsidRPr="00C4292B" w:rsidRDefault="00E37FDB" w:rsidP="00150A32">
      <w:pPr>
        <w:pBdr>
          <w:top w:val="single" w:sz="4" w:space="1" w:color="auto"/>
          <w:left w:val="single" w:sz="4" w:space="1" w:color="auto"/>
          <w:bottom w:val="single" w:sz="4" w:space="1" w:color="auto"/>
          <w:right w:val="single" w:sz="4" w:space="1" w:color="auto"/>
        </w:pBdr>
      </w:pPr>
      <w:r>
        <w:rPr>
          <w:b/>
        </w:rPr>
        <w:t>Department’s response:</w:t>
      </w:r>
      <w:r w:rsidR="00C4292B">
        <w:t xml:space="preserve"> </w:t>
      </w:r>
      <w:r w:rsidR="00C4292B" w:rsidRPr="00C4292B">
        <w:t>Agree in principle. Research such as this, which could be commissioned by FRDC, will be considered in the context of the prawn risk review.</w:t>
      </w:r>
    </w:p>
    <w:p w14:paraId="5DFDEF2F" w14:textId="77777777" w:rsidR="00CC703E" w:rsidRDefault="00E37FDB" w:rsidP="00D01A6F">
      <w:pPr>
        <w:pStyle w:val="Heading4"/>
      </w:pPr>
      <w:r>
        <w:t>Potential sources of contamination</w:t>
      </w:r>
    </w:p>
    <w:p w14:paraId="71CDC5FF" w14:textId="4F825B7F" w:rsidR="00CC703E" w:rsidRDefault="00E37FDB">
      <w:pPr>
        <w:tabs>
          <w:tab w:val="clear" w:pos="567"/>
        </w:tabs>
        <w:spacing w:after="0"/>
        <w:rPr>
          <w:szCs w:val="24"/>
        </w:rPr>
      </w:pPr>
      <w:r>
        <w:rPr>
          <w:szCs w:val="24"/>
        </w:rPr>
        <w:t>The qPCR method is extremely sensitive</w:t>
      </w:r>
      <w:r>
        <w:rPr>
          <w:szCs w:val="24"/>
          <w:lang w:val="en"/>
        </w:rPr>
        <w:t xml:space="preserve"> and will detect even degraded WSSV DNA on any surface and even from air currents</w:t>
      </w:r>
      <w:r w:rsidR="00F60A5C">
        <w:rPr>
          <w:szCs w:val="24"/>
          <w:vertAlign w:val="superscript"/>
        </w:rPr>
        <w:t>1</w:t>
      </w:r>
      <w:r w:rsidR="00974FE9">
        <w:rPr>
          <w:szCs w:val="24"/>
          <w:vertAlign w:val="superscript"/>
        </w:rPr>
        <w:t>29</w:t>
      </w:r>
      <w:r>
        <w:rPr>
          <w:szCs w:val="24"/>
          <w:lang w:val="en"/>
        </w:rPr>
        <w:t>.</w:t>
      </w:r>
    </w:p>
    <w:p w14:paraId="7E31C55D" w14:textId="329ACE5D" w:rsidR="00CC703E" w:rsidRPr="00E12E22" w:rsidRDefault="00E37FDB">
      <w:pPr>
        <w:autoSpaceDE w:val="0"/>
        <w:autoSpaceDN w:val="0"/>
        <w:adjustRightInd w:val="0"/>
        <w:spacing w:after="0"/>
      </w:pPr>
      <w:r>
        <w:t>Prawns or samples taken from them may have fragments of viral DNA due to contamination that can occur at multiple points along the supply chai</w:t>
      </w:r>
      <w:r w:rsidRPr="00E12E22">
        <w:t>n:</w:t>
      </w:r>
    </w:p>
    <w:p w14:paraId="566D7932" w14:textId="05A78F2C" w:rsidR="00CC703E" w:rsidRDefault="00E37FDB" w:rsidP="00D01A6F">
      <w:pPr>
        <w:pStyle w:val="ListBullet"/>
        <w:rPr>
          <w:lang w:eastAsia="ja-JP"/>
        </w:rPr>
      </w:pPr>
      <w:r>
        <w:rPr>
          <w:b/>
          <w:lang w:eastAsia="ja-JP"/>
        </w:rPr>
        <w:t>During offshore processing</w:t>
      </w:r>
      <w:r>
        <w:rPr>
          <w:lang w:eastAsia="ja-JP"/>
        </w:rPr>
        <w:t>—traces of viral DNA can adhere to prawns while being shelled and dehead</w:t>
      </w:r>
      <w:r w:rsidR="00B97BF4">
        <w:rPr>
          <w:lang w:eastAsia="ja-JP"/>
        </w:rPr>
        <w:t>ed</w:t>
      </w:r>
      <w:r>
        <w:rPr>
          <w:lang w:eastAsia="ja-JP"/>
        </w:rPr>
        <w:t xml:space="preserve"> and during washing or saline perfusion processes in the factory. Traces can adhere to product bags and packing and to packers’ gloves.</w:t>
      </w:r>
    </w:p>
    <w:p w14:paraId="40CF491B" w14:textId="5D883016" w:rsidR="00CC703E" w:rsidRDefault="00E37FDB" w:rsidP="00D01A6F">
      <w:pPr>
        <w:pStyle w:val="ListBullet"/>
        <w:rPr>
          <w:lang w:eastAsia="ja-JP"/>
        </w:rPr>
      </w:pPr>
      <w:r>
        <w:rPr>
          <w:b/>
          <w:lang w:eastAsia="ja-JP"/>
        </w:rPr>
        <w:t>During sampling in Australia</w:t>
      </w:r>
      <w:r>
        <w:rPr>
          <w:lang w:eastAsia="ja-JP"/>
        </w:rPr>
        <w:t>—traces of viral DNA can adhere to inspectors’ gloves or remain in the air if containers, warehouses and sampling benches used by department inspectors are contaminated</w:t>
      </w:r>
      <w:r w:rsidR="00B97BF4">
        <w:rPr>
          <w:lang w:eastAsia="ja-JP"/>
        </w:rPr>
        <w:t>,</w:t>
      </w:r>
      <w:r>
        <w:rPr>
          <w:lang w:eastAsia="ja-JP"/>
        </w:rPr>
        <w:t xml:space="preserve"> perhaps from cooked prawns</w:t>
      </w:r>
      <w:r w:rsidR="00B97BF4">
        <w:rPr>
          <w:lang w:eastAsia="ja-JP"/>
        </w:rPr>
        <w:t xml:space="preserve"> in the same facility</w:t>
      </w:r>
      <w:r>
        <w:rPr>
          <w:lang w:eastAsia="ja-JP"/>
        </w:rPr>
        <w:t>.</w:t>
      </w:r>
    </w:p>
    <w:p w14:paraId="56E33D58" w14:textId="0F5A9B66" w:rsidR="00CC703E" w:rsidRDefault="00E37FDB" w:rsidP="00D01A6F">
      <w:pPr>
        <w:pStyle w:val="ListBullet"/>
        <w:rPr>
          <w:lang w:eastAsia="ja-JP"/>
        </w:rPr>
      </w:pPr>
      <w:r>
        <w:rPr>
          <w:b/>
          <w:lang w:eastAsia="ja-JP"/>
        </w:rPr>
        <w:t>During laboratory testing</w:t>
      </w:r>
      <w:r>
        <w:rPr>
          <w:lang w:eastAsia="ja-JP"/>
        </w:rPr>
        <w:t>—traces of viral DNA can remain on the laboratory bench after samples have been unpacked, or in the ‘clean room’ in the laboratory, in pipettes or in reagents. Even laboratories with the most rigorous methods sometimes experience contamination that causes false positive qPCR testing results.</w:t>
      </w:r>
    </w:p>
    <w:p w14:paraId="66B53A26" w14:textId="27DE7162" w:rsidR="00CC703E" w:rsidRDefault="00E37FDB">
      <w:pPr>
        <w:autoSpaceDE w:val="0"/>
        <w:autoSpaceDN w:val="0"/>
        <w:adjustRightInd w:val="0"/>
        <w:spacing w:after="0"/>
        <w:rPr>
          <w:szCs w:val="24"/>
          <w:lang w:eastAsia="ja-JP"/>
        </w:rPr>
      </w:pPr>
      <w:r>
        <w:rPr>
          <w:szCs w:val="24"/>
          <w:lang w:eastAsia="ja-JP"/>
        </w:rPr>
        <w:lastRenderedPageBreak/>
        <w:t xml:space="preserve">The department has implemented measures </w:t>
      </w:r>
      <w:r>
        <w:t>to</w:t>
      </w:r>
      <w:r>
        <w:rPr>
          <w:szCs w:val="24"/>
          <w:lang w:eastAsia="ja-JP"/>
        </w:rPr>
        <w:t xml:space="preserve"> reduce the risks of contamination during prawn sampling or laboratory testing in Australia, but contamination can rarely be completely eliminated.</w:t>
      </w:r>
    </w:p>
    <w:p w14:paraId="5184B432" w14:textId="77777777" w:rsidR="00CC703E" w:rsidRDefault="00E37FDB" w:rsidP="00D01A6F">
      <w:pPr>
        <w:pStyle w:val="Heading2"/>
      </w:pPr>
      <w:bookmarkStart w:id="140" w:name="_Toc490040483"/>
      <w:bookmarkStart w:id="141" w:name="_Toc500508402"/>
      <w:bookmarkStart w:id="142" w:name="_Toc367702824"/>
      <w:bookmarkStart w:id="143" w:name="_Toc367706537"/>
      <w:bookmarkStart w:id="144" w:name="_Toc367707117"/>
      <w:bookmarkStart w:id="145" w:name="_Toc367707298"/>
      <w:bookmarkStart w:id="146" w:name="_Toc367708180"/>
      <w:bookmarkStart w:id="147" w:name="_Toc417308605"/>
      <w:bookmarkStart w:id="148" w:name="_Toc367702827"/>
      <w:bookmarkStart w:id="149" w:name="_Toc367706540"/>
      <w:bookmarkStart w:id="150" w:name="_Toc367707120"/>
      <w:bookmarkStart w:id="151" w:name="_Toc367707301"/>
      <w:bookmarkStart w:id="152" w:name="_Toc367708183"/>
      <w:r>
        <w:lastRenderedPageBreak/>
        <w:t>Implementing IRA prawn import conditions, 2010 to 2016</w:t>
      </w:r>
      <w:bookmarkEnd w:id="140"/>
      <w:bookmarkEnd w:id="141"/>
    </w:p>
    <w:p w14:paraId="6B01CDAF" w14:textId="7F0FA249" w:rsidR="00CC703E" w:rsidRDefault="00E37FDB" w:rsidP="00D01A6F">
      <w:pPr>
        <w:rPr>
          <w:rFonts w:ascii="Cambria" w:hAnsi="Cambria"/>
          <w:b/>
        </w:rPr>
      </w:pPr>
      <w:r w:rsidRPr="00C0423C">
        <w:rPr>
          <w:lang w:eastAsia="ja-JP"/>
        </w:rPr>
        <w:t>From 2009–10 to 2015–16 Australia’s</w:t>
      </w:r>
      <w:r>
        <w:rPr>
          <w:lang w:eastAsia="ja-JP"/>
        </w:rPr>
        <w:t xml:space="preserve"> prawn import conditions underpinned the annual import of </w:t>
      </w:r>
      <w:r w:rsidR="00FA40B9">
        <w:rPr>
          <w:lang w:eastAsia="ja-JP"/>
        </w:rPr>
        <w:t xml:space="preserve">between </w:t>
      </w:r>
      <w:r>
        <w:rPr>
          <w:lang w:eastAsia="ja-JP"/>
        </w:rPr>
        <w:t xml:space="preserve">10,000 to 14,000 tonnes of cooked prawns, 10,000 to 17,000 tonnes of shelled and headless uncooked prawns, 6,000 to 7,000 tonnes of marinated uncooked prawns and 2,000 to 3,000 tonnes of highly processed uncooked prawns (including breaded, battered and crumbed prawns). These imports originated from </w:t>
      </w:r>
      <w:r w:rsidR="0056565E">
        <w:rPr>
          <w:lang w:eastAsia="ja-JP"/>
        </w:rPr>
        <w:t>more than 40</w:t>
      </w:r>
      <w:r>
        <w:rPr>
          <w:lang w:eastAsia="ja-JP"/>
        </w:rPr>
        <w:t xml:space="preserve"> countries, but the majority were from Thailand, China, Vietnam, Malaysia and Indonesia. The mix of countries exporting different categories of prawn product varied from year to year.</w:t>
      </w:r>
    </w:p>
    <w:p w14:paraId="3F3CA584" w14:textId="3C46D117" w:rsidR="00CC703E" w:rsidRPr="00D01A6F" w:rsidRDefault="00E37FDB" w:rsidP="00D01A6F">
      <w:pPr>
        <w:pStyle w:val="Heading3"/>
        <w:rPr>
          <w:rStyle w:val="Heading3Char"/>
          <w:rFonts w:eastAsia="Calibri"/>
          <w:b/>
          <w:bCs/>
        </w:rPr>
      </w:pPr>
      <w:bookmarkStart w:id="153" w:name="_Toc490040484"/>
      <w:bookmarkStart w:id="154" w:name="_Toc500508403"/>
      <w:r w:rsidRPr="00D01A6F">
        <w:rPr>
          <w:rStyle w:val="Heading3Char"/>
          <w:rFonts w:eastAsia="Calibri"/>
          <w:b/>
          <w:bCs/>
        </w:rPr>
        <w:t xml:space="preserve">Volume, value and source of </w:t>
      </w:r>
      <w:r w:rsidR="00DC555D" w:rsidRPr="00D01A6F">
        <w:rPr>
          <w:rStyle w:val="Heading3Char"/>
          <w:rFonts w:eastAsia="Calibri"/>
          <w:b/>
          <w:bCs/>
        </w:rPr>
        <w:t xml:space="preserve">imported </w:t>
      </w:r>
      <w:r w:rsidRPr="00D01A6F">
        <w:rPr>
          <w:rStyle w:val="Heading3Char"/>
          <w:rFonts w:eastAsia="Calibri"/>
          <w:b/>
          <w:bCs/>
        </w:rPr>
        <w:t>prawn</w:t>
      </w:r>
      <w:bookmarkEnd w:id="153"/>
      <w:r w:rsidRPr="00D01A6F">
        <w:rPr>
          <w:rStyle w:val="Heading3Char"/>
          <w:rFonts w:eastAsia="Calibri"/>
          <w:b/>
          <w:bCs/>
        </w:rPr>
        <w:t>s</w:t>
      </w:r>
      <w:bookmarkEnd w:id="154"/>
    </w:p>
    <w:p w14:paraId="14A68502" w14:textId="2A789CD7" w:rsidR="00CC703E" w:rsidRDefault="00E37FDB">
      <w:pPr>
        <w:spacing w:after="0"/>
      </w:pPr>
      <w:r>
        <w:t xml:space="preserve">Australia imports a substantial quantity of primarily frozen prawns—cooked and uncooked. </w:t>
      </w:r>
      <w:r w:rsidR="00D248D8">
        <w:t>Import</w:t>
      </w:r>
      <w:r>
        <w:t xml:space="preserve"> </w:t>
      </w:r>
      <w:r w:rsidRPr="0056565E">
        <w:t xml:space="preserve">volumes </w:t>
      </w:r>
      <w:r w:rsidRPr="0088708C">
        <w:t xml:space="preserve">rose only slightly </w:t>
      </w:r>
      <w:r>
        <w:t>from 34,000 tonnes in 2009–10 to 38,000 tonnes in 201</w:t>
      </w:r>
      <w:r w:rsidR="00DD11EB">
        <w:t>5</w:t>
      </w:r>
      <w:r>
        <w:t>–1</w:t>
      </w:r>
      <w:r w:rsidR="00DD11EB">
        <w:t>6</w:t>
      </w:r>
      <w:r>
        <w:t xml:space="preserve"> (</w:t>
      </w:r>
      <w:r>
        <w:fldChar w:fldCharType="begin"/>
      </w:r>
      <w:r>
        <w:instrText xml:space="preserve"> REF _Ref486519147 \h </w:instrText>
      </w:r>
      <w:r>
        <w:fldChar w:fldCharType="separate"/>
      </w:r>
      <w:r w:rsidR="00121BC1">
        <w:t xml:space="preserve">Figure </w:t>
      </w:r>
      <w:r w:rsidR="00121BC1">
        <w:rPr>
          <w:noProof/>
        </w:rPr>
        <w:t>6</w:t>
      </w:r>
      <w:r>
        <w:fldChar w:fldCharType="end"/>
      </w:r>
      <w:r>
        <w:t>). This stability may have created a false sense of security after the IRA was finalised in 2009.</w:t>
      </w:r>
    </w:p>
    <w:p w14:paraId="53495F37" w14:textId="2BDB2684" w:rsidR="00CC703E" w:rsidRDefault="00E37FDB">
      <w:pPr>
        <w:pStyle w:val="Caption"/>
      </w:pPr>
      <w:bookmarkStart w:id="155" w:name="_Ref486519147"/>
      <w:bookmarkStart w:id="156" w:name="_Toc498766343"/>
      <w:bookmarkStart w:id="157" w:name="_Toc500508466"/>
      <w:r>
        <w:t xml:space="preserve">Figure </w:t>
      </w:r>
      <w:r w:rsidR="00F329C0">
        <w:fldChar w:fldCharType="begin"/>
      </w:r>
      <w:r w:rsidR="00F329C0">
        <w:instrText xml:space="preserve"> SEQ Figure \* ARABIC </w:instrText>
      </w:r>
      <w:r w:rsidR="00F329C0">
        <w:fldChar w:fldCharType="separate"/>
      </w:r>
      <w:r w:rsidR="00121BC1">
        <w:rPr>
          <w:noProof/>
        </w:rPr>
        <w:t>6</w:t>
      </w:r>
      <w:r w:rsidR="00F329C0">
        <w:rPr>
          <w:noProof/>
        </w:rPr>
        <w:fldChar w:fldCharType="end"/>
      </w:r>
      <w:bookmarkEnd w:id="155"/>
      <w:r>
        <w:t xml:space="preserve"> Imports of frozen, raw, marinated, processed and preserved prawns, </w:t>
      </w:r>
      <w:r w:rsidR="00CD0007">
        <w:t>by weight</w:t>
      </w:r>
      <w:r>
        <w:t>, 2009–10 to 2015–16</w:t>
      </w:r>
      <w:bookmarkEnd w:id="156"/>
      <w:bookmarkEnd w:id="157"/>
    </w:p>
    <w:p w14:paraId="40D69161" w14:textId="77777777" w:rsidR="00CC703E" w:rsidRDefault="00E37FDB">
      <w:pPr>
        <w:pStyle w:val="FigureTableNoteSource"/>
        <w:rPr>
          <w:lang w:eastAsia="ja-JP"/>
        </w:rPr>
      </w:pPr>
      <w:r>
        <w:rPr>
          <w:noProof/>
          <w:lang w:eastAsia="en-AU"/>
        </w:rPr>
        <w:drawing>
          <wp:inline distT="0" distB="0" distL="0" distR="0" wp14:anchorId="65BE5764" wp14:editId="5399202F">
            <wp:extent cx="5791451" cy="288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01.jpg"/>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791451" cy="2880000"/>
                    </a:xfrm>
                    <a:prstGeom prst="rect">
                      <a:avLst/>
                    </a:prstGeom>
                    <a:ln>
                      <a:noFill/>
                    </a:ln>
                    <a:extLst>
                      <a:ext uri="{53640926-AAD7-44D8-BBD7-CCE9431645EC}">
                        <a14:shadowObscured xmlns:a14="http://schemas.microsoft.com/office/drawing/2010/main"/>
                      </a:ext>
                    </a:extLst>
                  </pic:spPr>
                </pic:pic>
              </a:graphicData>
            </a:graphic>
          </wp:inline>
        </w:drawing>
      </w:r>
    </w:p>
    <w:p w14:paraId="02940C43" w14:textId="6A7D333F" w:rsidR="00CC703E" w:rsidRDefault="00E37FDB">
      <w:pPr>
        <w:pStyle w:val="FigureTableNoteSource"/>
      </w:pPr>
      <w:r>
        <w:rPr>
          <w:lang w:eastAsia="ja-JP"/>
        </w:rPr>
        <w:t>Source: Department of Agriculture and Water Resources</w:t>
      </w:r>
    </w:p>
    <w:p w14:paraId="04A70789" w14:textId="6023E6EE" w:rsidR="00CC703E" w:rsidRDefault="00E37FDB">
      <w:pPr>
        <w:spacing w:after="0"/>
      </w:pPr>
      <w:r>
        <w:t>The mix of countries sending prawns to Australia changed</w:t>
      </w:r>
      <w:r w:rsidR="005857F3">
        <w:t xml:space="preserve"> from year to year</w:t>
      </w:r>
      <w:r>
        <w:t>. For example, in 2013–14 imports of uncooked prawns from China increased to a high of 12,300 tonnes, worth A$159 million (</w:t>
      </w:r>
      <w:r>
        <w:fldChar w:fldCharType="begin"/>
      </w:r>
      <w:r>
        <w:instrText xml:space="preserve"> REF _Ref486519441 \h </w:instrText>
      </w:r>
      <w:r>
        <w:fldChar w:fldCharType="separate"/>
      </w:r>
      <w:r w:rsidR="00121BC1">
        <w:t xml:space="preserve">Figure </w:t>
      </w:r>
      <w:r w:rsidR="00121BC1">
        <w:rPr>
          <w:noProof/>
        </w:rPr>
        <w:t>7</w:t>
      </w:r>
      <w:r>
        <w:fldChar w:fldCharType="end"/>
      </w:r>
      <w:r w:rsidR="006972A9">
        <w:t xml:space="preserve"> and</w:t>
      </w:r>
      <w:r w:rsidR="00CD0007">
        <w:t xml:space="preserve"> </w:t>
      </w:r>
      <w:r w:rsidR="00CD0007">
        <w:fldChar w:fldCharType="begin"/>
      </w:r>
      <w:r w:rsidR="00CD0007">
        <w:instrText xml:space="preserve"> REF _Ref486519538 \h </w:instrText>
      </w:r>
      <w:r w:rsidR="00CD0007">
        <w:fldChar w:fldCharType="separate"/>
      </w:r>
      <w:r w:rsidR="00121BC1">
        <w:t xml:space="preserve">Figure </w:t>
      </w:r>
      <w:r w:rsidR="00121BC1">
        <w:rPr>
          <w:noProof/>
        </w:rPr>
        <w:t>8</w:t>
      </w:r>
      <w:r w:rsidR="00CD0007">
        <w:fldChar w:fldCharType="end"/>
      </w:r>
      <w:r>
        <w:t xml:space="preserve">). The type of product imported also changed. For example, before 2011–12 imports from Thailand consisted mostly of processed prawns, but </w:t>
      </w:r>
      <w:r w:rsidR="003707A5">
        <w:t>after</w:t>
      </w:r>
      <w:r>
        <w:t xml:space="preserve"> th</w:t>
      </w:r>
      <w:r w:rsidR="003707A5">
        <w:t>at</w:t>
      </w:r>
      <w:r>
        <w:t xml:space="preserve"> uncooked prawns predominated (</w:t>
      </w:r>
      <w:r>
        <w:fldChar w:fldCharType="begin"/>
      </w:r>
      <w:r>
        <w:instrText xml:space="preserve"> REF _Ref486519538 \h </w:instrText>
      </w:r>
      <w:r>
        <w:fldChar w:fldCharType="separate"/>
      </w:r>
      <w:r w:rsidR="00121BC1">
        <w:t xml:space="preserve">Figure </w:t>
      </w:r>
      <w:r w:rsidR="00121BC1">
        <w:rPr>
          <w:noProof/>
        </w:rPr>
        <w:t>8</w:t>
      </w:r>
      <w:r>
        <w:fldChar w:fldCharType="end"/>
      </w:r>
      <w:r>
        <w:t xml:space="preserve">). There was little if any assessment of whether these changes in </w:t>
      </w:r>
      <w:r w:rsidR="003707A5">
        <w:t>amount</w:t>
      </w:r>
      <w:r>
        <w:t xml:space="preserve"> and product type might be due to market forces or disease outbreaks.</w:t>
      </w:r>
    </w:p>
    <w:p w14:paraId="16D8D829" w14:textId="009ACCE0" w:rsidR="00CC703E" w:rsidRDefault="00E37FDB">
      <w:pPr>
        <w:pStyle w:val="Caption"/>
      </w:pPr>
      <w:bookmarkStart w:id="158" w:name="_Ref486519441"/>
      <w:bookmarkStart w:id="159" w:name="_Toc498766344"/>
      <w:bookmarkStart w:id="160" w:name="_Toc500508467"/>
      <w:r>
        <w:lastRenderedPageBreak/>
        <w:t xml:space="preserve">Figure </w:t>
      </w:r>
      <w:r w:rsidR="00F329C0">
        <w:fldChar w:fldCharType="begin"/>
      </w:r>
      <w:r w:rsidR="00F329C0">
        <w:instrText xml:space="preserve"> SEQ Figure \* ARABIC</w:instrText>
      </w:r>
      <w:r w:rsidR="00F329C0">
        <w:instrText xml:space="preserve"> </w:instrText>
      </w:r>
      <w:r w:rsidR="00F329C0">
        <w:fldChar w:fldCharType="separate"/>
      </w:r>
      <w:r w:rsidR="00121BC1">
        <w:rPr>
          <w:noProof/>
        </w:rPr>
        <w:t>7</w:t>
      </w:r>
      <w:r w:rsidR="00F329C0">
        <w:rPr>
          <w:noProof/>
        </w:rPr>
        <w:fldChar w:fldCharType="end"/>
      </w:r>
      <w:bookmarkEnd w:id="158"/>
      <w:r>
        <w:t xml:space="preserve"> Imports of frozen, raw, marinated, processed and preserved prawns into Australia, by value, 2009–10 to 2015–16</w:t>
      </w:r>
      <w:bookmarkEnd w:id="159"/>
      <w:bookmarkEnd w:id="160"/>
    </w:p>
    <w:p w14:paraId="17E948A5" w14:textId="15D1C21C" w:rsidR="00CC703E" w:rsidRDefault="00EF5198">
      <w:pPr>
        <w:pStyle w:val="FigureTableNoteSource"/>
        <w:rPr>
          <w:lang w:eastAsia="ja-JP"/>
        </w:rPr>
      </w:pPr>
      <w:r>
        <w:rPr>
          <w:noProof/>
          <w:lang w:eastAsia="en-AU"/>
        </w:rPr>
        <w:drawing>
          <wp:inline distT="0" distB="0" distL="0" distR="0" wp14:anchorId="43717C6E" wp14:editId="55C5479C">
            <wp:extent cx="6629145" cy="290512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01.jpg"/>
                    <pic:cNvPicPr/>
                  </pic:nvPicPr>
                  <pic:blipFill>
                    <a:blip r:embed="rId35">
                      <a:extLst>
                        <a:ext uri="{28A0092B-C50C-407E-A947-70E740481C1C}">
                          <a14:useLocalDpi xmlns:a14="http://schemas.microsoft.com/office/drawing/2010/main"/>
                        </a:ext>
                      </a:extLst>
                    </a:blip>
                    <a:stretch>
                      <a:fillRect/>
                    </a:stretch>
                  </pic:blipFill>
                  <pic:spPr>
                    <a:xfrm>
                      <a:off x="0" y="0"/>
                      <a:ext cx="6653131" cy="2915637"/>
                    </a:xfrm>
                    <a:prstGeom prst="rect">
                      <a:avLst/>
                    </a:prstGeom>
                  </pic:spPr>
                </pic:pic>
              </a:graphicData>
            </a:graphic>
          </wp:inline>
        </w:drawing>
      </w:r>
    </w:p>
    <w:p w14:paraId="6B94AF87" w14:textId="77777777" w:rsidR="00CC703E" w:rsidRDefault="00E37FDB">
      <w:pPr>
        <w:pStyle w:val="FigureTableNoteSource"/>
        <w:rPr>
          <w:lang w:eastAsia="ja-JP"/>
        </w:rPr>
      </w:pPr>
      <w:r>
        <w:rPr>
          <w:lang w:eastAsia="ja-JP"/>
        </w:rPr>
        <w:t>Source: Department of Agriculture and Water Resources</w:t>
      </w:r>
    </w:p>
    <w:p w14:paraId="421EBE79" w14:textId="78C62C2F" w:rsidR="00CC703E" w:rsidRDefault="00E37FDB">
      <w:pPr>
        <w:pStyle w:val="Caption"/>
        <w:rPr>
          <w:lang w:eastAsia="ja-JP"/>
        </w:rPr>
      </w:pPr>
      <w:bookmarkStart w:id="161" w:name="_Ref486519538"/>
      <w:bookmarkStart w:id="162" w:name="_Toc498766345"/>
      <w:bookmarkStart w:id="163" w:name="_Toc500508468"/>
      <w:r>
        <w:t xml:space="preserve">Figure </w:t>
      </w:r>
      <w:r w:rsidR="00F329C0">
        <w:fldChar w:fldCharType="begin"/>
      </w:r>
      <w:r w:rsidR="00F329C0">
        <w:instrText xml:space="preserve"> SEQ Figure \* ARABIC </w:instrText>
      </w:r>
      <w:r w:rsidR="00F329C0">
        <w:fldChar w:fldCharType="separate"/>
      </w:r>
      <w:r w:rsidR="00121BC1">
        <w:rPr>
          <w:noProof/>
        </w:rPr>
        <w:t>8</w:t>
      </w:r>
      <w:r w:rsidR="00F329C0">
        <w:rPr>
          <w:noProof/>
        </w:rPr>
        <w:fldChar w:fldCharType="end"/>
      </w:r>
      <w:bookmarkEnd w:id="161"/>
      <w:r>
        <w:t xml:space="preserve"> Change in value of prawn imports from selected countries, 2007–08 to 2014–15</w:t>
      </w:r>
      <w:bookmarkEnd w:id="162"/>
      <w:bookmarkEnd w:id="163"/>
    </w:p>
    <w:p w14:paraId="307E03E5" w14:textId="2B105BC1" w:rsidR="00CC703E" w:rsidRDefault="00EF5198">
      <w:pPr>
        <w:pStyle w:val="FigureTableNoteSource"/>
        <w:rPr>
          <w:lang w:eastAsia="ja-JP"/>
        </w:rPr>
      </w:pPr>
      <w:r>
        <w:rPr>
          <w:noProof/>
          <w:lang w:eastAsia="en-AU"/>
        </w:rPr>
        <w:drawing>
          <wp:inline distT="0" distB="0" distL="0" distR="0" wp14:anchorId="6EEC615E" wp14:editId="6D6E7F4B">
            <wp:extent cx="6334125" cy="2794467"/>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01.jpg"/>
                    <pic:cNvPicPr/>
                  </pic:nvPicPr>
                  <pic:blipFill>
                    <a:blip r:embed="rId36" cstate="email">
                      <a:extLst>
                        <a:ext uri="{28A0092B-C50C-407E-A947-70E740481C1C}">
                          <a14:useLocalDpi xmlns:a14="http://schemas.microsoft.com/office/drawing/2010/main"/>
                        </a:ext>
                      </a:extLst>
                    </a:blip>
                    <a:stretch>
                      <a:fillRect/>
                    </a:stretch>
                  </pic:blipFill>
                  <pic:spPr>
                    <a:xfrm>
                      <a:off x="0" y="0"/>
                      <a:ext cx="6352842" cy="2802724"/>
                    </a:xfrm>
                    <a:prstGeom prst="rect">
                      <a:avLst/>
                    </a:prstGeom>
                  </pic:spPr>
                </pic:pic>
              </a:graphicData>
            </a:graphic>
          </wp:inline>
        </w:drawing>
      </w:r>
    </w:p>
    <w:p w14:paraId="6D683D28" w14:textId="77777777" w:rsidR="00CC703E" w:rsidRDefault="00E37FDB">
      <w:pPr>
        <w:pStyle w:val="FigureTableNoteSource"/>
        <w:rPr>
          <w:lang w:eastAsia="ja-JP"/>
        </w:rPr>
      </w:pPr>
      <w:r>
        <w:rPr>
          <w:lang w:eastAsia="ja-JP"/>
        </w:rPr>
        <w:t>Source: Department of Agriculture and Water Resources</w:t>
      </w:r>
    </w:p>
    <w:p w14:paraId="52FF26FC" w14:textId="77777777" w:rsidR="00CC703E" w:rsidRPr="00D01A6F" w:rsidRDefault="00E37FDB" w:rsidP="00D01A6F">
      <w:pPr>
        <w:pStyle w:val="Heading3"/>
        <w:rPr>
          <w:rStyle w:val="Heading3Char"/>
          <w:rFonts w:eastAsia="Calibri"/>
          <w:b/>
          <w:bCs/>
        </w:rPr>
      </w:pPr>
      <w:bookmarkStart w:id="164" w:name="_Toc490040485"/>
      <w:bookmarkStart w:id="165" w:name="_Toc500508404"/>
      <w:r w:rsidRPr="00D01A6F">
        <w:rPr>
          <w:rStyle w:val="Heading3Char"/>
          <w:rFonts w:eastAsia="Calibri"/>
          <w:b/>
          <w:bCs/>
        </w:rPr>
        <w:t xml:space="preserve">Pre-border </w:t>
      </w:r>
      <w:bookmarkEnd w:id="164"/>
      <w:r w:rsidRPr="00D01A6F">
        <w:rPr>
          <w:rStyle w:val="Heading3Char"/>
          <w:rFonts w:eastAsia="Calibri"/>
          <w:b/>
          <w:bCs/>
        </w:rPr>
        <w:t>biosecurity risk management, 2010 to 2016</w:t>
      </w:r>
      <w:bookmarkEnd w:id="165"/>
    </w:p>
    <w:p w14:paraId="63074872" w14:textId="7025A4D7" w:rsidR="00CC703E" w:rsidRDefault="00E37FDB">
      <w:pPr>
        <w:spacing w:after="0"/>
      </w:pPr>
      <w:r>
        <w:t xml:space="preserve">The department manages as many biosecurity risks as possible offshore, keeping risks as far away from Australia as possible. It does this by assessing and approving competent authorities (listed overseas government agencies) to certify a range of pre-border measures. The department publishes a list of approved </w:t>
      </w:r>
      <w:r w:rsidRPr="00E72A69">
        <w:t>competent authorities on the</w:t>
      </w:r>
      <w:r>
        <w:t xml:space="preserve"> </w:t>
      </w:r>
      <w:r w:rsidR="00BE745E" w:rsidRPr="00BE745E">
        <w:t>Biosecurity Import Conditions (BICON) system</w:t>
      </w:r>
      <w:r w:rsidR="00E72A69" w:rsidRPr="00EE28E4">
        <w:rPr>
          <w:rStyle w:val="Hyperlink"/>
          <w:color w:val="auto"/>
          <w:u w:val="none"/>
          <w:vertAlign w:val="superscript"/>
        </w:rPr>
        <w:t>13</w:t>
      </w:r>
      <w:r w:rsidR="00974FE9" w:rsidRPr="00517310">
        <w:rPr>
          <w:rStyle w:val="Hyperlink"/>
          <w:color w:val="auto"/>
          <w:u w:val="none"/>
          <w:vertAlign w:val="superscript"/>
        </w:rPr>
        <w:t>0</w:t>
      </w:r>
      <w:r>
        <w:t>. Competent authorities are authorised to certify that consignments and batches of prawns meet Australia’s import conditions, including country, zone or compartment disease freedom, supply-chain segregation, pre-export verification testing and labelling.</w:t>
      </w:r>
    </w:p>
    <w:p w14:paraId="05496AF9" w14:textId="77777777" w:rsidR="00CC703E" w:rsidRDefault="00E37FDB" w:rsidP="00D01A6F">
      <w:pPr>
        <w:pStyle w:val="Heading4"/>
      </w:pPr>
      <w:r>
        <w:t>New Caledonia freedom from WSSV, YHD and TSV</w:t>
      </w:r>
    </w:p>
    <w:p w14:paraId="6C9972C0" w14:textId="3E63B3E9" w:rsidR="00CC703E" w:rsidRDefault="00E37FDB">
      <w:pPr>
        <w:tabs>
          <w:tab w:val="clear" w:pos="567"/>
        </w:tabs>
        <w:spacing w:before="60" w:after="0"/>
        <w:rPr>
          <w:szCs w:val="24"/>
        </w:rPr>
      </w:pPr>
      <w:r>
        <w:rPr>
          <w:szCs w:val="24"/>
        </w:rPr>
        <w:lastRenderedPageBreak/>
        <w:t>The department approved New Caledonia in 2001 to export cooked or uncooked prawn products to Australia without further inspection or testing on arrival. Approval was based on the department having:</w:t>
      </w:r>
    </w:p>
    <w:p w14:paraId="55D4149A" w14:textId="3D52AB06" w:rsidR="00CC703E" w:rsidRDefault="00E37FDB" w:rsidP="00D01A6F">
      <w:pPr>
        <w:pStyle w:val="ListBullet"/>
      </w:pPr>
      <w:r>
        <w:t>assessed New Caledonia as free of WSSV and YHV (in 2000–2002) and free of TSV (in 2006–2008)</w:t>
      </w:r>
      <w:r w:rsidR="00DD11EB">
        <w:t>,</w:t>
      </w:r>
    </w:p>
    <w:p w14:paraId="442744AB" w14:textId="7887D473" w:rsidR="00CC703E" w:rsidRDefault="00E37FDB" w:rsidP="00D01A6F">
      <w:pPr>
        <w:pStyle w:val="ListBullet"/>
      </w:pPr>
      <w:r>
        <w:t>confirmed that the New Caledonian Veterinary, Food and Rural Affairs Directorate (the competent authority) could ensure the effective administration of biosecurity and animal health policies to maintain their favourable aquatic animal health status</w:t>
      </w:r>
      <w:r w:rsidR="00832116">
        <w:t>, and</w:t>
      </w:r>
    </w:p>
    <w:p w14:paraId="31821D1A" w14:textId="30666FD8" w:rsidR="00CC703E" w:rsidRDefault="00E37FDB" w:rsidP="00D01A6F">
      <w:pPr>
        <w:pStyle w:val="ListBullet"/>
      </w:pPr>
      <w:r>
        <w:t>confirmed that the laboratory capacity in New Caledonia was adequate to undertake animal health surveillance and export testing for prawn diseases.</w:t>
      </w:r>
    </w:p>
    <w:p w14:paraId="67A34523" w14:textId="209DF9BD" w:rsidR="00CC703E" w:rsidRDefault="00E37FDB">
      <w:pPr>
        <w:tabs>
          <w:tab w:val="clear" w:pos="567"/>
        </w:tabs>
        <w:spacing w:before="60" w:after="0"/>
        <w:rPr>
          <w:szCs w:val="24"/>
        </w:rPr>
      </w:pPr>
      <w:r>
        <w:rPr>
          <w:szCs w:val="24"/>
        </w:rPr>
        <w:t>Australia received three prawn consignments from New Caledonia under these arrangements, in 2009–10, 2010–11 and 2012–13.</w:t>
      </w:r>
    </w:p>
    <w:p w14:paraId="7DA02F9F" w14:textId="77777777" w:rsidR="00CC703E" w:rsidRDefault="00E37FDB" w:rsidP="00D01A6F">
      <w:pPr>
        <w:pStyle w:val="Heading4"/>
      </w:pPr>
      <w:r>
        <w:t>Secure supply chain for Australian prawns processed at a Thai factory</w:t>
      </w:r>
    </w:p>
    <w:p w14:paraId="054FD3C9" w14:textId="70D9B1E5" w:rsidR="00CC703E" w:rsidRDefault="00E37FDB">
      <w:pPr>
        <w:tabs>
          <w:tab w:val="clear" w:pos="567"/>
        </w:tabs>
        <w:spacing w:before="60" w:after="0"/>
        <w:rPr>
          <w:szCs w:val="24"/>
        </w:rPr>
      </w:pPr>
      <w:r>
        <w:rPr>
          <w:szCs w:val="24"/>
        </w:rPr>
        <w:t>In 2015 Thailand was approved to process</w:t>
      </w:r>
      <w:r w:rsidRPr="009905E1">
        <w:rPr>
          <w:szCs w:val="24"/>
        </w:rPr>
        <w:t xml:space="preserve"> wild-caught prawns </w:t>
      </w:r>
      <w:r>
        <w:rPr>
          <w:szCs w:val="24"/>
        </w:rPr>
        <w:t xml:space="preserve">of </w:t>
      </w:r>
      <w:r w:rsidRPr="009905E1">
        <w:rPr>
          <w:szCs w:val="24"/>
        </w:rPr>
        <w:t>Australian-origin</w:t>
      </w:r>
      <w:r>
        <w:rPr>
          <w:szCs w:val="24"/>
        </w:rPr>
        <w:t xml:space="preserve"> without further inspection or testing on arrival</w:t>
      </w:r>
      <w:r w:rsidRPr="009905E1">
        <w:rPr>
          <w:szCs w:val="24"/>
        </w:rPr>
        <w:t xml:space="preserve">. The prawns </w:t>
      </w:r>
      <w:r>
        <w:rPr>
          <w:szCs w:val="24"/>
        </w:rPr>
        <w:t xml:space="preserve">would </w:t>
      </w:r>
      <w:r w:rsidRPr="009905E1">
        <w:rPr>
          <w:szCs w:val="24"/>
        </w:rPr>
        <w:t xml:space="preserve">pass </w:t>
      </w:r>
      <w:r>
        <w:rPr>
          <w:szCs w:val="24"/>
        </w:rPr>
        <w:t>through a government-approved biosecure supply chain for re-export to Australia as uncooked whole</w:t>
      </w:r>
      <w:r w:rsidRPr="00740A72">
        <w:rPr>
          <w:szCs w:val="24"/>
        </w:rPr>
        <w:t>,</w:t>
      </w:r>
      <w:r>
        <w:rPr>
          <w:szCs w:val="24"/>
        </w:rPr>
        <w:t xml:space="preserve"> packaged or uncooked peeled/partially peeled, head-off product</w:t>
      </w:r>
      <w:r w:rsidR="00E31430">
        <w:rPr>
          <w:szCs w:val="24"/>
          <w:vertAlign w:val="superscript"/>
        </w:rPr>
        <w:t>13</w:t>
      </w:r>
      <w:r w:rsidR="00E729F1">
        <w:rPr>
          <w:szCs w:val="24"/>
          <w:vertAlign w:val="superscript"/>
        </w:rPr>
        <w:t>1</w:t>
      </w:r>
      <w:r>
        <w:rPr>
          <w:szCs w:val="24"/>
        </w:rPr>
        <w:t>.</w:t>
      </w:r>
    </w:p>
    <w:p w14:paraId="627C8495" w14:textId="64386404" w:rsidR="00CC703E" w:rsidRDefault="00E37FDB">
      <w:pPr>
        <w:tabs>
          <w:tab w:val="clear" w:pos="567"/>
        </w:tabs>
        <w:spacing w:after="0"/>
        <w:rPr>
          <w:szCs w:val="24"/>
        </w:rPr>
      </w:pPr>
      <w:r>
        <w:rPr>
          <w:szCs w:val="24"/>
        </w:rPr>
        <w:t xml:space="preserve">This approval covered only wild-caught prawns of </w:t>
      </w:r>
      <w:r w:rsidRPr="009905E1">
        <w:rPr>
          <w:szCs w:val="24"/>
        </w:rPr>
        <w:t>Australian-origin</w:t>
      </w:r>
      <w:r>
        <w:rPr>
          <w:szCs w:val="24"/>
        </w:rPr>
        <w:t xml:space="preserve"> processed at a single Thai factory, Thai Union Frozen Products PCL. The department assessed the risks of product substitution and cross-contamination from the point of importation into Thailand to the point of re-export to Australia and confirmed that the robust biosecurity and traceability systems overseen by Thailand’s Department of Fisheries (DoF) could ensure product integrity throughout processing in Thailand. This approval followed completion of:</w:t>
      </w:r>
    </w:p>
    <w:p w14:paraId="5DF73BAB" w14:textId="2777D7AD" w:rsidR="00CC703E" w:rsidRDefault="00E37FDB" w:rsidP="00D01A6F">
      <w:pPr>
        <w:pStyle w:val="ListBullet"/>
      </w:pPr>
      <w:r>
        <w:t>a written submission from DoF with evidence of controls in place to ensure supply chain integrity</w:t>
      </w:r>
      <w:r w:rsidR="00DD11EB">
        <w:t>,</w:t>
      </w:r>
    </w:p>
    <w:p w14:paraId="70B8EC67" w14:textId="3B99E12A" w:rsidR="00CC703E" w:rsidRDefault="00E37FDB" w:rsidP="00D01A6F">
      <w:pPr>
        <w:pStyle w:val="ListBullet"/>
      </w:pPr>
      <w:r>
        <w:t>an Australian Government Department of Agriculture desk audit of the competence of DoF and controls in place to ensure supply-chain integrity, including a review of bilateral trade and on-arrival viral testing compliance history</w:t>
      </w:r>
      <w:r w:rsidR="00DD11EB">
        <w:t>, and</w:t>
      </w:r>
    </w:p>
    <w:p w14:paraId="01523118" w14:textId="77777777" w:rsidR="00CC703E" w:rsidRDefault="00E37FDB" w:rsidP="00D01A6F">
      <w:pPr>
        <w:pStyle w:val="ListBullet"/>
      </w:pPr>
      <w:r>
        <w:t>an in-country verification visit to inspect Thai ports, DoF offices and the Thai factory.</w:t>
      </w:r>
    </w:p>
    <w:p w14:paraId="49321AFE" w14:textId="48260502" w:rsidR="00CC703E" w:rsidRDefault="00E37FDB">
      <w:pPr>
        <w:tabs>
          <w:tab w:val="clear" w:pos="567"/>
        </w:tabs>
        <w:spacing w:after="0"/>
        <w:rPr>
          <w:szCs w:val="24"/>
        </w:rPr>
      </w:pPr>
      <w:r>
        <w:rPr>
          <w:szCs w:val="24"/>
        </w:rPr>
        <w:t>As at 15 September 2017, 15 shipments of prawns had been imported under this arrangement. The department had not yet conducted any follow-up audits of the whole arrangement.</w:t>
      </w:r>
    </w:p>
    <w:p w14:paraId="224261BC" w14:textId="77777777" w:rsidR="00CC703E" w:rsidRDefault="00E37FDB" w:rsidP="00D01A6F">
      <w:pPr>
        <w:pStyle w:val="Heading4"/>
      </w:pPr>
      <w:r>
        <w:t>Indian application to conduct pre-export testing of prawns</w:t>
      </w:r>
    </w:p>
    <w:p w14:paraId="67AC37F8" w14:textId="5E427008" w:rsidR="00CC703E" w:rsidRDefault="00E37FDB" w:rsidP="00D01A6F">
      <w:r>
        <w:t xml:space="preserve">In 2015 the Department of Agriculture and Water Resources had evaluated a proposed pre-export testing program to be administered by the Export Inspection Council (EIC) as the competent authority of India. The intent was to have required </w:t>
      </w:r>
      <w:r>
        <w:lastRenderedPageBreak/>
        <w:t xml:space="preserve">prawn testing carried out pre-export in India and to implement a random on-arrival verification testing program in Australia. The department’s final evaluation report stated that India’s EIC has the capacity to meet Australia’s import requirements and provide equivalent risk management measures by testing uncooked prawns in India. However, until the department </w:t>
      </w:r>
      <w:r w:rsidR="00760012">
        <w:t>wa</w:t>
      </w:r>
      <w:r>
        <w:t>s able to organise and implement a random on-arrival verification testing program, India’s pre-export testing program c</w:t>
      </w:r>
      <w:r w:rsidR="00760012">
        <w:t xml:space="preserve">ould </w:t>
      </w:r>
      <w:r>
        <w:t>not commence.</w:t>
      </w:r>
    </w:p>
    <w:p w14:paraId="54EC1AA8" w14:textId="77777777" w:rsidR="00CC703E" w:rsidRDefault="00E37FDB" w:rsidP="00D01A6F">
      <w:pPr>
        <w:pStyle w:val="Heading4"/>
      </w:pPr>
      <w:r>
        <w:t>Competent authority certifications of uncooked prawns from countries not free of WSSV and YHD</w:t>
      </w:r>
    </w:p>
    <w:p w14:paraId="00C778A6" w14:textId="7A1517C9" w:rsidR="00CC703E" w:rsidRDefault="00E37FDB">
      <w:pPr>
        <w:spacing w:after="0"/>
        <w:rPr>
          <w:szCs w:val="24"/>
        </w:rPr>
      </w:pPr>
      <w:r>
        <w:rPr>
          <w:szCs w:val="24"/>
        </w:rPr>
        <w:t>Most of Australia’s prawn imports are from Asian countries. In the decade to 2016–17 the main exporters have been China, Vietnam, Thailand, Malaysia and Indonesia. Prawn farms in these countries are often distributed along crowded seashores and estuaries. Farms and their input suppliers are often some distance apart, a situation that contributes to disease spread. Batches of harvested prawns may be sent to large processing factories with high throughput for shelling, deveining and other pre-export processes. There is a high probability of infection being present in many of the harvested batches, and an even greater probability of cross-contamination between batches at processing plants. Some companies and countries have made efforts to develop vertically integrated prawn production and processing facilities, with quality assurance systems to provide guarantees around food safety and biosecurity.</w:t>
      </w:r>
    </w:p>
    <w:p w14:paraId="7F6C3511" w14:textId="7AEA9F33" w:rsidR="00CC703E" w:rsidRDefault="00E37FDB" w:rsidP="00D01A6F">
      <w:r>
        <w:t>From 2010 to 2016, for each consignment of prawns imported to Australia, the importer was required to obtain batch- and/or carton-specific certification issued by the relevant competent authority in the country of origin.</w:t>
      </w:r>
    </w:p>
    <w:p w14:paraId="753CD94A" w14:textId="3F34646A" w:rsidR="00CC703E" w:rsidRDefault="00E37FDB" w:rsidP="00D01A6F">
      <w:r>
        <w:t>Under the requirements, a batch is defined as ‘a population from a different pond population or fishing period population’. For each batch, the certificate must:</w:t>
      </w:r>
    </w:p>
    <w:p w14:paraId="3A68EAE3" w14:textId="7737FF79" w:rsidR="00CC703E" w:rsidRDefault="00E37FDB" w:rsidP="00D01A6F">
      <w:pPr>
        <w:pStyle w:val="ListBullet"/>
      </w:pPr>
      <w:r>
        <w:t>describe the product being exported (such as, peeled deveined tail off; head off and peeled with tail on)</w:t>
      </w:r>
      <w:r w:rsidR="00CB52AD">
        <w:t>,</w:t>
      </w:r>
    </w:p>
    <w:p w14:paraId="6607DBCE" w14:textId="3A50B50D" w:rsidR="00CC703E" w:rsidRDefault="00E37FDB" w:rsidP="00D01A6F">
      <w:pPr>
        <w:pStyle w:val="ListBullet"/>
      </w:pPr>
      <w:r>
        <w:t>state that the prawns have been processed, inspected and graded in premises approved by and under the control of the competent authority</w:t>
      </w:r>
      <w:r w:rsidR="00CB52AD">
        <w:t>,</w:t>
      </w:r>
    </w:p>
    <w:p w14:paraId="568869C4" w14:textId="453E835F" w:rsidR="00CC703E" w:rsidRDefault="00E37FDB" w:rsidP="00D01A6F">
      <w:pPr>
        <w:pStyle w:val="ListBullet"/>
      </w:pPr>
      <w:r>
        <w:t>state that the prawns are free from visible signs of infectious disease</w:t>
      </w:r>
      <w:r w:rsidR="00CB52AD">
        <w:t>,</w:t>
      </w:r>
    </w:p>
    <w:p w14:paraId="4A4E6EAD" w14:textId="0A42B094" w:rsidR="00CC703E" w:rsidRDefault="00E37FDB" w:rsidP="00D01A6F">
      <w:pPr>
        <w:pStyle w:val="ListBullet"/>
      </w:pPr>
      <w:r>
        <w:t>state that each package is marked with the words ‘For human consumption only—not to be used as bait or feed for aquatic animals’</w:t>
      </w:r>
      <w:r w:rsidR="00CB52AD">
        <w:t>, and</w:t>
      </w:r>
    </w:p>
    <w:p w14:paraId="3DF8C0F5" w14:textId="59FABE47" w:rsidR="00CC703E" w:rsidRDefault="00E37FDB" w:rsidP="00D01A6F">
      <w:pPr>
        <w:pStyle w:val="ListBullet"/>
        <w:rPr>
          <w:lang w:eastAsia="en-AU"/>
        </w:rPr>
      </w:pPr>
      <w:r>
        <w:t xml:space="preserve">be signed by a competent authority representative (government official) </w:t>
      </w:r>
      <w:r>
        <w:rPr>
          <w:rFonts w:eastAsia="Times New Roman"/>
          <w:lang w:eastAsia="en-AU"/>
        </w:rPr>
        <w:t>endorsing the quantity of prawns/products being exported.</w:t>
      </w:r>
    </w:p>
    <w:p w14:paraId="0B0F563E" w14:textId="3BE24E56" w:rsidR="00CC703E" w:rsidRDefault="00E37FDB" w:rsidP="00D01A6F">
      <w:r>
        <w:rPr>
          <w:rFonts w:cs="TimesNewRomanPSMT"/>
          <w:color w:val="000000"/>
          <w:lang w:eastAsia="en-AU"/>
        </w:rPr>
        <w:t xml:space="preserve">In practice, </w:t>
      </w:r>
      <w:r>
        <w:t xml:space="preserve">it was very difficult for competent authorities to ensure that all of these requirements had </w:t>
      </w:r>
      <w:r>
        <w:rPr>
          <w:rFonts w:cs="TimesNewRomanPSMT"/>
          <w:color w:val="000000"/>
          <w:lang w:eastAsia="en-AU"/>
        </w:rPr>
        <w:t>been</w:t>
      </w:r>
      <w:r>
        <w:t xml:space="preserve"> fulfilled. The country of origin of the prawns was assumed to be the country where prawn processing took place, but anecdotal evidence suggests this was not always the case</w:t>
      </w:r>
      <w:r w:rsidR="00E31430">
        <w:rPr>
          <w:vertAlign w:val="superscript"/>
        </w:rPr>
        <w:t>62</w:t>
      </w:r>
      <w:r w:rsidR="00656A9A">
        <w:rPr>
          <w:vertAlign w:val="superscript"/>
        </w:rPr>
        <w:t>,</w:t>
      </w:r>
      <w:r w:rsidR="00656A9A" w:rsidRPr="00656A9A">
        <w:rPr>
          <w:vertAlign w:val="superscript"/>
        </w:rPr>
        <w:t xml:space="preserve"> </w:t>
      </w:r>
      <w:r w:rsidR="00E31430">
        <w:rPr>
          <w:vertAlign w:val="superscript"/>
        </w:rPr>
        <w:t>63</w:t>
      </w:r>
      <w:r>
        <w:t>.</w:t>
      </w:r>
    </w:p>
    <w:p w14:paraId="666C36D4" w14:textId="3F104861" w:rsidR="00CC703E" w:rsidRDefault="00E37FDB" w:rsidP="00D01A6F">
      <w:pPr>
        <w:rPr>
          <w:rFonts w:cs="TimesNewRomanPSMT"/>
          <w:color w:val="000000"/>
          <w:lang w:eastAsia="en-AU"/>
        </w:rPr>
      </w:pPr>
      <w:r>
        <w:rPr>
          <w:rFonts w:cs="TimesNewRomanPSMT"/>
          <w:color w:val="000000"/>
          <w:lang w:eastAsia="en-AU"/>
        </w:rPr>
        <w:t xml:space="preserve">Prawns are a globally traded commodity and the competent authority was only required to certify the prawns at the point of processing and packing. They may </w:t>
      </w:r>
      <w:r>
        <w:rPr>
          <w:rFonts w:cs="TimesNewRomanPSMT"/>
          <w:color w:val="000000"/>
          <w:lang w:eastAsia="en-AU"/>
        </w:rPr>
        <w:lastRenderedPageBreak/>
        <w:t>sometimes have been unaware of the country of production. It may have been unclear whether the ‘country of origin’ specified on the import certificate was the country where the prawns were grown or the country where the processing and grading was done and from where the prawns were being exported.</w:t>
      </w:r>
    </w:p>
    <w:p w14:paraId="60804698" w14:textId="5F0272F9" w:rsidR="00CC703E" w:rsidRDefault="00E37FDB" w:rsidP="00D01A6F">
      <w:pPr>
        <w:rPr>
          <w:rFonts w:cs="TimesNewRomanPSMT"/>
          <w:color w:val="000000"/>
          <w:lang w:eastAsia="en-AU"/>
        </w:rPr>
      </w:pPr>
      <w:r>
        <w:rPr>
          <w:rFonts w:cs="TimesNewRomanPSMT"/>
          <w:color w:val="000000"/>
          <w:lang w:eastAsia="en-AU"/>
        </w:rPr>
        <w:t xml:space="preserve">The batch of origin of the prawns would also be very difficult for the competent authority to certify. Without specific measures in place for traceability of individual batches back to the farm and </w:t>
      </w:r>
      <w:r w:rsidR="003707A5">
        <w:rPr>
          <w:rFonts w:cs="TimesNewRomanPSMT"/>
          <w:color w:val="000000"/>
          <w:lang w:eastAsia="en-AU"/>
        </w:rPr>
        <w:t xml:space="preserve">their segregation from other batches during </w:t>
      </w:r>
      <w:r>
        <w:rPr>
          <w:rFonts w:cs="TimesNewRomanPSMT"/>
          <w:color w:val="000000"/>
          <w:lang w:eastAsia="en-AU"/>
        </w:rPr>
        <w:t>processing (see 6.2.2) it would be difficult for the competent authority to certify that prawns in a consignment came from one or several batches, as defined in the import conditions.</w:t>
      </w:r>
    </w:p>
    <w:p w14:paraId="34211E6B" w14:textId="0F47039B" w:rsidR="00CC703E" w:rsidRDefault="00E37FDB" w:rsidP="00D01A6F">
      <w:pPr>
        <w:rPr>
          <w:rFonts w:cs="TimesNewRomanPSMT"/>
          <w:color w:val="000000"/>
          <w:lang w:eastAsia="en-AU"/>
        </w:rPr>
      </w:pPr>
      <w:r>
        <w:rPr>
          <w:rFonts w:cs="TimesNewRomanPSMT"/>
          <w:color w:val="000000"/>
          <w:lang w:eastAsia="en-AU"/>
        </w:rPr>
        <w:t xml:space="preserve">Freedom from clinical signs of infectious disease would also be difficult for a competent authority to ascertain. </w:t>
      </w:r>
      <w:r w:rsidR="0028613E">
        <w:rPr>
          <w:rFonts w:cs="TimesNewRomanPSMT"/>
          <w:color w:val="000000"/>
          <w:lang w:eastAsia="en-AU"/>
        </w:rPr>
        <w:t>D</w:t>
      </w:r>
      <w:r>
        <w:rPr>
          <w:rFonts w:cs="TimesNewRomanPSMT"/>
          <w:color w:val="000000"/>
          <w:lang w:eastAsia="en-AU"/>
        </w:rPr>
        <w:t>etect</w:t>
      </w:r>
      <w:r w:rsidR="0028613E">
        <w:rPr>
          <w:rFonts w:cs="TimesNewRomanPSMT"/>
          <w:color w:val="000000"/>
          <w:lang w:eastAsia="en-AU"/>
        </w:rPr>
        <w:t>ing</w:t>
      </w:r>
      <w:r>
        <w:rPr>
          <w:rFonts w:cs="TimesNewRomanPSMT"/>
          <w:color w:val="000000"/>
          <w:lang w:eastAsia="en-AU"/>
        </w:rPr>
        <w:t xml:space="preserve"> signs of infectious disease (such as WSD) at the processing plant would require physical inspection of a sample of the prawns from each batch before they were shelled. There is no evidence that this was ever carried out. It would be impossible to detect disease by macroscopic inspection once prawns </w:t>
      </w:r>
      <w:r w:rsidR="0028613E">
        <w:rPr>
          <w:rFonts w:cs="TimesNewRomanPSMT"/>
          <w:color w:val="000000"/>
          <w:lang w:eastAsia="en-AU"/>
        </w:rPr>
        <w:t>were</w:t>
      </w:r>
      <w:r>
        <w:rPr>
          <w:rFonts w:cs="TimesNewRomanPSMT"/>
          <w:color w:val="000000"/>
          <w:lang w:eastAsia="en-AU"/>
        </w:rPr>
        <w:t xml:space="preserve"> shelled and de</w:t>
      </w:r>
      <w:r w:rsidR="006E64DD">
        <w:rPr>
          <w:rFonts w:cs="TimesNewRomanPSMT"/>
          <w:color w:val="000000"/>
          <w:lang w:eastAsia="en-AU"/>
        </w:rPr>
        <w:t>head</w:t>
      </w:r>
      <w:r>
        <w:rPr>
          <w:rFonts w:cs="TimesNewRomanPSMT"/>
          <w:color w:val="000000"/>
          <w:lang w:eastAsia="en-AU"/>
        </w:rPr>
        <w:t>ed.</w:t>
      </w:r>
    </w:p>
    <w:p w14:paraId="7598C99B" w14:textId="0AF59417" w:rsidR="00CC703E" w:rsidRDefault="00E37FDB" w:rsidP="00D01A6F">
      <w:pPr>
        <w:rPr>
          <w:rFonts w:cs="TimesNewRomanPSMT"/>
          <w:color w:val="000000"/>
          <w:lang w:eastAsia="en-AU"/>
        </w:rPr>
      </w:pPr>
      <w:r>
        <w:rPr>
          <w:rFonts w:cs="TimesNewRomanPSMT"/>
          <w:color w:val="000000"/>
          <w:lang w:eastAsia="en-AU"/>
        </w:rPr>
        <w:t xml:space="preserve">These offshore requirements, which were </w:t>
      </w:r>
      <w:r w:rsidR="006E64DD">
        <w:rPr>
          <w:rFonts w:cs="TimesNewRomanPSMT"/>
          <w:color w:val="000000"/>
          <w:lang w:eastAsia="en-AU"/>
        </w:rPr>
        <w:t xml:space="preserve">very </w:t>
      </w:r>
      <w:r>
        <w:rPr>
          <w:rFonts w:cs="TimesNewRomanPSMT"/>
          <w:color w:val="000000"/>
          <w:lang w:eastAsia="en-AU"/>
        </w:rPr>
        <w:t>difficult to monitor effectively, may have engendered a false sense of security in the overall safety of uncooked prawn imports.</w:t>
      </w:r>
    </w:p>
    <w:p w14:paraId="017B3E3E" w14:textId="77777777" w:rsidR="00CC703E" w:rsidRPr="008937FF" w:rsidRDefault="00E37FDB" w:rsidP="008937FF">
      <w:pPr>
        <w:pStyle w:val="Heading3"/>
        <w:rPr>
          <w:rStyle w:val="Heading3Char"/>
          <w:rFonts w:eastAsia="Calibri"/>
          <w:b/>
          <w:bCs/>
        </w:rPr>
      </w:pPr>
      <w:bookmarkStart w:id="166" w:name="_Toc490040486"/>
      <w:bookmarkStart w:id="167" w:name="_Toc500508405"/>
      <w:r w:rsidRPr="008937FF">
        <w:rPr>
          <w:rStyle w:val="Heading3Char"/>
          <w:rFonts w:eastAsia="Calibri"/>
          <w:b/>
          <w:bCs/>
        </w:rPr>
        <w:t>Border biosecurity management activities</w:t>
      </w:r>
      <w:bookmarkEnd w:id="166"/>
      <w:r w:rsidRPr="008937FF">
        <w:rPr>
          <w:rStyle w:val="Heading3Char"/>
          <w:rFonts w:eastAsia="Calibri"/>
          <w:b/>
          <w:bCs/>
        </w:rPr>
        <w:t>, 2010 to 2016</w:t>
      </w:r>
      <w:bookmarkEnd w:id="167"/>
    </w:p>
    <w:p w14:paraId="700F789C" w14:textId="27865AD0" w:rsidR="00CC703E" w:rsidRDefault="00E37FDB" w:rsidP="008937FF">
      <w:pPr>
        <w:pStyle w:val="Heading4"/>
      </w:pPr>
      <w:r>
        <w:t>Entry management</w:t>
      </w:r>
    </w:p>
    <w:p w14:paraId="1C92D955" w14:textId="56CA8963" w:rsidR="00CC703E" w:rsidRDefault="00E37FDB">
      <w:pPr>
        <w:spacing w:after="0"/>
        <w:rPr>
          <w:rFonts w:cs="Calibri"/>
          <w:szCs w:val="24"/>
          <w:lang w:eastAsia="en-AU"/>
        </w:rPr>
      </w:pPr>
      <w:r>
        <w:rPr>
          <w:rFonts w:cs="Calibri"/>
          <w:szCs w:val="24"/>
          <w:lang w:eastAsia="en-AU"/>
        </w:rPr>
        <w:t xml:space="preserve">Goods imported into Australia are classified under the </w:t>
      </w:r>
      <w:r>
        <w:rPr>
          <w:rFonts w:cs="Calibri"/>
          <w:i/>
          <w:szCs w:val="24"/>
          <w:lang w:eastAsia="en-AU"/>
        </w:rPr>
        <w:t>Customs Tariff Act 1995</w:t>
      </w:r>
      <w:r>
        <w:rPr>
          <w:rFonts w:cs="Calibri"/>
          <w:szCs w:val="24"/>
          <w:lang w:eastAsia="en-AU"/>
        </w:rPr>
        <w:t>. A memorandum of understanding between the Department of Agriculture and the Australian Customs and Border Protection Service (Customs), signed on 21 July 2011, defined each party’s respective biosecurity and border protection responsibilities.</w:t>
      </w:r>
    </w:p>
    <w:p w14:paraId="48A85D08" w14:textId="777AE52C" w:rsidR="00CC703E" w:rsidRDefault="00E37FDB">
      <w:pPr>
        <w:spacing w:after="0"/>
        <w:rPr>
          <w:rFonts w:cs="Calibri"/>
          <w:szCs w:val="24"/>
          <w:lang w:eastAsia="en-AU"/>
        </w:rPr>
      </w:pPr>
      <w:r>
        <w:rPr>
          <w:rFonts w:cs="Calibri"/>
          <w:szCs w:val="24"/>
          <w:lang w:eastAsia="en-AU"/>
        </w:rPr>
        <w:t>Two interlinked electronic information management systems were used for clearing imported goods (such as prawn consignments) at the border:</w:t>
      </w:r>
    </w:p>
    <w:p w14:paraId="7E05DCDC" w14:textId="40B6BC99" w:rsidR="00CC703E" w:rsidRDefault="00E37FDB" w:rsidP="008937FF">
      <w:pPr>
        <w:pStyle w:val="ListBullet"/>
        <w:rPr>
          <w:lang w:eastAsia="en-AU"/>
        </w:rPr>
      </w:pPr>
      <w:r>
        <w:rPr>
          <w:lang w:eastAsia="en-AU"/>
        </w:rPr>
        <w:t>the Integrated Cargo System (ICS)—managed by Customs</w:t>
      </w:r>
    </w:p>
    <w:p w14:paraId="41F6E5C6" w14:textId="3D6E1DE9" w:rsidR="00CC703E" w:rsidRDefault="00E37FDB" w:rsidP="008937FF">
      <w:pPr>
        <w:pStyle w:val="ListBullet"/>
        <w:rPr>
          <w:lang w:eastAsia="en-AU"/>
        </w:rPr>
      </w:pPr>
      <w:r>
        <w:rPr>
          <w:lang w:eastAsia="en-AU"/>
        </w:rPr>
        <w:t>the Agriculture Import Management System (AIMS)—managed by the department and used by staff to profile, target and record real-time processes, including entry management, point-to-point movement of imported goods, inspection findings and WSSV/YHV testing outcomes as part of arrival clearance procedures, and directions for re-export or destruction of failed consignments.</w:t>
      </w:r>
    </w:p>
    <w:p w14:paraId="37D9AE87" w14:textId="683FD918" w:rsidR="00CC703E" w:rsidRDefault="00E37FDB">
      <w:pPr>
        <w:spacing w:after="0"/>
        <w:rPr>
          <w:rFonts w:cs="Calibri"/>
          <w:szCs w:val="24"/>
          <w:lang w:eastAsia="en-AU"/>
        </w:rPr>
      </w:pPr>
      <w:r>
        <w:rPr>
          <w:rFonts w:cs="Calibri"/>
          <w:szCs w:val="24"/>
          <w:lang w:eastAsia="en-AU"/>
        </w:rPr>
        <w:t>The ICS automatically refers all import consignments of biosecurity concern (including prawns and prawn products) to AIMS. Some of these referrals are based on tariff codes targeted by community protection profiles (CPPs) set by the department. Inspectors at the first port of arrival were responsible for clearing imported consignments in their region.</w:t>
      </w:r>
    </w:p>
    <w:p w14:paraId="2B4E1FFA" w14:textId="77777777" w:rsidR="00E3192E" w:rsidRDefault="00E3192E" w:rsidP="00E3192E">
      <w:pPr>
        <w:rPr>
          <w:szCs w:val="24"/>
        </w:rPr>
      </w:pPr>
      <w:r>
        <w:rPr>
          <w:szCs w:val="24"/>
        </w:rPr>
        <w:t>Two types of inspection could be used to evaluate imported prawn consignments:</w:t>
      </w:r>
    </w:p>
    <w:p w14:paraId="6F2D94A1" w14:textId="13636DFE" w:rsidR="00E3192E" w:rsidRDefault="00E3192E" w:rsidP="00E3192E">
      <w:pPr>
        <w:pStyle w:val="ListBullet"/>
      </w:pPr>
      <w:r w:rsidRPr="008937FF">
        <w:rPr>
          <w:b/>
          <w:i/>
        </w:rPr>
        <w:lastRenderedPageBreak/>
        <w:t>seals-intact inspection</w:t>
      </w:r>
      <w:r>
        <w:t>—where the department applied directions requiring that the container that had been sealed overseas pre-shipping remain sealed until an inspector was available to supervise the breaking of the seal and unloading of the container</w:t>
      </w:r>
      <w:r w:rsidR="00971338">
        <w:t xml:space="preserve">, </w:t>
      </w:r>
      <w:r>
        <w:t>or</w:t>
      </w:r>
    </w:p>
    <w:p w14:paraId="42ABEA63" w14:textId="77777777" w:rsidR="00E3192E" w:rsidRDefault="00E3192E" w:rsidP="00E3192E">
      <w:pPr>
        <w:pStyle w:val="ListBullet"/>
      </w:pPr>
      <w:r>
        <w:rPr>
          <w:b/>
          <w:i/>
        </w:rPr>
        <w:t>unpack inspection</w:t>
      </w:r>
      <w:r>
        <w:t>—where the importer or person in charge of a QAP unpacked the goods from the containers they were shipped in. An inspector subsequently inspected the goods to ensure they met import conditions. Before August 2016 inspections of uncooked unprocessed prawns were normally undertaken as an unpack inspection.</w:t>
      </w:r>
    </w:p>
    <w:p w14:paraId="35094377" w14:textId="706AF4E9" w:rsidR="00CC703E" w:rsidRDefault="00E37FDB">
      <w:pPr>
        <w:rPr>
          <w:rFonts w:cs="Calibri"/>
          <w:szCs w:val="24"/>
          <w:lang w:eastAsia="en-AU"/>
        </w:rPr>
      </w:pPr>
      <w:r>
        <w:rPr>
          <w:rFonts w:cs="Calibri"/>
          <w:szCs w:val="24"/>
          <w:lang w:eastAsia="en-AU"/>
        </w:rPr>
        <w:t xml:space="preserve">The following section describes the </w:t>
      </w:r>
      <w:r w:rsidRPr="00EB75D4">
        <w:rPr>
          <w:rFonts w:cs="Calibri"/>
          <w:szCs w:val="24"/>
          <w:lang w:eastAsia="en-AU"/>
        </w:rPr>
        <w:t>at-border</w:t>
      </w:r>
      <w:r>
        <w:rPr>
          <w:rFonts w:cs="Calibri"/>
          <w:szCs w:val="24"/>
          <w:lang w:eastAsia="en-AU"/>
        </w:rPr>
        <w:t xml:space="preserve"> processes that the department had in place before the suspension of uncooked prawn and prawn products </w:t>
      </w:r>
      <w:r w:rsidR="00740A72">
        <w:rPr>
          <w:rFonts w:cs="Calibri"/>
          <w:szCs w:val="24"/>
          <w:lang w:eastAsia="en-AU"/>
        </w:rPr>
        <w:t>in</w:t>
      </w:r>
      <w:r w:rsidRPr="00EB75D4">
        <w:rPr>
          <w:rFonts w:cs="Calibri"/>
          <w:szCs w:val="24"/>
          <w:lang w:eastAsia="en-AU"/>
        </w:rPr>
        <w:t xml:space="preserve"> January 2017</w:t>
      </w:r>
      <w:r>
        <w:rPr>
          <w:rFonts w:cs="Calibri"/>
          <w:szCs w:val="24"/>
          <w:lang w:eastAsia="en-AU"/>
        </w:rPr>
        <w:t>.</w:t>
      </w:r>
    </w:p>
    <w:p w14:paraId="3F6DFE94" w14:textId="77777777" w:rsidR="00CC703E" w:rsidRDefault="00E37FDB" w:rsidP="008937FF">
      <w:pPr>
        <w:pStyle w:val="Heading5"/>
      </w:pPr>
      <w:r>
        <w:t>Step 1 Document assessment</w:t>
      </w:r>
      <w:r w:rsidRPr="00EB75D4">
        <w:t xml:space="preserve"> by front office staff</w:t>
      </w:r>
    </w:p>
    <w:p w14:paraId="79CC3F24" w14:textId="33640DFE" w:rsidR="00CC703E" w:rsidRDefault="00E37FDB">
      <w:pPr>
        <w:rPr>
          <w:rFonts w:cs="Calibri"/>
          <w:szCs w:val="24"/>
          <w:lang w:eastAsia="en-AU"/>
        </w:rPr>
      </w:pPr>
      <w:r>
        <w:t>The</w:t>
      </w:r>
      <w:r>
        <w:rPr>
          <w:rFonts w:cs="Calibri"/>
          <w:szCs w:val="24"/>
          <w:lang w:eastAsia="en-AU"/>
        </w:rPr>
        <w:t xml:space="preserve"> broker/importer of a consignment of uncooked prawns or prawn products submitted copies of accompanying documentation to the department’s regional office in person, via courier or as email attachments.</w:t>
      </w:r>
    </w:p>
    <w:p w14:paraId="2B9F3DF1" w14:textId="7997B01C" w:rsidR="00CC703E" w:rsidRDefault="00E37FDB">
      <w:pPr>
        <w:rPr>
          <w:rFonts w:cs="Calibri"/>
          <w:szCs w:val="24"/>
          <w:lang w:eastAsia="en-AU"/>
        </w:rPr>
      </w:pPr>
      <w:r>
        <w:rPr>
          <w:rFonts w:cs="Calibri"/>
          <w:szCs w:val="24"/>
          <w:lang w:eastAsia="en-AU"/>
        </w:rPr>
        <w:t>Entry management staff (officers trained to assess import documentation) at the front office would assess and stamp documents, update the consignment entry on the AIMS database and issue a direction to the broker/importer to contact booking officers in the region to organise an inspection and direct the consignment to a quarantine approved premises</w:t>
      </w:r>
      <w:r w:rsidRPr="00EB75D4">
        <w:rPr>
          <w:rFonts w:cs="Calibri"/>
          <w:szCs w:val="24"/>
          <w:lang w:eastAsia="en-AU"/>
        </w:rPr>
        <w:t xml:space="preserve"> (</w:t>
      </w:r>
      <w:r>
        <w:rPr>
          <w:rFonts w:cs="Calibri"/>
          <w:szCs w:val="24"/>
          <w:lang w:eastAsia="en-AU"/>
        </w:rPr>
        <w:t>QAP). Entry management staff would also contact the broker/importer if they required additional documents (or clarification) to ensure all import requirements were met.</w:t>
      </w:r>
    </w:p>
    <w:p w14:paraId="1207405E" w14:textId="1E5F8B9E" w:rsidR="00CC703E" w:rsidRDefault="00E37FDB" w:rsidP="00EB75D4">
      <w:pPr>
        <w:rPr>
          <w:lang w:eastAsia="en-AU"/>
        </w:rPr>
      </w:pPr>
      <w:r>
        <w:rPr>
          <w:rFonts w:cs="Calibri"/>
          <w:szCs w:val="24"/>
          <w:lang w:eastAsia="en-AU"/>
        </w:rPr>
        <w:t>Documents accompanying each imported consignment of prawns or prawn products were assessed to</w:t>
      </w:r>
      <w:r>
        <w:t xml:space="preserve"> </w:t>
      </w:r>
      <w:r w:rsidRPr="00EB75D4">
        <w:t>determine</w:t>
      </w:r>
      <w:r>
        <w:rPr>
          <w:lang w:eastAsia="en-AU"/>
        </w:rPr>
        <w:t xml:space="preserve"> that the following were included:</w:t>
      </w:r>
    </w:p>
    <w:p w14:paraId="3B3D12EA" w14:textId="527BE857" w:rsidR="00CC703E" w:rsidRDefault="00E37FDB" w:rsidP="008937FF">
      <w:pPr>
        <w:pStyle w:val="ListBullet"/>
        <w:rPr>
          <w:lang w:eastAsia="en-AU"/>
        </w:rPr>
      </w:pPr>
      <w:r>
        <w:rPr>
          <w:lang w:eastAsia="en-AU"/>
        </w:rPr>
        <w:t>a valid import permit</w:t>
      </w:r>
    </w:p>
    <w:p w14:paraId="310B80C3" w14:textId="28EB616C" w:rsidR="00CC703E" w:rsidRDefault="00E37FDB" w:rsidP="008937FF">
      <w:pPr>
        <w:pStyle w:val="ListBullet"/>
        <w:rPr>
          <w:lang w:eastAsia="en-AU"/>
        </w:rPr>
      </w:pPr>
      <w:r>
        <w:rPr>
          <w:lang w:eastAsia="en-AU"/>
        </w:rPr>
        <w:t>a consignment-specific health certificate issued by the competent authority of the country of origin</w:t>
      </w:r>
      <w:r w:rsidR="00971338">
        <w:rPr>
          <w:lang w:eastAsia="en-AU"/>
        </w:rPr>
        <w:t>, and</w:t>
      </w:r>
    </w:p>
    <w:p w14:paraId="215785F1" w14:textId="7694E0CD" w:rsidR="00CC703E" w:rsidRDefault="00E37FDB" w:rsidP="008937FF">
      <w:pPr>
        <w:pStyle w:val="ListBullet"/>
        <w:rPr>
          <w:lang w:eastAsia="en-AU"/>
        </w:rPr>
      </w:pPr>
      <w:r>
        <w:rPr>
          <w:lang w:eastAsia="en-AU"/>
        </w:rPr>
        <w:t>documentation from the exporter, supplier or competent authority verifying the number of batches in the consignment and their labelling—for example, commercial invoice, manufacturer’s declaration, importer declaration, bill of lading or packing list and all statements/declarations required by the import permit conditions.</w:t>
      </w:r>
    </w:p>
    <w:p w14:paraId="35BA44DE" w14:textId="727D5904" w:rsidR="00CC703E" w:rsidRDefault="00E37FDB" w:rsidP="00EB75D4">
      <w:pPr>
        <w:rPr>
          <w:lang w:eastAsia="en-AU"/>
        </w:rPr>
      </w:pPr>
      <w:r>
        <w:rPr>
          <w:lang w:eastAsia="en-AU"/>
        </w:rPr>
        <w:t>Entry staff ensured that off</w:t>
      </w:r>
      <w:r w:rsidRPr="00EB75D4">
        <w:t>shore</w:t>
      </w:r>
      <w:r>
        <w:rPr>
          <w:lang w:eastAsia="en-AU"/>
        </w:rPr>
        <w:t xml:space="preserve"> import conditions had been met and that all outcomes of the inspections were recorded in AIMS.</w:t>
      </w:r>
    </w:p>
    <w:p w14:paraId="45F0DC14" w14:textId="77777777" w:rsidR="00CC703E" w:rsidRDefault="00E37FDB" w:rsidP="008937FF">
      <w:pPr>
        <w:pStyle w:val="Heading5"/>
      </w:pPr>
      <w:r>
        <w:t>Step 2 Importer request for inspection and sampling</w:t>
      </w:r>
    </w:p>
    <w:p w14:paraId="4437C687" w14:textId="3A924F8B" w:rsidR="00CC703E" w:rsidRDefault="00E37FDB">
      <w:pPr>
        <w:rPr>
          <w:rFonts w:cs="Calibri"/>
          <w:szCs w:val="24"/>
          <w:lang w:eastAsia="en-AU"/>
        </w:rPr>
      </w:pPr>
      <w:r>
        <w:rPr>
          <w:rFonts w:cs="Calibri"/>
          <w:szCs w:val="24"/>
          <w:lang w:eastAsia="en-AU"/>
        </w:rPr>
        <w:t xml:space="preserve">The broker/importer was responsible for moving the consignment to a QAP, which was required to hold the consignment under quarantine control. The broker/importer would then contact the department’s regional office to organise the inspection and sampling appointment. Because all prawn consignments are frozen, there </w:t>
      </w:r>
      <w:r>
        <w:rPr>
          <w:rFonts w:cs="Calibri"/>
          <w:szCs w:val="24"/>
          <w:lang w:eastAsia="en-AU"/>
        </w:rPr>
        <w:lastRenderedPageBreak/>
        <w:t xml:space="preserve">was no perceived need for prompt inspection. The average time </w:t>
      </w:r>
      <w:r w:rsidR="00971338">
        <w:rPr>
          <w:rFonts w:cs="Calibri"/>
          <w:szCs w:val="24"/>
          <w:lang w:eastAsia="en-AU"/>
        </w:rPr>
        <w:t>from</w:t>
      </w:r>
      <w:r>
        <w:rPr>
          <w:rFonts w:cs="Calibri"/>
          <w:szCs w:val="24"/>
          <w:lang w:eastAsia="en-AU"/>
        </w:rPr>
        <w:t xml:space="preserve"> consignments being ordered into quarantine </w:t>
      </w:r>
      <w:r w:rsidR="00971338">
        <w:rPr>
          <w:rFonts w:cs="Calibri"/>
          <w:szCs w:val="24"/>
          <w:lang w:eastAsia="en-AU"/>
        </w:rPr>
        <w:t>to</w:t>
      </w:r>
      <w:r>
        <w:rPr>
          <w:rFonts w:cs="Calibri"/>
          <w:szCs w:val="24"/>
          <w:lang w:eastAsia="en-AU"/>
        </w:rPr>
        <w:t xml:space="preserve"> inspected was four weeks.</w:t>
      </w:r>
    </w:p>
    <w:p w14:paraId="2AC80C06" w14:textId="581133E5" w:rsidR="00CC703E" w:rsidRDefault="00E37FDB" w:rsidP="008937FF">
      <w:pPr>
        <w:pStyle w:val="Heading5"/>
      </w:pPr>
      <w:r>
        <w:t>Step 3 Inspector assigned to conduct inspection</w:t>
      </w:r>
    </w:p>
    <w:p w14:paraId="578219FF" w14:textId="56AD3EFD" w:rsidR="00CC703E" w:rsidRDefault="00E37FDB">
      <w:pPr>
        <w:rPr>
          <w:rFonts w:cs="Calibri"/>
          <w:szCs w:val="24"/>
          <w:lang w:eastAsia="en-AU"/>
        </w:rPr>
      </w:pPr>
      <w:r>
        <w:rPr>
          <w:rFonts w:cs="Calibri"/>
          <w:szCs w:val="24"/>
          <w:lang w:eastAsia="en-AU"/>
        </w:rPr>
        <w:t>Until 2011–12 bookings in regional offices were taken by a small team of officers who would, using a whiteboard, assign inspection of consignments to individual inspectors. At the start of the day, each inspector would list their assigned entries in a notebook and drive to QAPs to undertake inspections. In 2012 the department introduced an electronic system (Client Contact Group database) that enabled regional offices to manage bookings.</w:t>
      </w:r>
    </w:p>
    <w:p w14:paraId="352C20FB" w14:textId="1A02642F" w:rsidR="00CC703E" w:rsidRDefault="00E37FDB" w:rsidP="0087638C">
      <w:pPr>
        <w:pStyle w:val="Heading4"/>
      </w:pPr>
      <w:r>
        <w:t>Inspection and sampling at quarantine approved premises</w:t>
      </w:r>
    </w:p>
    <w:p w14:paraId="78FA12C0" w14:textId="44D9419B" w:rsidR="00CC703E" w:rsidRDefault="00E37FDB">
      <w:pPr>
        <w:rPr>
          <w:szCs w:val="24"/>
        </w:rPr>
      </w:pPr>
      <w:r>
        <w:rPr>
          <w:rFonts w:cs="Calibri"/>
          <w:szCs w:val="24"/>
          <w:lang w:eastAsia="en-AU"/>
        </w:rPr>
        <w:t xml:space="preserve">An </w:t>
      </w:r>
      <w:r>
        <w:rPr>
          <w:lang w:eastAsia="ja-JP"/>
        </w:rPr>
        <w:t>inspector</w:t>
      </w:r>
      <w:r>
        <w:rPr>
          <w:rFonts w:cs="Calibri"/>
          <w:szCs w:val="24"/>
          <w:lang w:eastAsia="en-AU"/>
        </w:rPr>
        <w:t xml:space="preserve"> (normally alone) would attend the QAP</w:t>
      </w:r>
      <w:r>
        <w:rPr>
          <w:szCs w:val="24"/>
        </w:rPr>
        <w:t xml:space="preserve"> to carry out inspection and sampling in accordance with the department’s </w:t>
      </w:r>
      <w:r w:rsidR="00740A72">
        <w:rPr>
          <w:szCs w:val="24"/>
        </w:rPr>
        <w:t>‘</w:t>
      </w:r>
      <w:r w:rsidR="00740A72" w:rsidRPr="00C2237F">
        <w:rPr>
          <w:i/>
          <w:szCs w:val="24"/>
        </w:rPr>
        <w:t>Instruction and guideline:</w:t>
      </w:r>
      <w:r w:rsidR="00740A72">
        <w:rPr>
          <w:szCs w:val="24"/>
        </w:rPr>
        <w:t xml:space="preserve"> </w:t>
      </w:r>
      <w:r>
        <w:rPr>
          <w:i/>
          <w:szCs w:val="24"/>
        </w:rPr>
        <w:t>Prawn sampling for disease testing</w:t>
      </w:r>
      <w:r w:rsidR="00740A72">
        <w:rPr>
          <w:szCs w:val="24"/>
        </w:rPr>
        <w:t>’</w:t>
      </w:r>
      <w:r w:rsidR="00E31430">
        <w:rPr>
          <w:szCs w:val="24"/>
          <w:vertAlign w:val="superscript"/>
        </w:rPr>
        <w:t>13</w:t>
      </w:r>
      <w:r w:rsidR="00ED6BC1">
        <w:rPr>
          <w:szCs w:val="24"/>
          <w:vertAlign w:val="superscript"/>
        </w:rPr>
        <w:t>2</w:t>
      </w:r>
      <w:r w:rsidR="001B2CBD" w:rsidRPr="00916A08">
        <w:rPr>
          <w:szCs w:val="24"/>
        </w:rPr>
        <w:t xml:space="preserve"> (see </w:t>
      </w:r>
      <w:r w:rsidR="001B2CBD">
        <w:rPr>
          <w:szCs w:val="24"/>
        </w:rPr>
        <w:fldChar w:fldCharType="begin"/>
      </w:r>
      <w:r w:rsidR="001B2CBD">
        <w:rPr>
          <w:szCs w:val="24"/>
        </w:rPr>
        <w:instrText xml:space="preserve"> REF _Ref497400039 \h </w:instrText>
      </w:r>
      <w:r w:rsidR="001B2CBD">
        <w:rPr>
          <w:szCs w:val="24"/>
        </w:rPr>
      </w:r>
      <w:r w:rsidR="001B2CBD">
        <w:rPr>
          <w:szCs w:val="24"/>
        </w:rPr>
        <w:fldChar w:fldCharType="separate"/>
      </w:r>
      <w:r w:rsidR="00121BC1">
        <w:t xml:space="preserve">Box </w:t>
      </w:r>
      <w:r w:rsidR="00121BC1">
        <w:rPr>
          <w:noProof/>
        </w:rPr>
        <w:t>4</w:t>
      </w:r>
      <w:r w:rsidR="001B2CBD">
        <w:rPr>
          <w:szCs w:val="24"/>
        </w:rPr>
        <w:fldChar w:fldCharType="end"/>
      </w:r>
      <w:r w:rsidR="001B2CBD" w:rsidRPr="00916A08">
        <w:rPr>
          <w:szCs w:val="24"/>
        </w:rPr>
        <w:t>)</w:t>
      </w:r>
      <w:r>
        <w:rPr>
          <w:szCs w:val="24"/>
        </w:rPr>
        <w:t>.</w:t>
      </w:r>
    </w:p>
    <w:p w14:paraId="7E7D6CED" w14:textId="77777777" w:rsidR="00CC703E" w:rsidRDefault="00E37FDB" w:rsidP="00F76CB0">
      <w:pPr>
        <w:pStyle w:val="Caption"/>
        <w:rPr>
          <w:szCs w:val="24"/>
        </w:rPr>
      </w:pPr>
      <w:bookmarkStart w:id="168" w:name="_Ref497400039"/>
      <w:r>
        <w:lastRenderedPageBreak/>
        <w:t xml:space="preserve">Box </w:t>
      </w:r>
      <w:r w:rsidR="00F329C0">
        <w:fldChar w:fldCharType="begin"/>
      </w:r>
      <w:r w:rsidR="00F329C0">
        <w:instrText xml:space="preserve"> SEQ Box \* ARABIC </w:instrText>
      </w:r>
      <w:r w:rsidR="00F329C0">
        <w:fldChar w:fldCharType="separate"/>
      </w:r>
      <w:r w:rsidR="00121BC1">
        <w:rPr>
          <w:noProof/>
        </w:rPr>
        <w:t>4</w:t>
      </w:r>
      <w:r w:rsidR="00F329C0">
        <w:rPr>
          <w:noProof/>
        </w:rPr>
        <w:fldChar w:fldCharType="end"/>
      </w:r>
      <w:bookmarkEnd w:id="168"/>
      <w:r>
        <w:t xml:space="preserve"> Inspection and sampling of imported uncooked prawn consignments at QAPs under the </w:t>
      </w:r>
      <w:r w:rsidRPr="00EB75D4">
        <w:rPr>
          <w:rStyle w:val="Emphasis"/>
        </w:rPr>
        <w:t>Quarantine Act 1908</w:t>
      </w:r>
      <w:r>
        <w:t>, before 16 June 2016</w:t>
      </w:r>
    </w:p>
    <w:tbl>
      <w:tblPr>
        <w:tblStyle w:val="TableGrid"/>
        <w:tblW w:w="0" w:type="auto"/>
        <w:tblLook w:val="04A0" w:firstRow="1" w:lastRow="0" w:firstColumn="1" w:lastColumn="0" w:noHBand="0" w:noVBand="1"/>
      </w:tblPr>
      <w:tblGrid>
        <w:gridCol w:w="9402"/>
      </w:tblGrid>
      <w:tr w:rsidR="00CC703E" w:rsidRPr="00AB75F3" w14:paraId="7CF84AF3" w14:textId="77777777">
        <w:tc>
          <w:tcPr>
            <w:tcW w:w="9402" w:type="dxa"/>
          </w:tcPr>
          <w:p w14:paraId="2CC8B8A9" w14:textId="77777777" w:rsidR="00CC703E" w:rsidRPr="00AB75F3" w:rsidRDefault="00E37FDB" w:rsidP="00F76CB0">
            <w:pPr>
              <w:keepNext/>
              <w:spacing w:before="60" w:after="0"/>
              <w:rPr>
                <w:rStyle w:val="Strong"/>
                <w:rFonts w:eastAsia="Calibri"/>
                <w:b w:val="0"/>
                <w:bCs w:val="0"/>
                <w:color w:val="404040"/>
                <w:sz w:val="22"/>
              </w:rPr>
            </w:pPr>
            <w:r w:rsidRPr="00AB75F3">
              <w:rPr>
                <w:rStyle w:val="Strong"/>
                <w:sz w:val="22"/>
              </w:rPr>
              <w:t>Step 1</w:t>
            </w:r>
          </w:p>
          <w:p w14:paraId="3FD4115B" w14:textId="0D014DD8" w:rsidR="00CC703E" w:rsidRPr="00AB75F3" w:rsidRDefault="00E37FDB" w:rsidP="00F76CB0">
            <w:pPr>
              <w:keepNext/>
              <w:spacing w:before="60" w:after="0"/>
              <w:rPr>
                <w:sz w:val="22"/>
              </w:rPr>
            </w:pPr>
            <w:r w:rsidRPr="00AB75F3">
              <w:rPr>
                <w:sz w:val="22"/>
              </w:rPr>
              <w:t>Inspector attended a quarantine approved premises (QAP) for a booked inspection appointment and verified that the number of boxes in the consignment and the sizing categories m</w:t>
            </w:r>
            <w:r w:rsidR="00EB75D4" w:rsidRPr="00AB75F3">
              <w:rPr>
                <w:sz w:val="22"/>
              </w:rPr>
              <w:t>atched</w:t>
            </w:r>
            <w:r w:rsidRPr="00AB75F3">
              <w:rPr>
                <w:sz w:val="22"/>
              </w:rPr>
              <w:t xml:space="preserve"> commercial documentation.</w:t>
            </w:r>
          </w:p>
          <w:p w14:paraId="45AA9A50" w14:textId="77777777" w:rsidR="00CC703E" w:rsidRPr="00AB75F3" w:rsidRDefault="00E37FDB" w:rsidP="00F76CB0">
            <w:pPr>
              <w:keepNext/>
              <w:spacing w:before="60" w:after="0"/>
              <w:rPr>
                <w:sz w:val="22"/>
              </w:rPr>
            </w:pPr>
            <w:r w:rsidRPr="00AB75F3">
              <w:rPr>
                <w:rStyle w:val="Strong"/>
                <w:sz w:val="22"/>
              </w:rPr>
              <w:t>Step 2</w:t>
            </w:r>
          </w:p>
          <w:p w14:paraId="3CEEC920" w14:textId="32BFC52F" w:rsidR="00CC703E" w:rsidRPr="00AB75F3" w:rsidRDefault="00E37FDB" w:rsidP="00F76CB0">
            <w:pPr>
              <w:keepNext/>
              <w:spacing w:before="60" w:after="0"/>
              <w:rPr>
                <w:sz w:val="22"/>
              </w:rPr>
            </w:pPr>
            <w:r w:rsidRPr="00AB75F3">
              <w:rPr>
                <w:sz w:val="22"/>
              </w:rPr>
              <w:t>Importer then completed and signed a ‘Raw prawn sampling declaration’ form nominating the testing laboratory and the number of batches to be tested.</w:t>
            </w:r>
          </w:p>
          <w:p w14:paraId="2FA6B734" w14:textId="77777777" w:rsidR="00CC703E" w:rsidRPr="00AB75F3" w:rsidRDefault="00E37FDB" w:rsidP="00F76CB0">
            <w:pPr>
              <w:keepNext/>
              <w:spacing w:before="60" w:after="0"/>
              <w:rPr>
                <w:sz w:val="22"/>
              </w:rPr>
            </w:pPr>
            <w:r w:rsidRPr="00AB75F3">
              <w:rPr>
                <w:rStyle w:val="Strong"/>
                <w:sz w:val="22"/>
              </w:rPr>
              <w:t>Step 3</w:t>
            </w:r>
          </w:p>
          <w:p w14:paraId="29CF12EB" w14:textId="12E87238" w:rsidR="00CC703E" w:rsidRPr="00AB75F3" w:rsidRDefault="00E37FDB" w:rsidP="00F76CB0">
            <w:pPr>
              <w:keepNext/>
              <w:spacing w:before="60" w:after="0"/>
              <w:rPr>
                <w:sz w:val="22"/>
              </w:rPr>
            </w:pPr>
            <w:r w:rsidRPr="00AB75F3">
              <w:rPr>
                <w:sz w:val="22"/>
              </w:rPr>
              <w:t>Inspector checked that</w:t>
            </w:r>
            <w:r w:rsidR="00467D4C">
              <w:rPr>
                <w:sz w:val="22"/>
              </w:rPr>
              <w:t>:</w:t>
            </w:r>
          </w:p>
          <w:p w14:paraId="081590B9" w14:textId="77777777" w:rsidR="00CC703E" w:rsidRPr="00AB75F3" w:rsidRDefault="00E37FDB" w:rsidP="00F76CB0">
            <w:pPr>
              <w:pStyle w:val="ListBullet"/>
              <w:keepNext/>
              <w:spacing w:before="60" w:after="0"/>
              <w:rPr>
                <w:sz w:val="22"/>
              </w:rPr>
            </w:pPr>
            <w:r w:rsidRPr="00AB75F3">
              <w:rPr>
                <w:sz w:val="22"/>
              </w:rPr>
              <w:t>batch numbers matched declaration form and consignment documentation</w:t>
            </w:r>
          </w:p>
          <w:p w14:paraId="3E5DCA65" w14:textId="77777777" w:rsidR="00CC703E" w:rsidRPr="00AB75F3" w:rsidRDefault="00E37FDB" w:rsidP="00F76CB0">
            <w:pPr>
              <w:pStyle w:val="ListBullet"/>
              <w:keepNext/>
              <w:spacing w:before="60" w:after="0"/>
              <w:rPr>
                <w:sz w:val="22"/>
              </w:rPr>
            </w:pPr>
            <w:r w:rsidRPr="00AB75F3">
              <w:rPr>
                <w:sz w:val="22"/>
              </w:rPr>
              <w:t>the number of boxes/cartons and sizing matched commercial documents</w:t>
            </w:r>
          </w:p>
          <w:p w14:paraId="2F2A5F95" w14:textId="77777777" w:rsidR="00CC703E" w:rsidRPr="00AB75F3" w:rsidRDefault="00E37FDB" w:rsidP="00F76CB0">
            <w:pPr>
              <w:pStyle w:val="ListBullet"/>
              <w:keepNext/>
              <w:spacing w:before="60" w:after="0"/>
              <w:rPr>
                <w:sz w:val="22"/>
              </w:rPr>
            </w:pPr>
            <w:r w:rsidRPr="00AB75F3">
              <w:rPr>
                <w:sz w:val="22"/>
              </w:rPr>
              <w:t>the uncooked prawns were peeled and headless</w:t>
            </w:r>
          </w:p>
          <w:p w14:paraId="07A19745" w14:textId="364FBAE6" w:rsidR="00CC703E" w:rsidRPr="00AB75F3" w:rsidRDefault="00E37FDB" w:rsidP="00F76CB0">
            <w:pPr>
              <w:pStyle w:val="ListBullet"/>
              <w:keepNext/>
              <w:spacing w:before="60" w:after="0"/>
              <w:rPr>
                <w:sz w:val="22"/>
              </w:rPr>
            </w:pPr>
            <w:r w:rsidRPr="00AB75F3">
              <w:rPr>
                <w:sz w:val="22"/>
              </w:rPr>
              <w:t>the carton/box labelling that the statement ‘For human consumption only—not to be used as bait or feed for aquatic animals’ was visible.</w:t>
            </w:r>
          </w:p>
          <w:p w14:paraId="5D34F81F" w14:textId="77777777" w:rsidR="00CC703E" w:rsidRPr="00AB75F3" w:rsidRDefault="00E37FDB" w:rsidP="00F76CB0">
            <w:pPr>
              <w:keepNext/>
              <w:spacing w:before="60" w:after="0"/>
              <w:rPr>
                <w:sz w:val="22"/>
              </w:rPr>
            </w:pPr>
            <w:r w:rsidRPr="00AB75F3">
              <w:rPr>
                <w:rStyle w:val="Strong"/>
                <w:sz w:val="22"/>
              </w:rPr>
              <w:t>Step 4</w:t>
            </w:r>
          </w:p>
          <w:p w14:paraId="541FB718" w14:textId="45F658D5" w:rsidR="00CC703E" w:rsidRPr="00AB75F3" w:rsidRDefault="00E37FDB" w:rsidP="00F76CB0">
            <w:pPr>
              <w:keepNext/>
              <w:spacing w:before="60" w:after="0"/>
              <w:rPr>
                <w:sz w:val="22"/>
              </w:rPr>
            </w:pPr>
            <w:r w:rsidRPr="00AB75F3">
              <w:rPr>
                <w:sz w:val="22"/>
              </w:rPr>
              <w:t>Inspector:</w:t>
            </w:r>
          </w:p>
          <w:p w14:paraId="5FBFFAE5" w14:textId="362882EB" w:rsidR="00CC703E" w:rsidRPr="00AB75F3" w:rsidRDefault="00E37FDB" w:rsidP="00F76CB0">
            <w:pPr>
              <w:pStyle w:val="ListBullet"/>
              <w:keepNext/>
              <w:spacing w:before="60" w:after="0"/>
              <w:rPr>
                <w:sz w:val="22"/>
              </w:rPr>
            </w:pPr>
            <w:r w:rsidRPr="00AB75F3">
              <w:rPr>
                <w:sz w:val="22"/>
              </w:rPr>
              <w:t>selected 13 cartons from each batch identified, drew 5 prawns from each of the 13 cartons, pooled each carton’s prawns in 1 bag, then placed 13 bags containing a total of 65 prawns in a tamper-evident bag</w:t>
            </w:r>
          </w:p>
          <w:p w14:paraId="63090199" w14:textId="4B33358E" w:rsidR="00CC703E" w:rsidRPr="00AB75F3" w:rsidRDefault="00E37FDB" w:rsidP="00F76CB0">
            <w:pPr>
              <w:pStyle w:val="ListBullet"/>
              <w:keepNext/>
              <w:spacing w:before="60" w:after="0"/>
              <w:rPr>
                <w:sz w:val="22"/>
              </w:rPr>
            </w:pPr>
            <w:r w:rsidRPr="00AB75F3">
              <w:rPr>
                <w:sz w:val="22"/>
              </w:rPr>
              <w:t>sealed tamper-evident bag, attached barcode and packed samples for transport in a container with frozen gel packs</w:t>
            </w:r>
          </w:p>
          <w:p w14:paraId="6B8F45B0" w14:textId="069A6DAB" w:rsidR="00CC703E" w:rsidRPr="00AB75F3" w:rsidRDefault="00E37FDB" w:rsidP="00F76CB0">
            <w:pPr>
              <w:pStyle w:val="ListBullet"/>
              <w:keepNext/>
              <w:spacing w:before="60" w:after="0"/>
              <w:rPr>
                <w:sz w:val="22"/>
              </w:rPr>
            </w:pPr>
            <w:r w:rsidRPr="00AB75F3">
              <w:rPr>
                <w:sz w:val="22"/>
              </w:rPr>
              <w:t>completed ‘Raw prawn sampling’</w:t>
            </w:r>
            <w:r w:rsidRPr="00AB75F3">
              <w:rPr>
                <w:i/>
                <w:sz w:val="22"/>
              </w:rPr>
              <w:t xml:space="preserve"> </w:t>
            </w:r>
            <w:r w:rsidRPr="00AB75F3">
              <w:rPr>
                <w:sz w:val="22"/>
              </w:rPr>
              <w:t>attachment sheet and attached the barcodes that identified the batches/boxes/consignment</w:t>
            </w:r>
          </w:p>
          <w:p w14:paraId="72715B7C" w14:textId="77777777" w:rsidR="00CC703E" w:rsidRPr="00AB75F3" w:rsidRDefault="00E37FDB" w:rsidP="00F76CB0">
            <w:pPr>
              <w:pStyle w:val="ListBullet"/>
              <w:keepNext/>
              <w:spacing w:before="60" w:after="0"/>
              <w:rPr>
                <w:sz w:val="22"/>
              </w:rPr>
            </w:pPr>
            <w:r w:rsidRPr="00AB75F3">
              <w:rPr>
                <w:sz w:val="22"/>
              </w:rPr>
              <w:t>placed a copy of the documents (including the testing directions) inside the plastic sleeve located on the outside of the container and sealed the container with tape and tamper-proof seals</w:t>
            </w:r>
          </w:p>
          <w:p w14:paraId="01CF8947" w14:textId="6D6DEDDE" w:rsidR="00CC703E" w:rsidRPr="00AB75F3" w:rsidRDefault="00E37FDB" w:rsidP="00F76CB0">
            <w:pPr>
              <w:pStyle w:val="ListBullet"/>
              <w:keepNext/>
              <w:spacing w:before="60" w:after="0"/>
              <w:rPr>
                <w:sz w:val="22"/>
              </w:rPr>
            </w:pPr>
            <w:r w:rsidRPr="00AB75F3">
              <w:rPr>
                <w:sz w:val="22"/>
              </w:rPr>
              <w:t>retained the original documents.</w:t>
            </w:r>
          </w:p>
          <w:p w14:paraId="11D22B8F" w14:textId="77777777" w:rsidR="00CC703E" w:rsidRPr="00AB75F3" w:rsidRDefault="00E37FDB" w:rsidP="00F76CB0">
            <w:pPr>
              <w:keepNext/>
              <w:spacing w:before="60" w:after="0"/>
              <w:rPr>
                <w:sz w:val="22"/>
              </w:rPr>
            </w:pPr>
            <w:r w:rsidRPr="00AB75F3">
              <w:rPr>
                <w:rStyle w:val="Strong"/>
                <w:sz w:val="22"/>
              </w:rPr>
              <w:t>Step 5</w:t>
            </w:r>
          </w:p>
          <w:p w14:paraId="46DDBA5C" w14:textId="3EA44E38" w:rsidR="00CC703E" w:rsidRPr="00AB75F3" w:rsidRDefault="00E37FDB" w:rsidP="00F76CB0">
            <w:pPr>
              <w:keepNext/>
              <w:spacing w:before="60" w:after="0"/>
              <w:rPr>
                <w:sz w:val="22"/>
              </w:rPr>
            </w:pPr>
            <w:r w:rsidRPr="00AB75F3">
              <w:rPr>
                <w:sz w:val="22"/>
              </w:rPr>
              <w:t>Inspector returned to the office and:</w:t>
            </w:r>
          </w:p>
          <w:p w14:paraId="434328BF" w14:textId="47D8BDC5" w:rsidR="00CC703E" w:rsidRPr="00AB75F3" w:rsidRDefault="00E37FDB" w:rsidP="00F76CB0">
            <w:pPr>
              <w:pStyle w:val="ListBullet"/>
              <w:keepNext/>
              <w:spacing w:before="60" w:after="0"/>
              <w:rPr>
                <w:sz w:val="22"/>
              </w:rPr>
            </w:pPr>
            <w:r w:rsidRPr="00AB75F3">
              <w:rPr>
                <w:sz w:val="22"/>
              </w:rPr>
              <w:t>organised transport of samples to the approved prawn testing laboratory nominated by the broker/importer (Advanced Analytical Australia or Elizabeth Macarthur Agricultural Institute)</w:t>
            </w:r>
          </w:p>
          <w:p w14:paraId="027F129D" w14:textId="364A0D2F" w:rsidR="00CC703E" w:rsidRPr="00AB75F3" w:rsidRDefault="00E37FDB" w:rsidP="00F76CB0">
            <w:pPr>
              <w:pStyle w:val="ListBullet"/>
              <w:keepNext/>
              <w:spacing w:before="60" w:after="0"/>
              <w:rPr>
                <w:sz w:val="22"/>
              </w:rPr>
            </w:pPr>
            <w:r w:rsidRPr="00AB75F3">
              <w:rPr>
                <w:sz w:val="22"/>
              </w:rPr>
              <w:t>emailed the ‘Raw prawn sampling’</w:t>
            </w:r>
            <w:r w:rsidRPr="00AB75F3">
              <w:rPr>
                <w:i/>
                <w:sz w:val="22"/>
              </w:rPr>
              <w:t xml:space="preserve"> </w:t>
            </w:r>
            <w:r w:rsidRPr="00AB75F3">
              <w:rPr>
                <w:sz w:val="22"/>
              </w:rPr>
              <w:t>attachment sheet to the broker/importer and nominated laboratory</w:t>
            </w:r>
          </w:p>
          <w:p w14:paraId="5FF9C1BD" w14:textId="3C40F463" w:rsidR="00CC703E" w:rsidRPr="00AB75F3" w:rsidRDefault="00E37FDB" w:rsidP="00F76CB0">
            <w:pPr>
              <w:pStyle w:val="ListBullet"/>
              <w:keepNext/>
              <w:spacing w:before="60" w:after="0"/>
              <w:rPr>
                <w:sz w:val="22"/>
              </w:rPr>
            </w:pPr>
            <w:r w:rsidRPr="00AB75F3">
              <w:rPr>
                <w:sz w:val="22"/>
              </w:rPr>
              <w:t>completed the AIMS Inspection—prawn sampling direction as ‘Performed OK’ and added any charges (normally only for time spent at the QAP) and relevant comments</w:t>
            </w:r>
          </w:p>
          <w:p w14:paraId="539457C7" w14:textId="73BFD970" w:rsidR="00CC703E" w:rsidRPr="00AB75F3" w:rsidRDefault="00E37FDB" w:rsidP="00F76CB0">
            <w:pPr>
              <w:pStyle w:val="ListBullet"/>
              <w:keepNext/>
              <w:spacing w:before="60" w:after="0"/>
              <w:rPr>
                <w:sz w:val="22"/>
              </w:rPr>
            </w:pPr>
            <w:r w:rsidRPr="00AB75F3">
              <w:rPr>
                <w:sz w:val="22"/>
              </w:rPr>
              <w:t>added ‘Secure–pending test results’ direction to the AIMS entry and sent a copy of the direction to the person in charge of the QAP.</w:t>
            </w:r>
          </w:p>
        </w:tc>
      </w:tr>
    </w:tbl>
    <w:p w14:paraId="04E16B00" w14:textId="77777777" w:rsidR="00B15849" w:rsidRDefault="00B15849">
      <w:pPr>
        <w:tabs>
          <w:tab w:val="clear" w:pos="567"/>
        </w:tabs>
        <w:spacing w:before="0" w:after="0"/>
        <w:rPr>
          <w:rFonts w:eastAsia="Times New Roman" w:cs="Mangal"/>
          <w:b/>
          <w:bCs/>
          <w:sz w:val="28"/>
          <w:lang w:eastAsia="x-none" w:bidi="hi-IN"/>
        </w:rPr>
      </w:pPr>
      <w:r>
        <w:br w:type="page"/>
      </w:r>
    </w:p>
    <w:p w14:paraId="5C604E6D" w14:textId="2FEF2815" w:rsidR="00CC703E" w:rsidRDefault="00E37FDB">
      <w:pPr>
        <w:pStyle w:val="Heading4"/>
        <w:rPr>
          <w:lang w:val="en-AU"/>
        </w:rPr>
      </w:pPr>
      <w:r>
        <w:rPr>
          <w:lang w:val="en-AU"/>
        </w:rPr>
        <w:lastRenderedPageBreak/>
        <w:t>Assessment, inspection and sampling results</w:t>
      </w:r>
    </w:p>
    <w:p w14:paraId="75AD9911" w14:textId="6F31C9E8" w:rsidR="00CC703E" w:rsidRDefault="00E37FDB" w:rsidP="00AB75F3">
      <w:pPr>
        <w:rPr>
          <w:lang w:eastAsia="ja-JP"/>
        </w:rPr>
      </w:pPr>
      <w:r>
        <w:rPr>
          <w:lang w:eastAsia="ja-JP"/>
        </w:rPr>
        <w:t xml:space="preserve">Between 2013–14 and 2015–16 the </w:t>
      </w:r>
      <w:r w:rsidRPr="00AB75F3">
        <w:rPr>
          <w:szCs w:val="24"/>
        </w:rPr>
        <w:t>department</w:t>
      </w:r>
      <w:r>
        <w:rPr>
          <w:lang w:eastAsia="ja-JP"/>
        </w:rPr>
        <w:t xml:space="preserve"> assessed </w:t>
      </w:r>
      <w:r>
        <w:rPr>
          <w:rFonts w:cs="Microsoft Sans Serif"/>
        </w:rPr>
        <w:t>11,</w:t>
      </w:r>
      <w:r w:rsidR="00C24712">
        <w:rPr>
          <w:rFonts w:cs="Microsoft Sans Serif"/>
        </w:rPr>
        <w:t xml:space="preserve">970 </w:t>
      </w:r>
      <w:r>
        <w:rPr>
          <w:lang w:eastAsia="ja-JP"/>
        </w:rPr>
        <w:t>consignments of prawn and prawn products imported from 39 countries. Nearly 85 per cent of these consignments were imported from Vietnam, Thailand, China and Malaysia and the remaining 15 per cent were from 35 other countries (</w:t>
      </w:r>
      <w:r w:rsidR="00916A08">
        <w:rPr>
          <w:lang w:eastAsia="ja-JP"/>
        </w:rPr>
        <w:fldChar w:fldCharType="begin"/>
      </w:r>
      <w:r w:rsidR="00916A08">
        <w:rPr>
          <w:lang w:eastAsia="ja-JP"/>
        </w:rPr>
        <w:instrText xml:space="preserve"> REF _Ref499322903 \h </w:instrText>
      </w:r>
      <w:r w:rsidR="00916A08">
        <w:rPr>
          <w:lang w:eastAsia="ja-JP"/>
        </w:rPr>
      </w:r>
      <w:r w:rsidR="00916A08">
        <w:rPr>
          <w:lang w:eastAsia="ja-JP"/>
        </w:rPr>
        <w:fldChar w:fldCharType="separate"/>
      </w:r>
      <w:r w:rsidR="00121BC1">
        <w:t xml:space="preserve">Table </w:t>
      </w:r>
      <w:r w:rsidR="00121BC1">
        <w:rPr>
          <w:noProof/>
        </w:rPr>
        <w:t>3</w:t>
      </w:r>
      <w:r w:rsidR="00916A08">
        <w:rPr>
          <w:lang w:eastAsia="ja-JP"/>
        </w:rPr>
        <w:fldChar w:fldCharType="end"/>
      </w:r>
      <w:r>
        <w:rPr>
          <w:lang w:eastAsia="ja-JP"/>
        </w:rPr>
        <w:t>).</w:t>
      </w:r>
    </w:p>
    <w:p w14:paraId="4F73667F" w14:textId="193004A9" w:rsidR="0078409F" w:rsidRDefault="0078409F" w:rsidP="0078409F">
      <w:pPr>
        <w:pStyle w:val="Caption"/>
      </w:pPr>
      <w:bookmarkStart w:id="169" w:name="_Ref499322903"/>
      <w:bookmarkStart w:id="170" w:name="_Toc500508480"/>
      <w:r>
        <w:t xml:space="preserve">Table </w:t>
      </w:r>
      <w:r w:rsidR="00F329C0">
        <w:fldChar w:fldCharType="begin"/>
      </w:r>
      <w:r w:rsidR="00F329C0">
        <w:instrText xml:space="preserve"> SEQ Table \* ARABIC </w:instrText>
      </w:r>
      <w:r w:rsidR="00F329C0">
        <w:fldChar w:fldCharType="separate"/>
      </w:r>
      <w:r w:rsidR="00121BC1">
        <w:rPr>
          <w:noProof/>
        </w:rPr>
        <w:t>3</w:t>
      </w:r>
      <w:r w:rsidR="00F329C0">
        <w:rPr>
          <w:noProof/>
        </w:rPr>
        <w:fldChar w:fldCharType="end"/>
      </w:r>
      <w:bookmarkEnd w:id="169"/>
      <w:r w:rsidRPr="0078409F">
        <w:t xml:space="preserve"> </w:t>
      </w:r>
      <w:r>
        <w:t xml:space="preserve">Assessment of </w:t>
      </w:r>
      <w:r w:rsidRPr="00882FE4">
        <w:t>prawn</w:t>
      </w:r>
      <w:r>
        <w:t xml:space="preserve"> </w:t>
      </w:r>
      <w:r w:rsidRPr="00882FE4">
        <w:t xml:space="preserve">product </w:t>
      </w:r>
      <w:r>
        <w:t>consignments, 2013–14 to 2015–16</w:t>
      </w:r>
      <w:bookmarkEnd w:id="170"/>
    </w:p>
    <w:tbl>
      <w:tblPr>
        <w:tblStyle w:val="GridTable1Light-Accent3"/>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1033"/>
        <w:gridCol w:w="992"/>
        <w:gridCol w:w="992"/>
        <w:gridCol w:w="1134"/>
      </w:tblGrid>
      <w:tr w:rsidR="00CC703E" w14:paraId="0DFD49EE" w14:textId="77777777" w:rsidTr="00CA60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23" w:type="dxa"/>
            <w:tcBorders>
              <w:bottom w:val="none" w:sz="0" w:space="0" w:color="auto"/>
            </w:tcBorders>
          </w:tcPr>
          <w:p w14:paraId="7136612A" w14:textId="77777777" w:rsidR="00CC703E" w:rsidRDefault="00E37FDB">
            <w:pPr>
              <w:pStyle w:val="Tabletext"/>
              <w:keepNext/>
            </w:pPr>
            <w:r>
              <w:t>Country of origin</w:t>
            </w:r>
          </w:p>
        </w:tc>
        <w:tc>
          <w:tcPr>
            <w:tcW w:w="1033" w:type="dxa"/>
            <w:tcBorders>
              <w:bottom w:val="none" w:sz="0" w:space="0" w:color="auto"/>
            </w:tcBorders>
          </w:tcPr>
          <w:p w14:paraId="4E3A6BE9" w14:textId="77777777" w:rsidR="00CC703E" w:rsidRDefault="00E37FDB">
            <w:pPr>
              <w:pStyle w:val="Tabletext"/>
              <w:keepNext/>
              <w:jc w:val="right"/>
              <w:cnfStyle w:val="100000000000" w:firstRow="1" w:lastRow="0" w:firstColumn="0" w:lastColumn="0" w:oddVBand="0" w:evenVBand="0" w:oddHBand="0" w:evenHBand="0" w:firstRowFirstColumn="0" w:firstRowLastColumn="0" w:lastRowFirstColumn="0" w:lastRowLastColumn="0"/>
            </w:pPr>
            <w:r>
              <w:t>2013–14</w:t>
            </w:r>
          </w:p>
        </w:tc>
        <w:tc>
          <w:tcPr>
            <w:tcW w:w="992" w:type="dxa"/>
            <w:tcBorders>
              <w:bottom w:val="none" w:sz="0" w:space="0" w:color="auto"/>
            </w:tcBorders>
          </w:tcPr>
          <w:p w14:paraId="324AB9F7" w14:textId="77777777" w:rsidR="00CC703E" w:rsidRDefault="00E37FDB">
            <w:pPr>
              <w:pStyle w:val="Tabletext"/>
              <w:keepNext/>
              <w:jc w:val="right"/>
              <w:cnfStyle w:val="100000000000" w:firstRow="1" w:lastRow="0" w:firstColumn="0" w:lastColumn="0" w:oddVBand="0" w:evenVBand="0" w:oddHBand="0" w:evenHBand="0" w:firstRowFirstColumn="0" w:firstRowLastColumn="0" w:lastRowFirstColumn="0" w:lastRowLastColumn="0"/>
            </w:pPr>
            <w:r>
              <w:t>2014–15</w:t>
            </w:r>
          </w:p>
        </w:tc>
        <w:tc>
          <w:tcPr>
            <w:tcW w:w="992" w:type="dxa"/>
            <w:tcBorders>
              <w:bottom w:val="none" w:sz="0" w:space="0" w:color="auto"/>
            </w:tcBorders>
          </w:tcPr>
          <w:p w14:paraId="77CCF6EB" w14:textId="77777777" w:rsidR="00CC703E" w:rsidRDefault="00E37FDB">
            <w:pPr>
              <w:pStyle w:val="Tabletext"/>
              <w:keepNext/>
              <w:jc w:val="right"/>
              <w:cnfStyle w:val="100000000000" w:firstRow="1" w:lastRow="0" w:firstColumn="0" w:lastColumn="0" w:oddVBand="0" w:evenVBand="0" w:oddHBand="0" w:evenHBand="0" w:firstRowFirstColumn="0" w:firstRowLastColumn="0" w:lastRowFirstColumn="0" w:lastRowLastColumn="0"/>
            </w:pPr>
            <w:r>
              <w:t>2015–16</w:t>
            </w:r>
          </w:p>
        </w:tc>
        <w:tc>
          <w:tcPr>
            <w:tcW w:w="1134" w:type="dxa"/>
            <w:tcBorders>
              <w:bottom w:val="none" w:sz="0" w:space="0" w:color="auto"/>
            </w:tcBorders>
          </w:tcPr>
          <w:p w14:paraId="0D298C70" w14:textId="77777777" w:rsidR="00CC703E" w:rsidRDefault="00E37FDB">
            <w:pPr>
              <w:pStyle w:val="Tabletext"/>
              <w:keepNext/>
              <w:jc w:val="right"/>
              <w:cnfStyle w:val="100000000000" w:firstRow="1" w:lastRow="0" w:firstColumn="0" w:lastColumn="0" w:oddVBand="0" w:evenVBand="0" w:oddHBand="0" w:evenHBand="0" w:firstRowFirstColumn="0" w:firstRowLastColumn="0" w:lastRowFirstColumn="0" w:lastRowLastColumn="0"/>
            </w:pPr>
            <w:r>
              <w:t>Total</w:t>
            </w:r>
          </w:p>
        </w:tc>
      </w:tr>
      <w:tr w:rsidR="00CC703E" w14:paraId="4D9E2700" w14:textId="77777777" w:rsidTr="00CA60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23" w:type="dxa"/>
          </w:tcPr>
          <w:p w14:paraId="4909ED80" w14:textId="77777777" w:rsidR="00CC703E" w:rsidRDefault="00E37FDB">
            <w:pPr>
              <w:pStyle w:val="Tabletext"/>
              <w:keepNext/>
              <w:rPr>
                <w:rFonts w:cs="Microsoft Sans Serif"/>
                <w:b w:val="0"/>
              </w:rPr>
            </w:pPr>
            <w:r>
              <w:rPr>
                <w:rFonts w:cs="Microsoft Sans Serif"/>
              </w:rPr>
              <w:t>Vietnam</w:t>
            </w:r>
          </w:p>
        </w:tc>
        <w:tc>
          <w:tcPr>
            <w:tcW w:w="1033" w:type="dxa"/>
          </w:tcPr>
          <w:p w14:paraId="1CE930A0" w14:textId="77777777" w:rsidR="00CC703E" w:rsidRPr="00AB75F3" w:rsidRDefault="00E37FDB">
            <w:pPr>
              <w:pStyle w:val="Tabletext"/>
              <w:keepN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1,169</w:t>
            </w:r>
          </w:p>
        </w:tc>
        <w:tc>
          <w:tcPr>
            <w:tcW w:w="992" w:type="dxa"/>
          </w:tcPr>
          <w:p w14:paraId="38FB3DE5" w14:textId="77777777" w:rsidR="00CC703E" w:rsidRPr="00AB75F3" w:rsidRDefault="00E37FDB">
            <w:pPr>
              <w:pStyle w:val="Tabletext"/>
              <w:keepN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1,295</w:t>
            </w:r>
          </w:p>
        </w:tc>
        <w:tc>
          <w:tcPr>
            <w:tcW w:w="992" w:type="dxa"/>
          </w:tcPr>
          <w:p w14:paraId="198256E1" w14:textId="77777777" w:rsidR="00CC703E" w:rsidRPr="00AB75F3" w:rsidRDefault="00E37FDB">
            <w:pPr>
              <w:pStyle w:val="Tabletext"/>
              <w:keepN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1,164</w:t>
            </w:r>
          </w:p>
        </w:tc>
        <w:tc>
          <w:tcPr>
            <w:tcW w:w="1134" w:type="dxa"/>
          </w:tcPr>
          <w:p w14:paraId="384BC3AA" w14:textId="77777777" w:rsidR="00CC703E" w:rsidRPr="00AB75F3" w:rsidRDefault="00E37FDB">
            <w:pPr>
              <w:pStyle w:val="Tabletext"/>
              <w:keepN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3,628</w:t>
            </w:r>
          </w:p>
        </w:tc>
      </w:tr>
      <w:tr w:rsidR="00CC703E" w14:paraId="3C7A79C6" w14:textId="77777777" w:rsidTr="00CA60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23" w:type="dxa"/>
          </w:tcPr>
          <w:p w14:paraId="474B0776" w14:textId="77777777" w:rsidR="00CC703E" w:rsidRDefault="00E37FDB">
            <w:pPr>
              <w:pStyle w:val="Tabletext"/>
              <w:keepNext/>
              <w:rPr>
                <w:rFonts w:cs="Microsoft Sans Serif"/>
                <w:b w:val="0"/>
              </w:rPr>
            </w:pPr>
            <w:r>
              <w:rPr>
                <w:rFonts w:cs="Microsoft Sans Serif"/>
              </w:rPr>
              <w:t>Thailand</w:t>
            </w:r>
          </w:p>
        </w:tc>
        <w:tc>
          <w:tcPr>
            <w:tcW w:w="1033" w:type="dxa"/>
          </w:tcPr>
          <w:p w14:paraId="246A1941" w14:textId="77777777" w:rsidR="00CC703E" w:rsidRPr="00AB75F3" w:rsidRDefault="00E37FDB">
            <w:pPr>
              <w:pStyle w:val="Tabletext"/>
              <w:keepN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1,124</w:t>
            </w:r>
          </w:p>
        </w:tc>
        <w:tc>
          <w:tcPr>
            <w:tcW w:w="992" w:type="dxa"/>
          </w:tcPr>
          <w:p w14:paraId="15578EDC" w14:textId="77777777" w:rsidR="00CC703E" w:rsidRPr="00AB75F3" w:rsidRDefault="00E37FDB">
            <w:pPr>
              <w:pStyle w:val="Tabletext"/>
              <w:keepN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1,260</w:t>
            </w:r>
          </w:p>
        </w:tc>
        <w:tc>
          <w:tcPr>
            <w:tcW w:w="992" w:type="dxa"/>
          </w:tcPr>
          <w:p w14:paraId="5B1042E5" w14:textId="77777777" w:rsidR="00CC703E" w:rsidRPr="00AB75F3" w:rsidRDefault="00E37FDB">
            <w:pPr>
              <w:pStyle w:val="Tabletext"/>
              <w:keepN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1,236</w:t>
            </w:r>
          </w:p>
        </w:tc>
        <w:tc>
          <w:tcPr>
            <w:tcW w:w="1134" w:type="dxa"/>
          </w:tcPr>
          <w:p w14:paraId="19E33525" w14:textId="77777777" w:rsidR="00CC703E" w:rsidRPr="00AB75F3" w:rsidRDefault="00E37FDB">
            <w:pPr>
              <w:pStyle w:val="Tabletext"/>
              <w:keepN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3,620</w:t>
            </w:r>
          </w:p>
        </w:tc>
      </w:tr>
      <w:tr w:rsidR="00CC703E" w14:paraId="44B6BD50" w14:textId="77777777" w:rsidTr="00CA60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23" w:type="dxa"/>
          </w:tcPr>
          <w:p w14:paraId="419E76A6" w14:textId="77777777" w:rsidR="00CC703E" w:rsidRDefault="00E37FDB">
            <w:pPr>
              <w:pStyle w:val="Tabletext"/>
              <w:keepNext/>
              <w:rPr>
                <w:rFonts w:cs="Microsoft Sans Serif"/>
                <w:b w:val="0"/>
              </w:rPr>
            </w:pPr>
            <w:r>
              <w:rPr>
                <w:rFonts w:cs="Microsoft Sans Serif"/>
              </w:rPr>
              <w:t>China</w:t>
            </w:r>
          </w:p>
        </w:tc>
        <w:tc>
          <w:tcPr>
            <w:tcW w:w="1033" w:type="dxa"/>
          </w:tcPr>
          <w:p w14:paraId="773A9059" w14:textId="77777777" w:rsidR="00CC703E" w:rsidRPr="00AB75F3" w:rsidRDefault="00E37FDB">
            <w:pPr>
              <w:pStyle w:val="Tabletext"/>
              <w:keepN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1,034</w:t>
            </w:r>
          </w:p>
        </w:tc>
        <w:tc>
          <w:tcPr>
            <w:tcW w:w="992" w:type="dxa"/>
          </w:tcPr>
          <w:p w14:paraId="1CC0A291" w14:textId="77777777" w:rsidR="00CC703E" w:rsidRPr="00AB75F3" w:rsidRDefault="00E37FDB">
            <w:pPr>
              <w:pStyle w:val="Tabletext"/>
              <w:keepN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705</w:t>
            </w:r>
          </w:p>
        </w:tc>
        <w:tc>
          <w:tcPr>
            <w:tcW w:w="992" w:type="dxa"/>
          </w:tcPr>
          <w:p w14:paraId="25294E73" w14:textId="77777777" w:rsidR="00CC703E" w:rsidRPr="00AB75F3" w:rsidRDefault="00E37FDB">
            <w:pPr>
              <w:pStyle w:val="Tabletext"/>
              <w:keepN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710</w:t>
            </w:r>
          </w:p>
        </w:tc>
        <w:tc>
          <w:tcPr>
            <w:tcW w:w="1134" w:type="dxa"/>
          </w:tcPr>
          <w:p w14:paraId="3CB346FA" w14:textId="77777777" w:rsidR="00CC703E" w:rsidRPr="00AB75F3" w:rsidRDefault="00E37FDB">
            <w:pPr>
              <w:pStyle w:val="Tabletext"/>
              <w:keepN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2,449</w:t>
            </w:r>
          </w:p>
        </w:tc>
      </w:tr>
      <w:tr w:rsidR="00CC703E" w14:paraId="71145B23" w14:textId="77777777" w:rsidTr="00CA60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23" w:type="dxa"/>
          </w:tcPr>
          <w:p w14:paraId="31896D65" w14:textId="77777777" w:rsidR="00CC703E" w:rsidRDefault="00E37FDB">
            <w:pPr>
              <w:pStyle w:val="Tabletext"/>
              <w:keepNext/>
              <w:rPr>
                <w:rFonts w:cs="Microsoft Sans Serif"/>
                <w:b w:val="0"/>
              </w:rPr>
            </w:pPr>
            <w:r>
              <w:rPr>
                <w:rFonts w:cs="Microsoft Sans Serif"/>
              </w:rPr>
              <w:t>Malaysia</w:t>
            </w:r>
          </w:p>
        </w:tc>
        <w:tc>
          <w:tcPr>
            <w:tcW w:w="1033" w:type="dxa"/>
          </w:tcPr>
          <w:p w14:paraId="0036928A" w14:textId="77777777" w:rsidR="00CC703E" w:rsidRPr="00AB75F3" w:rsidRDefault="00E37FDB">
            <w:pPr>
              <w:pStyle w:val="Tabletext"/>
              <w:keepN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419</w:t>
            </w:r>
          </w:p>
        </w:tc>
        <w:tc>
          <w:tcPr>
            <w:tcW w:w="992" w:type="dxa"/>
          </w:tcPr>
          <w:p w14:paraId="48A05940" w14:textId="77777777" w:rsidR="00CC703E" w:rsidRPr="00AB75F3" w:rsidRDefault="00E37FDB">
            <w:pPr>
              <w:pStyle w:val="Tabletext"/>
              <w:keepN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288</w:t>
            </w:r>
          </w:p>
        </w:tc>
        <w:tc>
          <w:tcPr>
            <w:tcW w:w="992" w:type="dxa"/>
          </w:tcPr>
          <w:p w14:paraId="4A8CD108" w14:textId="77777777" w:rsidR="00CC703E" w:rsidRPr="00AB75F3" w:rsidRDefault="00E37FDB">
            <w:pPr>
              <w:pStyle w:val="Tabletext"/>
              <w:keepN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352</w:t>
            </w:r>
          </w:p>
        </w:tc>
        <w:tc>
          <w:tcPr>
            <w:tcW w:w="1134" w:type="dxa"/>
          </w:tcPr>
          <w:p w14:paraId="173BED89" w14:textId="77777777" w:rsidR="00CC703E" w:rsidRPr="00AB75F3" w:rsidRDefault="00E37FDB">
            <w:pPr>
              <w:pStyle w:val="Tabletext"/>
              <w:keepN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1,059</w:t>
            </w:r>
          </w:p>
        </w:tc>
      </w:tr>
      <w:tr w:rsidR="00CC703E" w14:paraId="7CB43AE2" w14:textId="77777777" w:rsidTr="00CA60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23" w:type="dxa"/>
          </w:tcPr>
          <w:p w14:paraId="34F93AA9" w14:textId="77777777" w:rsidR="00CC703E" w:rsidRDefault="00E37FDB">
            <w:pPr>
              <w:pStyle w:val="Tabletext"/>
              <w:keepNext/>
              <w:rPr>
                <w:rFonts w:cs="Microsoft Sans Serif"/>
                <w:b w:val="0"/>
              </w:rPr>
            </w:pPr>
            <w:r>
              <w:rPr>
                <w:rFonts w:cs="Microsoft Sans Serif"/>
              </w:rPr>
              <w:t>Indonesia</w:t>
            </w:r>
          </w:p>
        </w:tc>
        <w:tc>
          <w:tcPr>
            <w:tcW w:w="1033" w:type="dxa"/>
          </w:tcPr>
          <w:p w14:paraId="584C436E" w14:textId="77777777" w:rsidR="00CC703E" w:rsidRPr="00AB75F3" w:rsidRDefault="00E37FDB">
            <w:pPr>
              <w:pStyle w:val="Tabletext"/>
              <w:keepN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114</w:t>
            </w:r>
          </w:p>
        </w:tc>
        <w:tc>
          <w:tcPr>
            <w:tcW w:w="992" w:type="dxa"/>
          </w:tcPr>
          <w:p w14:paraId="00C3AB3B" w14:textId="77777777" w:rsidR="00CC703E" w:rsidRPr="00AB75F3" w:rsidRDefault="00E37FDB">
            <w:pPr>
              <w:pStyle w:val="Tabletext"/>
              <w:keepN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75</w:t>
            </w:r>
          </w:p>
        </w:tc>
        <w:tc>
          <w:tcPr>
            <w:tcW w:w="992" w:type="dxa"/>
          </w:tcPr>
          <w:p w14:paraId="6D8CA8DC" w14:textId="77777777" w:rsidR="00CC703E" w:rsidRPr="00AB75F3" w:rsidRDefault="00E37FDB">
            <w:pPr>
              <w:pStyle w:val="Tabletext"/>
              <w:keepN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98</w:t>
            </w:r>
          </w:p>
        </w:tc>
        <w:tc>
          <w:tcPr>
            <w:tcW w:w="1134" w:type="dxa"/>
          </w:tcPr>
          <w:p w14:paraId="4836E321" w14:textId="77777777" w:rsidR="00CC703E" w:rsidRPr="00AB75F3" w:rsidRDefault="00E37FDB">
            <w:pPr>
              <w:pStyle w:val="Tabletext"/>
              <w:keepN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287</w:t>
            </w:r>
          </w:p>
        </w:tc>
      </w:tr>
      <w:tr w:rsidR="00CC703E" w14:paraId="01463E95" w14:textId="77777777" w:rsidTr="00CA60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23" w:type="dxa"/>
          </w:tcPr>
          <w:p w14:paraId="2943DE66" w14:textId="77777777" w:rsidR="00CC703E" w:rsidRDefault="00E37FDB">
            <w:pPr>
              <w:pStyle w:val="Tabletext"/>
              <w:rPr>
                <w:rFonts w:cs="Microsoft Sans Serif"/>
                <w:b w:val="0"/>
              </w:rPr>
            </w:pPr>
            <w:r>
              <w:rPr>
                <w:rFonts w:cs="Microsoft Sans Serif"/>
              </w:rPr>
              <w:t>Myanmar</w:t>
            </w:r>
          </w:p>
        </w:tc>
        <w:tc>
          <w:tcPr>
            <w:tcW w:w="1033" w:type="dxa"/>
          </w:tcPr>
          <w:p w14:paraId="2BB7B0EB"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61</w:t>
            </w:r>
          </w:p>
        </w:tc>
        <w:tc>
          <w:tcPr>
            <w:tcW w:w="992" w:type="dxa"/>
          </w:tcPr>
          <w:p w14:paraId="410AF43F"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37</w:t>
            </w:r>
          </w:p>
        </w:tc>
        <w:tc>
          <w:tcPr>
            <w:tcW w:w="992" w:type="dxa"/>
          </w:tcPr>
          <w:p w14:paraId="5C48FCA9"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47</w:t>
            </w:r>
          </w:p>
        </w:tc>
        <w:tc>
          <w:tcPr>
            <w:tcW w:w="1134" w:type="dxa"/>
          </w:tcPr>
          <w:p w14:paraId="7711CF2F"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145</w:t>
            </w:r>
          </w:p>
        </w:tc>
      </w:tr>
      <w:tr w:rsidR="00CC703E" w14:paraId="7DCD4FED" w14:textId="77777777" w:rsidTr="00CA60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23" w:type="dxa"/>
          </w:tcPr>
          <w:p w14:paraId="7EDB7B05" w14:textId="77777777" w:rsidR="00CC703E" w:rsidRDefault="00E37FDB">
            <w:pPr>
              <w:pStyle w:val="Tabletext"/>
              <w:rPr>
                <w:rFonts w:cs="Microsoft Sans Serif"/>
                <w:b w:val="0"/>
              </w:rPr>
            </w:pPr>
            <w:r>
              <w:rPr>
                <w:rFonts w:cs="Microsoft Sans Serif"/>
              </w:rPr>
              <w:t>Philippines</w:t>
            </w:r>
          </w:p>
        </w:tc>
        <w:tc>
          <w:tcPr>
            <w:tcW w:w="1033" w:type="dxa"/>
          </w:tcPr>
          <w:p w14:paraId="450B650E"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42</w:t>
            </w:r>
          </w:p>
        </w:tc>
        <w:tc>
          <w:tcPr>
            <w:tcW w:w="992" w:type="dxa"/>
          </w:tcPr>
          <w:p w14:paraId="6130A13A"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55</w:t>
            </w:r>
          </w:p>
        </w:tc>
        <w:tc>
          <w:tcPr>
            <w:tcW w:w="992" w:type="dxa"/>
          </w:tcPr>
          <w:p w14:paraId="21A6116D"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45</w:t>
            </w:r>
          </w:p>
        </w:tc>
        <w:tc>
          <w:tcPr>
            <w:tcW w:w="1134" w:type="dxa"/>
          </w:tcPr>
          <w:p w14:paraId="7AF756E4"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142</w:t>
            </w:r>
          </w:p>
        </w:tc>
      </w:tr>
      <w:tr w:rsidR="00CC703E" w14:paraId="1E670170" w14:textId="77777777" w:rsidTr="00CA60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23" w:type="dxa"/>
          </w:tcPr>
          <w:p w14:paraId="488034E7" w14:textId="77777777" w:rsidR="00CC703E" w:rsidRDefault="00E37FDB">
            <w:pPr>
              <w:pStyle w:val="Tabletext"/>
              <w:rPr>
                <w:rFonts w:cs="Microsoft Sans Serif"/>
                <w:b w:val="0"/>
              </w:rPr>
            </w:pPr>
            <w:r>
              <w:rPr>
                <w:rFonts w:cs="Microsoft Sans Serif"/>
              </w:rPr>
              <w:t>Korea (Republic of)</w:t>
            </w:r>
          </w:p>
        </w:tc>
        <w:tc>
          <w:tcPr>
            <w:tcW w:w="1033" w:type="dxa"/>
          </w:tcPr>
          <w:p w14:paraId="797A5ADB"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43</w:t>
            </w:r>
          </w:p>
        </w:tc>
        <w:tc>
          <w:tcPr>
            <w:tcW w:w="992" w:type="dxa"/>
          </w:tcPr>
          <w:p w14:paraId="65FC74B3"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38</w:t>
            </w:r>
          </w:p>
        </w:tc>
        <w:tc>
          <w:tcPr>
            <w:tcW w:w="992" w:type="dxa"/>
          </w:tcPr>
          <w:p w14:paraId="2115DBA9"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52</w:t>
            </w:r>
          </w:p>
        </w:tc>
        <w:tc>
          <w:tcPr>
            <w:tcW w:w="1134" w:type="dxa"/>
          </w:tcPr>
          <w:p w14:paraId="5E9893B2"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133</w:t>
            </w:r>
          </w:p>
        </w:tc>
      </w:tr>
      <w:tr w:rsidR="00CC703E" w14:paraId="4A006D06" w14:textId="77777777" w:rsidTr="00CA60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23" w:type="dxa"/>
          </w:tcPr>
          <w:p w14:paraId="70AEDD22" w14:textId="77777777" w:rsidR="00CC703E" w:rsidRDefault="00E37FDB">
            <w:pPr>
              <w:pStyle w:val="Tabletext"/>
              <w:rPr>
                <w:rFonts w:cs="Microsoft Sans Serif"/>
                <w:b w:val="0"/>
              </w:rPr>
            </w:pPr>
            <w:r>
              <w:rPr>
                <w:rFonts w:cs="Microsoft Sans Serif"/>
              </w:rPr>
              <w:t>India</w:t>
            </w:r>
          </w:p>
        </w:tc>
        <w:tc>
          <w:tcPr>
            <w:tcW w:w="1033" w:type="dxa"/>
          </w:tcPr>
          <w:p w14:paraId="7F664B12"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56</w:t>
            </w:r>
          </w:p>
        </w:tc>
        <w:tc>
          <w:tcPr>
            <w:tcW w:w="992" w:type="dxa"/>
          </w:tcPr>
          <w:p w14:paraId="125AFD22"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25</w:t>
            </w:r>
          </w:p>
        </w:tc>
        <w:tc>
          <w:tcPr>
            <w:tcW w:w="992" w:type="dxa"/>
          </w:tcPr>
          <w:p w14:paraId="47ADC41D"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26</w:t>
            </w:r>
          </w:p>
        </w:tc>
        <w:tc>
          <w:tcPr>
            <w:tcW w:w="1134" w:type="dxa"/>
          </w:tcPr>
          <w:p w14:paraId="7049604D"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107</w:t>
            </w:r>
          </w:p>
        </w:tc>
      </w:tr>
      <w:tr w:rsidR="00CC703E" w14:paraId="4EFDBF6A" w14:textId="77777777" w:rsidTr="00CA60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23" w:type="dxa"/>
          </w:tcPr>
          <w:p w14:paraId="0D634D2F" w14:textId="77777777" w:rsidR="00CC703E" w:rsidRDefault="00E37FDB">
            <w:pPr>
              <w:pStyle w:val="Tabletext"/>
              <w:rPr>
                <w:rFonts w:cs="Microsoft Sans Serif"/>
                <w:b w:val="0"/>
              </w:rPr>
            </w:pPr>
            <w:r>
              <w:rPr>
                <w:rFonts w:cs="Microsoft Sans Serif"/>
              </w:rPr>
              <w:t>Sri Lanka</w:t>
            </w:r>
          </w:p>
        </w:tc>
        <w:tc>
          <w:tcPr>
            <w:tcW w:w="1033" w:type="dxa"/>
          </w:tcPr>
          <w:p w14:paraId="3594BAEC"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17</w:t>
            </w:r>
          </w:p>
        </w:tc>
        <w:tc>
          <w:tcPr>
            <w:tcW w:w="992" w:type="dxa"/>
          </w:tcPr>
          <w:p w14:paraId="25D3C814"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29</w:t>
            </w:r>
          </w:p>
        </w:tc>
        <w:tc>
          <w:tcPr>
            <w:tcW w:w="992" w:type="dxa"/>
          </w:tcPr>
          <w:p w14:paraId="48AF60A9"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31</w:t>
            </w:r>
          </w:p>
        </w:tc>
        <w:tc>
          <w:tcPr>
            <w:tcW w:w="1134" w:type="dxa"/>
          </w:tcPr>
          <w:p w14:paraId="0B1C127B"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77</w:t>
            </w:r>
          </w:p>
        </w:tc>
      </w:tr>
      <w:tr w:rsidR="00CC703E" w14:paraId="3234B05A" w14:textId="77777777" w:rsidTr="00CA60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23" w:type="dxa"/>
          </w:tcPr>
          <w:p w14:paraId="77A53154" w14:textId="77777777" w:rsidR="00CC703E" w:rsidRDefault="00E37FDB">
            <w:pPr>
              <w:pStyle w:val="Tabletext"/>
              <w:rPr>
                <w:rFonts w:cs="Microsoft Sans Serif"/>
                <w:b w:val="0"/>
              </w:rPr>
            </w:pPr>
            <w:r>
              <w:rPr>
                <w:rFonts w:cs="Microsoft Sans Serif"/>
              </w:rPr>
              <w:t>Japan</w:t>
            </w:r>
          </w:p>
        </w:tc>
        <w:tc>
          <w:tcPr>
            <w:tcW w:w="1033" w:type="dxa"/>
          </w:tcPr>
          <w:p w14:paraId="17624BF8"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12</w:t>
            </w:r>
          </w:p>
        </w:tc>
        <w:tc>
          <w:tcPr>
            <w:tcW w:w="992" w:type="dxa"/>
          </w:tcPr>
          <w:p w14:paraId="310924AA"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29</w:t>
            </w:r>
          </w:p>
        </w:tc>
        <w:tc>
          <w:tcPr>
            <w:tcW w:w="992" w:type="dxa"/>
          </w:tcPr>
          <w:p w14:paraId="46D050BE"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20</w:t>
            </w:r>
          </w:p>
        </w:tc>
        <w:tc>
          <w:tcPr>
            <w:tcW w:w="1134" w:type="dxa"/>
          </w:tcPr>
          <w:p w14:paraId="40B671B3"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61</w:t>
            </w:r>
          </w:p>
        </w:tc>
      </w:tr>
      <w:tr w:rsidR="00CC703E" w14:paraId="41518512" w14:textId="77777777" w:rsidTr="00CA60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23" w:type="dxa"/>
          </w:tcPr>
          <w:p w14:paraId="2A5E3BBF" w14:textId="77777777" w:rsidR="00CC703E" w:rsidRDefault="00E37FDB">
            <w:pPr>
              <w:pStyle w:val="Tabletext"/>
              <w:rPr>
                <w:rFonts w:cs="Microsoft Sans Serif"/>
                <w:b w:val="0"/>
              </w:rPr>
            </w:pPr>
            <w:r>
              <w:rPr>
                <w:rFonts w:cs="Microsoft Sans Serif"/>
              </w:rPr>
              <w:t>Taiwan</w:t>
            </w:r>
          </w:p>
        </w:tc>
        <w:tc>
          <w:tcPr>
            <w:tcW w:w="1033" w:type="dxa"/>
          </w:tcPr>
          <w:p w14:paraId="7C26DA10"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17</w:t>
            </w:r>
          </w:p>
        </w:tc>
        <w:tc>
          <w:tcPr>
            <w:tcW w:w="992" w:type="dxa"/>
          </w:tcPr>
          <w:p w14:paraId="7988832E"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21</w:t>
            </w:r>
          </w:p>
        </w:tc>
        <w:tc>
          <w:tcPr>
            <w:tcW w:w="992" w:type="dxa"/>
          </w:tcPr>
          <w:p w14:paraId="051D8728"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19</w:t>
            </w:r>
          </w:p>
        </w:tc>
        <w:tc>
          <w:tcPr>
            <w:tcW w:w="1134" w:type="dxa"/>
          </w:tcPr>
          <w:p w14:paraId="58D6BE5B"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57</w:t>
            </w:r>
          </w:p>
        </w:tc>
      </w:tr>
      <w:tr w:rsidR="00CC703E" w14:paraId="76DA7F7B" w14:textId="77777777" w:rsidTr="00CA60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23" w:type="dxa"/>
          </w:tcPr>
          <w:p w14:paraId="6F6ADF79" w14:textId="77777777" w:rsidR="00CC703E" w:rsidRDefault="00E37FDB">
            <w:pPr>
              <w:pStyle w:val="Tabletext"/>
              <w:rPr>
                <w:rFonts w:cs="Microsoft Sans Serif"/>
                <w:b w:val="0"/>
              </w:rPr>
            </w:pPr>
            <w:r>
              <w:rPr>
                <w:rFonts w:cs="Microsoft Sans Serif"/>
              </w:rPr>
              <w:t>Denmark</w:t>
            </w:r>
          </w:p>
        </w:tc>
        <w:tc>
          <w:tcPr>
            <w:tcW w:w="1033" w:type="dxa"/>
          </w:tcPr>
          <w:p w14:paraId="720C2049"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21</w:t>
            </w:r>
          </w:p>
        </w:tc>
        <w:tc>
          <w:tcPr>
            <w:tcW w:w="992" w:type="dxa"/>
          </w:tcPr>
          <w:p w14:paraId="563F901F"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13</w:t>
            </w:r>
          </w:p>
        </w:tc>
        <w:tc>
          <w:tcPr>
            <w:tcW w:w="992" w:type="dxa"/>
          </w:tcPr>
          <w:p w14:paraId="5F88DBFD"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22</w:t>
            </w:r>
          </w:p>
        </w:tc>
        <w:tc>
          <w:tcPr>
            <w:tcW w:w="1134" w:type="dxa"/>
          </w:tcPr>
          <w:p w14:paraId="206C53E0"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56</w:t>
            </w:r>
          </w:p>
        </w:tc>
      </w:tr>
      <w:tr w:rsidR="00CC703E" w14:paraId="52D42CC8" w14:textId="77777777" w:rsidTr="00CA60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23" w:type="dxa"/>
          </w:tcPr>
          <w:p w14:paraId="375979FC" w14:textId="77777777" w:rsidR="00CC703E" w:rsidRDefault="00E37FDB">
            <w:pPr>
              <w:pStyle w:val="Tabletext"/>
              <w:rPr>
                <w:rFonts w:cs="Microsoft Sans Serif"/>
                <w:b w:val="0"/>
              </w:rPr>
            </w:pPr>
            <w:r>
              <w:rPr>
                <w:rFonts w:cs="Microsoft Sans Serif"/>
              </w:rPr>
              <w:t>Hong Kong</w:t>
            </w:r>
          </w:p>
        </w:tc>
        <w:tc>
          <w:tcPr>
            <w:tcW w:w="1033" w:type="dxa"/>
          </w:tcPr>
          <w:p w14:paraId="7EA98C63"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15</w:t>
            </w:r>
          </w:p>
        </w:tc>
        <w:tc>
          <w:tcPr>
            <w:tcW w:w="992" w:type="dxa"/>
          </w:tcPr>
          <w:p w14:paraId="497BBBFC"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16</w:t>
            </w:r>
          </w:p>
        </w:tc>
        <w:tc>
          <w:tcPr>
            <w:tcW w:w="992" w:type="dxa"/>
          </w:tcPr>
          <w:p w14:paraId="2AE77C81"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9</w:t>
            </w:r>
          </w:p>
        </w:tc>
        <w:tc>
          <w:tcPr>
            <w:tcW w:w="1134" w:type="dxa"/>
          </w:tcPr>
          <w:p w14:paraId="0DA01F0F"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40</w:t>
            </w:r>
          </w:p>
        </w:tc>
      </w:tr>
      <w:tr w:rsidR="00CC703E" w14:paraId="669A498B" w14:textId="77777777" w:rsidTr="00CA60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23" w:type="dxa"/>
          </w:tcPr>
          <w:p w14:paraId="30C6E68C" w14:textId="77777777" w:rsidR="00CC703E" w:rsidRDefault="00E37FDB">
            <w:pPr>
              <w:pStyle w:val="Tabletext"/>
              <w:rPr>
                <w:rFonts w:cs="Microsoft Sans Serif"/>
                <w:b w:val="0"/>
              </w:rPr>
            </w:pPr>
            <w:r>
              <w:rPr>
                <w:rFonts w:cs="Microsoft Sans Serif"/>
              </w:rPr>
              <w:t>Singapore</w:t>
            </w:r>
          </w:p>
        </w:tc>
        <w:tc>
          <w:tcPr>
            <w:tcW w:w="1033" w:type="dxa"/>
          </w:tcPr>
          <w:p w14:paraId="5987664B"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6</w:t>
            </w:r>
          </w:p>
        </w:tc>
        <w:tc>
          <w:tcPr>
            <w:tcW w:w="992" w:type="dxa"/>
          </w:tcPr>
          <w:p w14:paraId="3A6C387E"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10</w:t>
            </w:r>
          </w:p>
        </w:tc>
        <w:tc>
          <w:tcPr>
            <w:tcW w:w="992" w:type="dxa"/>
          </w:tcPr>
          <w:p w14:paraId="64C00D2B"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2</w:t>
            </w:r>
          </w:p>
        </w:tc>
        <w:tc>
          <w:tcPr>
            <w:tcW w:w="1134" w:type="dxa"/>
          </w:tcPr>
          <w:p w14:paraId="36C60AD4"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18</w:t>
            </w:r>
          </w:p>
        </w:tc>
      </w:tr>
      <w:tr w:rsidR="00CC703E" w14:paraId="00C35F8E" w14:textId="77777777" w:rsidTr="00CA60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23" w:type="dxa"/>
          </w:tcPr>
          <w:p w14:paraId="4804543A" w14:textId="77777777" w:rsidR="00CC703E" w:rsidRDefault="00E37FDB">
            <w:pPr>
              <w:pStyle w:val="Tabletext"/>
              <w:rPr>
                <w:rFonts w:cs="Microsoft Sans Serif"/>
                <w:b w:val="0"/>
              </w:rPr>
            </w:pPr>
            <w:r>
              <w:rPr>
                <w:rFonts w:cs="Microsoft Sans Serif"/>
              </w:rPr>
              <w:t>United Kingdom</w:t>
            </w:r>
          </w:p>
        </w:tc>
        <w:tc>
          <w:tcPr>
            <w:tcW w:w="1033" w:type="dxa"/>
          </w:tcPr>
          <w:p w14:paraId="69202323"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2</w:t>
            </w:r>
          </w:p>
        </w:tc>
        <w:tc>
          <w:tcPr>
            <w:tcW w:w="992" w:type="dxa"/>
          </w:tcPr>
          <w:p w14:paraId="10F0EF67"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5</w:t>
            </w:r>
          </w:p>
        </w:tc>
        <w:tc>
          <w:tcPr>
            <w:tcW w:w="992" w:type="dxa"/>
          </w:tcPr>
          <w:p w14:paraId="061CF54C"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6</w:t>
            </w:r>
          </w:p>
        </w:tc>
        <w:tc>
          <w:tcPr>
            <w:tcW w:w="1134" w:type="dxa"/>
          </w:tcPr>
          <w:p w14:paraId="1FFB24E6"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13</w:t>
            </w:r>
          </w:p>
        </w:tc>
      </w:tr>
      <w:tr w:rsidR="00CC703E" w14:paraId="230C6216" w14:textId="77777777" w:rsidTr="00CA60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23" w:type="dxa"/>
          </w:tcPr>
          <w:p w14:paraId="62356F73" w14:textId="77777777" w:rsidR="00CC703E" w:rsidRDefault="00E37FDB">
            <w:pPr>
              <w:pStyle w:val="Tabletext"/>
              <w:rPr>
                <w:rFonts w:cs="Microsoft Sans Serif"/>
                <w:b w:val="0"/>
              </w:rPr>
            </w:pPr>
            <w:r>
              <w:rPr>
                <w:rFonts w:cs="Microsoft Sans Serif"/>
              </w:rPr>
              <w:t>Bangladesh</w:t>
            </w:r>
          </w:p>
        </w:tc>
        <w:tc>
          <w:tcPr>
            <w:tcW w:w="1033" w:type="dxa"/>
          </w:tcPr>
          <w:p w14:paraId="370176B4"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1</w:t>
            </w:r>
          </w:p>
        </w:tc>
        <w:tc>
          <w:tcPr>
            <w:tcW w:w="992" w:type="dxa"/>
          </w:tcPr>
          <w:p w14:paraId="4E33BA38"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7</w:t>
            </w:r>
          </w:p>
        </w:tc>
        <w:tc>
          <w:tcPr>
            <w:tcW w:w="992" w:type="dxa"/>
          </w:tcPr>
          <w:p w14:paraId="317BE696"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2</w:t>
            </w:r>
          </w:p>
        </w:tc>
        <w:tc>
          <w:tcPr>
            <w:tcW w:w="1134" w:type="dxa"/>
          </w:tcPr>
          <w:p w14:paraId="7949E613"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10</w:t>
            </w:r>
          </w:p>
        </w:tc>
      </w:tr>
      <w:tr w:rsidR="00CC703E" w14:paraId="0A67BF9D" w14:textId="77777777" w:rsidTr="00CA60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23" w:type="dxa"/>
          </w:tcPr>
          <w:p w14:paraId="2D1BB126" w14:textId="77777777" w:rsidR="00CC703E" w:rsidRDefault="00E37FDB">
            <w:pPr>
              <w:pStyle w:val="Tabletext"/>
              <w:rPr>
                <w:rFonts w:cs="Microsoft Sans Serif"/>
                <w:b w:val="0"/>
              </w:rPr>
            </w:pPr>
            <w:r>
              <w:rPr>
                <w:rFonts w:cs="Microsoft Sans Serif"/>
              </w:rPr>
              <w:t>Spain</w:t>
            </w:r>
          </w:p>
        </w:tc>
        <w:tc>
          <w:tcPr>
            <w:tcW w:w="1033" w:type="dxa"/>
          </w:tcPr>
          <w:p w14:paraId="1A67B967"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2</w:t>
            </w:r>
          </w:p>
        </w:tc>
        <w:tc>
          <w:tcPr>
            <w:tcW w:w="992" w:type="dxa"/>
          </w:tcPr>
          <w:p w14:paraId="1840598B"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3</w:t>
            </w:r>
          </w:p>
        </w:tc>
        <w:tc>
          <w:tcPr>
            <w:tcW w:w="992" w:type="dxa"/>
          </w:tcPr>
          <w:p w14:paraId="77B7FB04"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4</w:t>
            </w:r>
          </w:p>
        </w:tc>
        <w:tc>
          <w:tcPr>
            <w:tcW w:w="1134" w:type="dxa"/>
          </w:tcPr>
          <w:p w14:paraId="6825BA44"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9</w:t>
            </w:r>
          </w:p>
        </w:tc>
      </w:tr>
      <w:tr w:rsidR="00CC703E" w14:paraId="79488A1A" w14:textId="77777777" w:rsidTr="00CA60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23" w:type="dxa"/>
          </w:tcPr>
          <w:p w14:paraId="492E95A5" w14:textId="77777777" w:rsidR="00CC703E" w:rsidRDefault="00E37FDB">
            <w:pPr>
              <w:pStyle w:val="Tabletext"/>
              <w:rPr>
                <w:rFonts w:cs="Microsoft Sans Serif"/>
                <w:b w:val="0"/>
              </w:rPr>
            </w:pPr>
            <w:r>
              <w:rPr>
                <w:rFonts w:cs="Microsoft Sans Serif"/>
              </w:rPr>
              <w:t>Australia</w:t>
            </w:r>
          </w:p>
        </w:tc>
        <w:tc>
          <w:tcPr>
            <w:tcW w:w="1033" w:type="dxa"/>
          </w:tcPr>
          <w:p w14:paraId="1B2FA9D8"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6</w:t>
            </w:r>
          </w:p>
        </w:tc>
        <w:tc>
          <w:tcPr>
            <w:tcW w:w="992" w:type="dxa"/>
          </w:tcPr>
          <w:p w14:paraId="0E938137"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1</w:t>
            </w:r>
          </w:p>
        </w:tc>
        <w:tc>
          <w:tcPr>
            <w:tcW w:w="992" w:type="dxa"/>
          </w:tcPr>
          <w:p w14:paraId="4BD0C1DE"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1</w:t>
            </w:r>
          </w:p>
        </w:tc>
        <w:tc>
          <w:tcPr>
            <w:tcW w:w="1134" w:type="dxa"/>
          </w:tcPr>
          <w:p w14:paraId="22AA45E8"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8</w:t>
            </w:r>
          </w:p>
        </w:tc>
      </w:tr>
      <w:tr w:rsidR="00CC703E" w14:paraId="4291D640" w14:textId="77777777" w:rsidTr="00CA60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23" w:type="dxa"/>
          </w:tcPr>
          <w:p w14:paraId="6EE709D1" w14:textId="77777777" w:rsidR="00CC703E" w:rsidRDefault="00E37FDB">
            <w:pPr>
              <w:pStyle w:val="Tabletext"/>
              <w:rPr>
                <w:rFonts w:cs="Microsoft Sans Serif"/>
                <w:b w:val="0"/>
              </w:rPr>
            </w:pPr>
            <w:r>
              <w:rPr>
                <w:rFonts w:cs="Microsoft Sans Serif"/>
              </w:rPr>
              <w:t>Nigeria</w:t>
            </w:r>
          </w:p>
        </w:tc>
        <w:tc>
          <w:tcPr>
            <w:tcW w:w="1033" w:type="dxa"/>
          </w:tcPr>
          <w:p w14:paraId="3070993A"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w:t>
            </w:r>
          </w:p>
        </w:tc>
        <w:tc>
          <w:tcPr>
            <w:tcW w:w="992" w:type="dxa"/>
          </w:tcPr>
          <w:p w14:paraId="6AB31B1D"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5</w:t>
            </w:r>
          </w:p>
        </w:tc>
        <w:tc>
          <w:tcPr>
            <w:tcW w:w="992" w:type="dxa"/>
          </w:tcPr>
          <w:p w14:paraId="74240797"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2</w:t>
            </w:r>
          </w:p>
        </w:tc>
        <w:tc>
          <w:tcPr>
            <w:tcW w:w="1134" w:type="dxa"/>
          </w:tcPr>
          <w:p w14:paraId="254426D1"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7</w:t>
            </w:r>
          </w:p>
        </w:tc>
      </w:tr>
      <w:tr w:rsidR="00CC703E" w14:paraId="58B83360" w14:textId="77777777" w:rsidTr="00CA60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23" w:type="dxa"/>
          </w:tcPr>
          <w:p w14:paraId="6FD5232C" w14:textId="77777777" w:rsidR="00CC703E" w:rsidRDefault="00E37FDB">
            <w:pPr>
              <w:pStyle w:val="Tabletext"/>
              <w:rPr>
                <w:rFonts w:cs="Microsoft Sans Serif"/>
                <w:b w:val="0"/>
              </w:rPr>
            </w:pPr>
            <w:r>
              <w:rPr>
                <w:rFonts w:cs="Microsoft Sans Serif"/>
              </w:rPr>
              <w:t>Other 19 countries</w:t>
            </w:r>
          </w:p>
        </w:tc>
        <w:tc>
          <w:tcPr>
            <w:tcW w:w="1033" w:type="dxa"/>
          </w:tcPr>
          <w:p w14:paraId="5EB34B97"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13</w:t>
            </w:r>
          </w:p>
        </w:tc>
        <w:tc>
          <w:tcPr>
            <w:tcW w:w="992" w:type="dxa"/>
          </w:tcPr>
          <w:p w14:paraId="1F67BC65"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15</w:t>
            </w:r>
          </w:p>
        </w:tc>
        <w:tc>
          <w:tcPr>
            <w:tcW w:w="992" w:type="dxa"/>
          </w:tcPr>
          <w:p w14:paraId="69B32EAE"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16</w:t>
            </w:r>
          </w:p>
        </w:tc>
        <w:tc>
          <w:tcPr>
            <w:tcW w:w="1134" w:type="dxa"/>
          </w:tcPr>
          <w:p w14:paraId="1A12A7B3" w14:textId="77777777" w:rsidR="00CC703E" w:rsidRPr="00AB75F3" w:rsidRDefault="00E37FDB">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sidRPr="00AB75F3">
              <w:rPr>
                <w:rFonts w:cs="Microsoft Sans Serif"/>
                <w:b w:val="0"/>
              </w:rPr>
              <w:t>44</w:t>
            </w:r>
          </w:p>
        </w:tc>
      </w:tr>
      <w:tr w:rsidR="00CC703E" w14:paraId="071471B5" w14:textId="77777777" w:rsidTr="00CA60C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23" w:type="dxa"/>
          </w:tcPr>
          <w:p w14:paraId="2D97D04E" w14:textId="77777777" w:rsidR="00CC703E" w:rsidRPr="00AB75F3" w:rsidRDefault="00E37FDB">
            <w:pPr>
              <w:pStyle w:val="Tabletext"/>
              <w:rPr>
                <w:rFonts w:cs="Microsoft Sans Serif"/>
                <w:b w:val="0"/>
              </w:rPr>
            </w:pPr>
            <w:r w:rsidRPr="00AB75F3">
              <w:rPr>
                <w:rFonts w:cs="Microsoft Sans Serif"/>
                <w:b w:val="0"/>
              </w:rPr>
              <w:t>Total</w:t>
            </w:r>
          </w:p>
        </w:tc>
        <w:tc>
          <w:tcPr>
            <w:tcW w:w="1033" w:type="dxa"/>
          </w:tcPr>
          <w:p w14:paraId="341EFF6D" w14:textId="641BC895" w:rsidR="00CC703E" w:rsidRPr="00AB75F3" w:rsidRDefault="00EE28E4">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Pr>
                <w:rFonts w:cs="Microsoft Sans Serif"/>
                <w:b w:val="0"/>
              </w:rPr>
              <w:t>4,174</w:t>
            </w:r>
          </w:p>
        </w:tc>
        <w:tc>
          <w:tcPr>
            <w:tcW w:w="992" w:type="dxa"/>
          </w:tcPr>
          <w:p w14:paraId="2439D031" w14:textId="18EAED59" w:rsidR="00CC703E" w:rsidRPr="00AB75F3" w:rsidRDefault="00EE28E4">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Pr>
                <w:rFonts w:cs="Microsoft Sans Serif"/>
                <w:b w:val="0"/>
              </w:rPr>
              <w:t>3,932</w:t>
            </w:r>
          </w:p>
        </w:tc>
        <w:tc>
          <w:tcPr>
            <w:tcW w:w="992" w:type="dxa"/>
          </w:tcPr>
          <w:p w14:paraId="58F4A83D" w14:textId="07A0346B" w:rsidR="00CC703E" w:rsidRPr="00AB75F3" w:rsidRDefault="00EE28E4">
            <w:pPr>
              <w:pStyle w:val="Tabletext"/>
              <w:jc w:val="right"/>
              <w:cnfStyle w:val="100000000000" w:firstRow="1" w:lastRow="0" w:firstColumn="0" w:lastColumn="0" w:oddVBand="0" w:evenVBand="0" w:oddHBand="0" w:evenHBand="0" w:firstRowFirstColumn="0" w:firstRowLastColumn="0" w:lastRowFirstColumn="0" w:lastRowLastColumn="0"/>
              <w:rPr>
                <w:b w:val="0"/>
              </w:rPr>
            </w:pPr>
            <w:r>
              <w:rPr>
                <w:b w:val="0"/>
              </w:rPr>
              <w:t>3,864</w:t>
            </w:r>
          </w:p>
        </w:tc>
        <w:tc>
          <w:tcPr>
            <w:tcW w:w="1134" w:type="dxa"/>
          </w:tcPr>
          <w:p w14:paraId="3CE70E18" w14:textId="2807B27B" w:rsidR="00CC703E" w:rsidRPr="00AB75F3" w:rsidRDefault="00EE28E4">
            <w:pPr>
              <w:pStyle w:val="Tabletext"/>
              <w:jc w:val="right"/>
              <w:cnfStyle w:val="100000000000" w:firstRow="1" w:lastRow="0" w:firstColumn="0" w:lastColumn="0" w:oddVBand="0" w:evenVBand="0" w:oddHBand="0" w:evenHBand="0" w:firstRowFirstColumn="0" w:firstRowLastColumn="0" w:lastRowFirstColumn="0" w:lastRowLastColumn="0"/>
              <w:rPr>
                <w:rFonts w:cs="Microsoft Sans Serif"/>
                <w:b w:val="0"/>
              </w:rPr>
            </w:pPr>
            <w:r>
              <w:rPr>
                <w:rFonts w:cs="Microsoft Sans Serif"/>
                <w:b w:val="0"/>
              </w:rPr>
              <w:t>11,970</w:t>
            </w:r>
          </w:p>
        </w:tc>
      </w:tr>
    </w:tbl>
    <w:p w14:paraId="365AEF11" w14:textId="77777777" w:rsidR="00CC703E" w:rsidRDefault="00E37FDB">
      <w:pPr>
        <w:pStyle w:val="FigureTableNoteSource"/>
        <w:rPr>
          <w:lang w:eastAsia="ja-JP"/>
        </w:rPr>
      </w:pPr>
      <w:r>
        <w:rPr>
          <w:lang w:eastAsia="ja-JP"/>
        </w:rPr>
        <w:t>Source: Department of Agriculture and Water Resources</w:t>
      </w:r>
    </w:p>
    <w:p w14:paraId="59922F7F" w14:textId="0CB1688C" w:rsidR="00CC703E" w:rsidRDefault="00E37FDB" w:rsidP="00B15849">
      <w:pPr>
        <w:tabs>
          <w:tab w:val="clear" w:pos="567"/>
        </w:tabs>
        <w:spacing w:before="360" w:after="0"/>
      </w:pPr>
      <w:r>
        <w:t>Of the 11,</w:t>
      </w:r>
      <w:r w:rsidR="00C24712">
        <w:t xml:space="preserve">970 </w:t>
      </w:r>
      <w:r>
        <w:t>consignments assessed, 29 per cent were directed for inspection, 23 per cent were sampled, 6 per cent were verified and 23 per cent were tested for WSSV and YHV (</w:t>
      </w:r>
      <w:r w:rsidR="00B15849">
        <w:fldChar w:fldCharType="begin"/>
      </w:r>
      <w:r w:rsidR="00B15849">
        <w:instrText xml:space="preserve"> REF _Ref500834078 \h </w:instrText>
      </w:r>
      <w:r w:rsidR="00B15849">
        <w:fldChar w:fldCharType="separate"/>
      </w:r>
      <w:r w:rsidR="00121BC1">
        <w:t xml:space="preserve">Table </w:t>
      </w:r>
      <w:r w:rsidR="00121BC1">
        <w:rPr>
          <w:noProof/>
        </w:rPr>
        <w:t>4</w:t>
      </w:r>
      <w:r w:rsidR="00B15849">
        <w:fldChar w:fldCharType="end"/>
      </w:r>
      <w:r>
        <w:t>). Often brokers/importers would book multiple consignments for inspection</w:t>
      </w:r>
      <w:r w:rsidR="00E3192E">
        <w:t>,</w:t>
      </w:r>
      <w:r>
        <w:t xml:space="preserve"> verification and/or sampling during the one visit.</w:t>
      </w:r>
    </w:p>
    <w:p w14:paraId="5616FCAA" w14:textId="77777777" w:rsidR="00C23E78" w:rsidRDefault="00C23E78">
      <w:pPr>
        <w:tabs>
          <w:tab w:val="clear" w:pos="567"/>
        </w:tabs>
        <w:spacing w:before="0" w:after="0"/>
        <w:rPr>
          <w:b/>
          <w:bCs/>
          <w:color w:val="404040"/>
          <w:szCs w:val="18"/>
        </w:rPr>
      </w:pPr>
      <w:bookmarkStart w:id="171" w:name="_Ref499323020"/>
      <w:r>
        <w:br w:type="page"/>
      </w:r>
    </w:p>
    <w:p w14:paraId="49ECB16D" w14:textId="36A7954A" w:rsidR="0078409F" w:rsidRDefault="0078409F" w:rsidP="0078409F">
      <w:pPr>
        <w:pStyle w:val="Caption"/>
      </w:pPr>
      <w:bookmarkStart w:id="172" w:name="_Ref500834078"/>
      <w:bookmarkStart w:id="173" w:name="_Toc500508481"/>
      <w:r>
        <w:lastRenderedPageBreak/>
        <w:t xml:space="preserve">Table </w:t>
      </w:r>
      <w:r w:rsidR="00F329C0">
        <w:fldChar w:fldCharType="begin"/>
      </w:r>
      <w:r w:rsidR="00F329C0">
        <w:instrText xml:space="preserve"> SEQ Table \* ARABIC </w:instrText>
      </w:r>
      <w:r w:rsidR="00F329C0">
        <w:fldChar w:fldCharType="separate"/>
      </w:r>
      <w:r w:rsidR="00121BC1">
        <w:rPr>
          <w:noProof/>
        </w:rPr>
        <w:t>4</w:t>
      </w:r>
      <w:r w:rsidR="00F329C0">
        <w:rPr>
          <w:noProof/>
        </w:rPr>
        <w:fldChar w:fldCharType="end"/>
      </w:r>
      <w:bookmarkEnd w:id="171"/>
      <w:bookmarkEnd w:id="172"/>
      <w:r w:rsidRPr="0078409F">
        <w:t xml:space="preserve"> </w:t>
      </w:r>
      <w:r>
        <w:t>Directions for prawn consignments, 2013–14 to 2015–16</w:t>
      </w:r>
      <w:bookmarkEnd w:id="173"/>
    </w:p>
    <w:tbl>
      <w:tblPr>
        <w:tblStyle w:val="GridTable1Light-Accent3"/>
        <w:tblW w:w="5807" w:type="dxa"/>
        <w:tblLayout w:type="fixed"/>
        <w:tblLook w:val="04A0" w:firstRow="1" w:lastRow="0" w:firstColumn="1" w:lastColumn="0" w:noHBand="0" w:noVBand="1"/>
      </w:tblPr>
      <w:tblGrid>
        <w:gridCol w:w="1696"/>
        <w:gridCol w:w="1027"/>
        <w:gridCol w:w="1028"/>
        <w:gridCol w:w="1028"/>
        <w:gridCol w:w="1028"/>
      </w:tblGrid>
      <w:tr w:rsidR="00CC703E" w14:paraId="3BC04D80" w14:textId="77777777" w:rsidTr="00ED7FB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tcBorders>
            <w:noWrap/>
            <w:hideMark/>
          </w:tcPr>
          <w:p w14:paraId="06C8BCE7" w14:textId="77777777" w:rsidR="00CC703E" w:rsidRDefault="00E37FDB">
            <w:pPr>
              <w:pStyle w:val="Tabletext"/>
            </w:pPr>
            <w:r>
              <w:t>Direction type</w:t>
            </w:r>
          </w:p>
        </w:tc>
        <w:tc>
          <w:tcPr>
            <w:tcW w:w="1027" w:type="dxa"/>
            <w:tcBorders>
              <w:top w:val="single" w:sz="4" w:space="0" w:color="auto"/>
            </w:tcBorders>
            <w:noWrap/>
            <w:hideMark/>
          </w:tcPr>
          <w:p w14:paraId="5E03AEED" w14:textId="77777777" w:rsidR="00CC703E" w:rsidRDefault="00E37FDB">
            <w:pPr>
              <w:pStyle w:val="Tabletext"/>
              <w:jc w:val="right"/>
              <w:cnfStyle w:val="100000000000" w:firstRow="1" w:lastRow="0" w:firstColumn="0" w:lastColumn="0" w:oddVBand="0" w:evenVBand="0" w:oddHBand="0" w:evenHBand="0" w:firstRowFirstColumn="0" w:firstRowLastColumn="0" w:lastRowFirstColumn="0" w:lastRowLastColumn="0"/>
            </w:pPr>
            <w:r>
              <w:t>2013–14</w:t>
            </w:r>
          </w:p>
        </w:tc>
        <w:tc>
          <w:tcPr>
            <w:tcW w:w="1028" w:type="dxa"/>
            <w:tcBorders>
              <w:top w:val="single" w:sz="4" w:space="0" w:color="auto"/>
            </w:tcBorders>
            <w:noWrap/>
            <w:hideMark/>
          </w:tcPr>
          <w:p w14:paraId="4E5A9F1A" w14:textId="77777777" w:rsidR="00CC703E" w:rsidRDefault="00E37FDB">
            <w:pPr>
              <w:pStyle w:val="Tabletext"/>
              <w:jc w:val="right"/>
              <w:cnfStyle w:val="100000000000" w:firstRow="1" w:lastRow="0" w:firstColumn="0" w:lastColumn="0" w:oddVBand="0" w:evenVBand="0" w:oddHBand="0" w:evenHBand="0" w:firstRowFirstColumn="0" w:firstRowLastColumn="0" w:lastRowFirstColumn="0" w:lastRowLastColumn="0"/>
            </w:pPr>
            <w:r>
              <w:t>2014–15</w:t>
            </w:r>
          </w:p>
        </w:tc>
        <w:tc>
          <w:tcPr>
            <w:tcW w:w="1028" w:type="dxa"/>
            <w:tcBorders>
              <w:top w:val="single" w:sz="4" w:space="0" w:color="auto"/>
            </w:tcBorders>
            <w:noWrap/>
            <w:hideMark/>
          </w:tcPr>
          <w:p w14:paraId="05967C98" w14:textId="77777777" w:rsidR="00CC703E" w:rsidRDefault="00E37FDB">
            <w:pPr>
              <w:pStyle w:val="Tabletext"/>
              <w:jc w:val="right"/>
              <w:cnfStyle w:val="100000000000" w:firstRow="1" w:lastRow="0" w:firstColumn="0" w:lastColumn="0" w:oddVBand="0" w:evenVBand="0" w:oddHBand="0" w:evenHBand="0" w:firstRowFirstColumn="0" w:firstRowLastColumn="0" w:lastRowFirstColumn="0" w:lastRowLastColumn="0"/>
            </w:pPr>
            <w:r>
              <w:t>2015–16</w:t>
            </w:r>
          </w:p>
        </w:tc>
        <w:tc>
          <w:tcPr>
            <w:tcW w:w="1028" w:type="dxa"/>
            <w:tcBorders>
              <w:top w:val="single" w:sz="4" w:space="0" w:color="auto"/>
            </w:tcBorders>
            <w:noWrap/>
            <w:hideMark/>
          </w:tcPr>
          <w:p w14:paraId="79368604" w14:textId="77777777" w:rsidR="00CC703E" w:rsidRDefault="00E37FDB">
            <w:pPr>
              <w:pStyle w:val="Tabletext"/>
              <w:jc w:val="right"/>
              <w:cnfStyle w:val="100000000000" w:firstRow="1" w:lastRow="0" w:firstColumn="0" w:lastColumn="0" w:oddVBand="0" w:evenVBand="0" w:oddHBand="0" w:evenHBand="0" w:firstRowFirstColumn="0" w:firstRowLastColumn="0" w:lastRowFirstColumn="0" w:lastRowLastColumn="0"/>
            </w:pPr>
            <w:r>
              <w:t>Total</w:t>
            </w:r>
          </w:p>
        </w:tc>
      </w:tr>
      <w:tr w:rsidR="00CC703E" w14:paraId="1ED3569C" w14:textId="77777777" w:rsidTr="00ED7FBA">
        <w:trPr>
          <w:trHeight w:val="315"/>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B69FFB0" w14:textId="77777777" w:rsidR="00CC703E" w:rsidRDefault="00E37FDB">
            <w:pPr>
              <w:pStyle w:val="Tabletext"/>
              <w:rPr>
                <w:b w:val="0"/>
              </w:rPr>
            </w:pPr>
            <w:r>
              <w:t>Inspection</w:t>
            </w:r>
          </w:p>
        </w:tc>
        <w:tc>
          <w:tcPr>
            <w:tcW w:w="1027" w:type="dxa"/>
            <w:noWrap/>
            <w:hideMark/>
          </w:tcPr>
          <w:p w14:paraId="0C82FB20"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1,282</w:t>
            </w:r>
          </w:p>
        </w:tc>
        <w:tc>
          <w:tcPr>
            <w:tcW w:w="1028" w:type="dxa"/>
            <w:noWrap/>
            <w:hideMark/>
          </w:tcPr>
          <w:p w14:paraId="17E8BB97"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1,071</w:t>
            </w:r>
          </w:p>
        </w:tc>
        <w:tc>
          <w:tcPr>
            <w:tcW w:w="1028" w:type="dxa"/>
            <w:noWrap/>
            <w:hideMark/>
          </w:tcPr>
          <w:p w14:paraId="567155D6"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1,121</w:t>
            </w:r>
          </w:p>
        </w:tc>
        <w:tc>
          <w:tcPr>
            <w:tcW w:w="1028" w:type="dxa"/>
            <w:noWrap/>
            <w:hideMark/>
          </w:tcPr>
          <w:p w14:paraId="54F6E59B"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3,474</w:t>
            </w:r>
          </w:p>
        </w:tc>
      </w:tr>
      <w:tr w:rsidR="00CC703E" w14:paraId="11448CF3" w14:textId="77777777" w:rsidTr="00ED7FBA">
        <w:trPr>
          <w:trHeight w:val="315"/>
        </w:trPr>
        <w:tc>
          <w:tcPr>
            <w:cnfStyle w:val="001000000000" w:firstRow="0" w:lastRow="0" w:firstColumn="1" w:lastColumn="0" w:oddVBand="0" w:evenVBand="0" w:oddHBand="0" w:evenHBand="0" w:firstRowFirstColumn="0" w:firstRowLastColumn="0" w:lastRowFirstColumn="0" w:lastRowLastColumn="0"/>
            <w:tcW w:w="1696" w:type="dxa"/>
            <w:noWrap/>
            <w:hideMark/>
          </w:tcPr>
          <w:p w14:paraId="2CAE5658" w14:textId="77777777" w:rsidR="00CC703E" w:rsidRDefault="00E37FDB">
            <w:pPr>
              <w:pStyle w:val="Tabletext"/>
              <w:rPr>
                <w:b w:val="0"/>
              </w:rPr>
            </w:pPr>
            <w:r>
              <w:t>Sampling</w:t>
            </w:r>
          </w:p>
        </w:tc>
        <w:tc>
          <w:tcPr>
            <w:tcW w:w="1027" w:type="dxa"/>
            <w:noWrap/>
            <w:hideMark/>
          </w:tcPr>
          <w:p w14:paraId="3733463C"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1,002</w:t>
            </w:r>
          </w:p>
        </w:tc>
        <w:tc>
          <w:tcPr>
            <w:tcW w:w="1028" w:type="dxa"/>
            <w:noWrap/>
            <w:hideMark/>
          </w:tcPr>
          <w:p w14:paraId="451A4496"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818</w:t>
            </w:r>
          </w:p>
        </w:tc>
        <w:tc>
          <w:tcPr>
            <w:tcW w:w="1028" w:type="dxa"/>
            <w:noWrap/>
            <w:hideMark/>
          </w:tcPr>
          <w:p w14:paraId="1BC611B3"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879</w:t>
            </w:r>
          </w:p>
        </w:tc>
        <w:tc>
          <w:tcPr>
            <w:tcW w:w="1028" w:type="dxa"/>
            <w:noWrap/>
            <w:hideMark/>
          </w:tcPr>
          <w:p w14:paraId="18A1C663"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2,699</w:t>
            </w:r>
          </w:p>
        </w:tc>
      </w:tr>
      <w:tr w:rsidR="00CC703E" w14:paraId="1286EEB0" w14:textId="77777777" w:rsidTr="00ED7FBA">
        <w:trPr>
          <w:trHeight w:val="315"/>
        </w:trPr>
        <w:tc>
          <w:tcPr>
            <w:cnfStyle w:val="001000000000" w:firstRow="0" w:lastRow="0" w:firstColumn="1" w:lastColumn="0" w:oddVBand="0" w:evenVBand="0" w:oddHBand="0" w:evenHBand="0" w:firstRowFirstColumn="0" w:firstRowLastColumn="0" w:lastRowFirstColumn="0" w:lastRowLastColumn="0"/>
            <w:tcW w:w="1696" w:type="dxa"/>
            <w:noWrap/>
            <w:hideMark/>
          </w:tcPr>
          <w:p w14:paraId="0DDFF69C" w14:textId="77777777" w:rsidR="00CC703E" w:rsidRDefault="00E37FDB">
            <w:pPr>
              <w:pStyle w:val="Tabletext"/>
              <w:rPr>
                <w:b w:val="0"/>
              </w:rPr>
            </w:pPr>
            <w:r>
              <w:t>Verification</w:t>
            </w:r>
          </w:p>
        </w:tc>
        <w:tc>
          <w:tcPr>
            <w:tcW w:w="1027" w:type="dxa"/>
            <w:noWrap/>
            <w:hideMark/>
          </w:tcPr>
          <w:p w14:paraId="64047837"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280</w:t>
            </w:r>
          </w:p>
        </w:tc>
        <w:tc>
          <w:tcPr>
            <w:tcW w:w="1028" w:type="dxa"/>
            <w:noWrap/>
            <w:hideMark/>
          </w:tcPr>
          <w:p w14:paraId="1A84C301"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253</w:t>
            </w:r>
          </w:p>
        </w:tc>
        <w:tc>
          <w:tcPr>
            <w:tcW w:w="1028" w:type="dxa"/>
            <w:noWrap/>
            <w:hideMark/>
          </w:tcPr>
          <w:p w14:paraId="7239BBDA"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242</w:t>
            </w:r>
          </w:p>
        </w:tc>
        <w:tc>
          <w:tcPr>
            <w:tcW w:w="1028" w:type="dxa"/>
            <w:noWrap/>
            <w:hideMark/>
          </w:tcPr>
          <w:p w14:paraId="2BE886C5"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775</w:t>
            </w:r>
          </w:p>
        </w:tc>
      </w:tr>
      <w:tr w:rsidR="00CC703E" w14:paraId="7126905E" w14:textId="77777777" w:rsidTr="00ED7FBA">
        <w:trPr>
          <w:trHeight w:val="315"/>
        </w:trPr>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auto"/>
            </w:tcBorders>
            <w:noWrap/>
            <w:hideMark/>
          </w:tcPr>
          <w:p w14:paraId="5D7F957A" w14:textId="77777777" w:rsidR="00CC703E" w:rsidRDefault="00E37FDB">
            <w:pPr>
              <w:pStyle w:val="Tabletext"/>
              <w:rPr>
                <w:b w:val="0"/>
              </w:rPr>
            </w:pPr>
            <w:r>
              <w:t>Testing</w:t>
            </w:r>
          </w:p>
        </w:tc>
        <w:tc>
          <w:tcPr>
            <w:tcW w:w="1027" w:type="dxa"/>
            <w:tcBorders>
              <w:bottom w:val="single" w:sz="4" w:space="0" w:color="auto"/>
            </w:tcBorders>
            <w:noWrap/>
            <w:hideMark/>
          </w:tcPr>
          <w:p w14:paraId="0296445D"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1,046</w:t>
            </w:r>
          </w:p>
        </w:tc>
        <w:tc>
          <w:tcPr>
            <w:tcW w:w="1028" w:type="dxa"/>
            <w:tcBorders>
              <w:bottom w:val="single" w:sz="4" w:space="0" w:color="auto"/>
            </w:tcBorders>
            <w:noWrap/>
            <w:hideMark/>
          </w:tcPr>
          <w:p w14:paraId="59C94B7F"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829</w:t>
            </w:r>
          </w:p>
        </w:tc>
        <w:tc>
          <w:tcPr>
            <w:tcW w:w="1028" w:type="dxa"/>
            <w:tcBorders>
              <w:bottom w:val="single" w:sz="4" w:space="0" w:color="auto"/>
            </w:tcBorders>
            <w:noWrap/>
            <w:hideMark/>
          </w:tcPr>
          <w:p w14:paraId="1A622B52"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837</w:t>
            </w:r>
          </w:p>
        </w:tc>
        <w:tc>
          <w:tcPr>
            <w:tcW w:w="1028" w:type="dxa"/>
            <w:tcBorders>
              <w:bottom w:val="single" w:sz="4" w:space="0" w:color="auto"/>
            </w:tcBorders>
            <w:noWrap/>
            <w:hideMark/>
          </w:tcPr>
          <w:p w14:paraId="4324ADA6"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2,712</w:t>
            </w:r>
          </w:p>
        </w:tc>
      </w:tr>
    </w:tbl>
    <w:p w14:paraId="6F7D68E5" w14:textId="77777777" w:rsidR="00CC703E" w:rsidRDefault="00E37FDB">
      <w:pPr>
        <w:pStyle w:val="FigureTableNoteSource"/>
        <w:rPr>
          <w:lang w:eastAsia="ja-JP"/>
        </w:rPr>
      </w:pPr>
      <w:r>
        <w:rPr>
          <w:lang w:eastAsia="ja-JP"/>
        </w:rPr>
        <w:t>Source: Department of Agriculture and Water Resources</w:t>
      </w:r>
    </w:p>
    <w:p w14:paraId="392E180C" w14:textId="42EF8165" w:rsidR="00CC703E" w:rsidRDefault="00E37FDB" w:rsidP="005C6203">
      <w:pPr>
        <w:tabs>
          <w:tab w:val="clear" w:pos="567"/>
        </w:tabs>
        <w:spacing w:before="360" w:after="0"/>
      </w:pPr>
      <w:r>
        <w:t>From 2013–14 to 2015–16 the department billed importers across all ports for a total of 1,595 hours (</w:t>
      </w:r>
      <w:r w:rsidR="001E27DE">
        <w:fldChar w:fldCharType="begin"/>
      </w:r>
      <w:r w:rsidR="001E27DE">
        <w:instrText xml:space="preserve"> REF _Ref499323069 \h </w:instrText>
      </w:r>
      <w:r w:rsidR="001E27DE">
        <w:fldChar w:fldCharType="separate"/>
      </w:r>
      <w:r w:rsidR="00121BC1">
        <w:t xml:space="preserve">Table </w:t>
      </w:r>
      <w:r w:rsidR="00121BC1">
        <w:rPr>
          <w:noProof/>
        </w:rPr>
        <w:t>5</w:t>
      </w:r>
      <w:r w:rsidR="001E27DE">
        <w:fldChar w:fldCharType="end"/>
      </w:r>
      <w:r>
        <w:t>) for inspection, sampling, verification and testing activities undertaken by biosecurity officers (</w:t>
      </w:r>
      <w:r w:rsidR="00B15849">
        <w:fldChar w:fldCharType="begin"/>
      </w:r>
      <w:r w:rsidR="00B15849">
        <w:instrText xml:space="preserve"> REF _Ref500834078 \h </w:instrText>
      </w:r>
      <w:r w:rsidR="00B15849">
        <w:fldChar w:fldCharType="separate"/>
      </w:r>
      <w:r w:rsidR="00121BC1">
        <w:t xml:space="preserve">Table </w:t>
      </w:r>
      <w:r w:rsidR="00121BC1">
        <w:rPr>
          <w:noProof/>
        </w:rPr>
        <w:t>4</w:t>
      </w:r>
      <w:r w:rsidR="00B15849">
        <w:fldChar w:fldCharType="end"/>
      </w:r>
      <w:r>
        <w:t xml:space="preserve">). This indicates that inspectors spent an average of 35 minutes </w:t>
      </w:r>
      <w:r w:rsidR="00E3192E">
        <w:t xml:space="preserve">per consignment </w:t>
      </w:r>
      <w:r>
        <w:t>in QAP premises carrying out inspection, verification and sampling tasks. Time spent back at the office arranging paperwork and sample submissions to laboratories was not generally cost-recovered. Nearly 75 per cent of the total hours billed during 2013–14 to 2015–16 were at Melbourne and Sydney ports.</w:t>
      </w:r>
    </w:p>
    <w:p w14:paraId="551F60A1" w14:textId="2FCAE977" w:rsidR="0078409F" w:rsidRDefault="0078409F" w:rsidP="0078409F">
      <w:pPr>
        <w:pStyle w:val="Caption"/>
      </w:pPr>
      <w:bookmarkStart w:id="174" w:name="_Ref499323069"/>
      <w:bookmarkStart w:id="175" w:name="_Toc500508482"/>
      <w:r>
        <w:t xml:space="preserve">Table </w:t>
      </w:r>
      <w:r w:rsidR="00F329C0">
        <w:fldChar w:fldCharType="begin"/>
      </w:r>
      <w:r w:rsidR="00F329C0">
        <w:instrText xml:space="preserve"> </w:instrText>
      </w:r>
      <w:r w:rsidR="00F329C0">
        <w:instrText xml:space="preserve">SEQ Table \* ARABIC </w:instrText>
      </w:r>
      <w:r w:rsidR="00F329C0">
        <w:fldChar w:fldCharType="separate"/>
      </w:r>
      <w:r w:rsidR="00121BC1">
        <w:rPr>
          <w:noProof/>
        </w:rPr>
        <w:t>5</w:t>
      </w:r>
      <w:r w:rsidR="00F329C0">
        <w:rPr>
          <w:noProof/>
        </w:rPr>
        <w:fldChar w:fldCharType="end"/>
      </w:r>
      <w:bookmarkEnd w:id="174"/>
      <w:r w:rsidRPr="0078409F">
        <w:t xml:space="preserve"> </w:t>
      </w:r>
      <w:r>
        <w:t>Prawn inspection and sampling, billed hours, by port, 2013–14 to 2015–16</w:t>
      </w:r>
      <w:bookmarkEnd w:id="175"/>
    </w:p>
    <w:tbl>
      <w:tblPr>
        <w:tblStyle w:val="GridTable1Light-Accent3"/>
        <w:tblW w:w="0" w:type="auto"/>
        <w:tblLayout w:type="fixed"/>
        <w:tblLook w:val="04A0" w:firstRow="1" w:lastRow="0" w:firstColumn="1" w:lastColumn="0" w:noHBand="0" w:noVBand="1"/>
      </w:tblPr>
      <w:tblGrid>
        <w:gridCol w:w="2122"/>
        <w:gridCol w:w="1169"/>
        <w:gridCol w:w="1169"/>
        <w:gridCol w:w="1169"/>
        <w:gridCol w:w="1170"/>
      </w:tblGrid>
      <w:tr w:rsidR="00CC703E" w14:paraId="5B555582" w14:textId="77777777" w:rsidTr="00CC703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tcBorders>
            <w:noWrap/>
            <w:hideMark/>
          </w:tcPr>
          <w:p w14:paraId="6E307C03" w14:textId="68D24AE0" w:rsidR="00CC703E" w:rsidRDefault="00E37FDB">
            <w:pPr>
              <w:pStyle w:val="Tabletext"/>
            </w:pPr>
            <w:r>
              <w:t>Port of entry</w:t>
            </w:r>
          </w:p>
        </w:tc>
        <w:tc>
          <w:tcPr>
            <w:tcW w:w="1169" w:type="dxa"/>
            <w:tcBorders>
              <w:top w:val="single" w:sz="4" w:space="0" w:color="auto"/>
            </w:tcBorders>
            <w:noWrap/>
            <w:hideMark/>
          </w:tcPr>
          <w:p w14:paraId="551268D0" w14:textId="77777777" w:rsidR="00CC703E" w:rsidRDefault="00E37FDB">
            <w:pPr>
              <w:pStyle w:val="Tabletext"/>
              <w:jc w:val="right"/>
              <w:cnfStyle w:val="100000000000" w:firstRow="1" w:lastRow="0" w:firstColumn="0" w:lastColumn="0" w:oddVBand="0" w:evenVBand="0" w:oddHBand="0" w:evenHBand="0" w:firstRowFirstColumn="0" w:firstRowLastColumn="0" w:lastRowFirstColumn="0" w:lastRowLastColumn="0"/>
            </w:pPr>
            <w:r>
              <w:t>2013–14</w:t>
            </w:r>
          </w:p>
        </w:tc>
        <w:tc>
          <w:tcPr>
            <w:tcW w:w="1169" w:type="dxa"/>
            <w:tcBorders>
              <w:top w:val="single" w:sz="4" w:space="0" w:color="auto"/>
            </w:tcBorders>
            <w:noWrap/>
            <w:hideMark/>
          </w:tcPr>
          <w:p w14:paraId="3E4BD8CB" w14:textId="77777777" w:rsidR="00CC703E" w:rsidRDefault="00E37FDB">
            <w:pPr>
              <w:pStyle w:val="Tabletext"/>
              <w:jc w:val="right"/>
              <w:cnfStyle w:val="100000000000" w:firstRow="1" w:lastRow="0" w:firstColumn="0" w:lastColumn="0" w:oddVBand="0" w:evenVBand="0" w:oddHBand="0" w:evenHBand="0" w:firstRowFirstColumn="0" w:firstRowLastColumn="0" w:lastRowFirstColumn="0" w:lastRowLastColumn="0"/>
            </w:pPr>
            <w:r>
              <w:t>2014–15</w:t>
            </w:r>
          </w:p>
        </w:tc>
        <w:tc>
          <w:tcPr>
            <w:tcW w:w="1169" w:type="dxa"/>
            <w:tcBorders>
              <w:top w:val="single" w:sz="4" w:space="0" w:color="auto"/>
            </w:tcBorders>
            <w:noWrap/>
            <w:hideMark/>
          </w:tcPr>
          <w:p w14:paraId="7EC8A66E" w14:textId="77777777" w:rsidR="00CC703E" w:rsidRDefault="00E37FDB">
            <w:pPr>
              <w:pStyle w:val="Tabletext"/>
              <w:jc w:val="right"/>
              <w:cnfStyle w:val="100000000000" w:firstRow="1" w:lastRow="0" w:firstColumn="0" w:lastColumn="0" w:oddVBand="0" w:evenVBand="0" w:oddHBand="0" w:evenHBand="0" w:firstRowFirstColumn="0" w:firstRowLastColumn="0" w:lastRowFirstColumn="0" w:lastRowLastColumn="0"/>
            </w:pPr>
            <w:r>
              <w:t>2015–16</w:t>
            </w:r>
          </w:p>
        </w:tc>
        <w:tc>
          <w:tcPr>
            <w:tcW w:w="1170" w:type="dxa"/>
            <w:tcBorders>
              <w:top w:val="single" w:sz="4" w:space="0" w:color="auto"/>
            </w:tcBorders>
            <w:noWrap/>
            <w:hideMark/>
          </w:tcPr>
          <w:p w14:paraId="72A5BD1F" w14:textId="77777777" w:rsidR="00CC703E" w:rsidRDefault="00E37FDB">
            <w:pPr>
              <w:pStyle w:val="Tabletext"/>
              <w:jc w:val="right"/>
              <w:cnfStyle w:val="100000000000" w:firstRow="1" w:lastRow="0" w:firstColumn="0" w:lastColumn="0" w:oddVBand="0" w:evenVBand="0" w:oddHBand="0" w:evenHBand="0" w:firstRowFirstColumn="0" w:firstRowLastColumn="0" w:lastRowFirstColumn="0" w:lastRowLastColumn="0"/>
            </w:pPr>
            <w:r>
              <w:t>Total</w:t>
            </w:r>
          </w:p>
        </w:tc>
      </w:tr>
      <w:tr w:rsidR="00CC703E" w14:paraId="78C0334A" w14:textId="77777777" w:rsidTr="00CC703E">
        <w:trPr>
          <w:trHeight w:val="300"/>
        </w:trPr>
        <w:tc>
          <w:tcPr>
            <w:cnfStyle w:val="001000000000" w:firstRow="0" w:lastRow="0" w:firstColumn="1" w:lastColumn="0" w:oddVBand="0" w:evenVBand="0" w:oddHBand="0" w:evenHBand="0" w:firstRowFirstColumn="0" w:firstRowLastColumn="0" w:lastRowFirstColumn="0" w:lastRowLastColumn="0"/>
            <w:tcW w:w="2122" w:type="dxa"/>
            <w:noWrap/>
          </w:tcPr>
          <w:p w14:paraId="73BE30D1" w14:textId="77777777" w:rsidR="00CC703E" w:rsidRDefault="00E37FDB">
            <w:pPr>
              <w:pStyle w:val="Tabletext"/>
              <w:rPr>
                <w:b w:val="0"/>
              </w:rPr>
            </w:pPr>
            <w:r>
              <w:t>Melbourne</w:t>
            </w:r>
          </w:p>
        </w:tc>
        <w:tc>
          <w:tcPr>
            <w:tcW w:w="1169" w:type="dxa"/>
            <w:noWrap/>
            <w:vAlign w:val="center"/>
          </w:tcPr>
          <w:p w14:paraId="6263C4E6"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317</w:t>
            </w:r>
          </w:p>
        </w:tc>
        <w:tc>
          <w:tcPr>
            <w:tcW w:w="1169" w:type="dxa"/>
            <w:noWrap/>
            <w:vAlign w:val="center"/>
          </w:tcPr>
          <w:p w14:paraId="288598E0"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193</w:t>
            </w:r>
          </w:p>
        </w:tc>
        <w:tc>
          <w:tcPr>
            <w:tcW w:w="1169" w:type="dxa"/>
            <w:noWrap/>
            <w:vAlign w:val="center"/>
          </w:tcPr>
          <w:p w14:paraId="2846A3BE"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176</w:t>
            </w:r>
          </w:p>
        </w:tc>
        <w:tc>
          <w:tcPr>
            <w:tcW w:w="1170" w:type="dxa"/>
            <w:noWrap/>
            <w:vAlign w:val="center"/>
          </w:tcPr>
          <w:p w14:paraId="390465BF" w14:textId="1005CE48" w:rsidR="00CC703E" w:rsidRDefault="001F7571" w:rsidP="001F7571">
            <w:pPr>
              <w:pStyle w:val="Tabletext"/>
              <w:jc w:val="right"/>
              <w:cnfStyle w:val="000000000000" w:firstRow="0" w:lastRow="0" w:firstColumn="0" w:lastColumn="0" w:oddVBand="0" w:evenVBand="0" w:oddHBand="0" w:evenHBand="0" w:firstRowFirstColumn="0" w:firstRowLastColumn="0" w:lastRowFirstColumn="0" w:lastRowLastColumn="0"/>
            </w:pPr>
            <w:r>
              <w:t>686</w:t>
            </w:r>
          </w:p>
        </w:tc>
      </w:tr>
      <w:tr w:rsidR="00CC703E" w14:paraId="5C8D3B3D" w14:textId="77777777" w:rsidTr="00CC703E">
        <w:trPr>
          <w:trHeight w:val="300"/>
        </w:trPr>
        <w:tc>
          <w:tcPr>
            <w:cnfStyle w:val="001000000000" w:firstRow="0" w:lastRow="0" w:firstColumn="1" w:lastColumn="0" w:oddVBand="0" w:evenVBand="0" w:oddHBand="0" w:evenHBand="0" w:firstRowFirstColumn="0" w:firstRowLastColumn="0" w:lastRowFirstColumn="0" w:lastRowLastColumn="0"/>
            <w:tcW w:w="2122" w:type="dxa"/>
            <w:noWrap/>
          </w:tcPr>
          <w:p w14:paraId="007C9519" w14:textId="77777777" w:rsidR="00CC703E" w:rsidRDefault="00E37FDB">
            <w:pPr>
              <w:pStyle w:val="Tabletext"/>
              <w:rPr>
                <w:b w:val="0"/>
              </w:rPr>
            </w:pPr>
            <w:r>
              <w:t>Sydney</w:t>
            </w:r>
          </w:p>
        </w:tc>
        <w:tc>
          <w:tcPr>
            <w:tcW w:w="1169" w:type="dxa"/>
            <w:noWrap/>
            <w:vAlign w:val="center"/>
          </w:tcPr>
          <w:p w14:paraId="46709342"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142</w:t>
            </w:r>
          </w:p>
        </w:tc>
        <w:tc>
          <w:tcPr>
            <w:tcW w:w="1169" w:type="dxa"/>
            <w:noWrap/>
            <w:vAlign w:val="center"/>
          </w:tcPr>
          <w:p w14:paraId="67CE2723"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152</w:t>
            </w:r>
          </w:p>
        </w:tc>
        <w:tc>
          <w:tcPr>
            <w:tcW w:w="1169" w:type="dxa"/>
            <w:noWrap/>
            <w:vAlign w:val="center"/>
          </w:tcPr>
          <w:p w14:paraId="6AC05F0D"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210</w:t>
            </w:r>
          </w:p>
        </w:tc>
        <w:tc>
          <w:tcPr>
            <w:tcW w:w="1170" w:type="dxa"/>
            <w:noWrap/>
            <w:vAlign w:val="center"/>
          </w:tcPr>
          <w:p w14:paraId="710B60CB" w14:textId="4B04C7F0" w:rsidR="00CC703E" w:rsidRDefault="00C738E3" w:rsidP="001F7571">
            <w:pPr>
              <w:pStyle w:val="Tabletext"/>
              <w:jc w:val="right"/>
              <w:cnfStyle w:val="000000000000" w:firstRow="0" w:lastRow="0" w:firstColumn="0" w:lastColumn="0" w:oddVBand="0" w:evenVBand="0" w:oddHBand="0" w:evenHBand="0" w:firstRowFirstColumn="0" w:firstRowLastColumn="0" w:lastRowFirstColumn="0" w:lastRowLastColumn="0"/>
            </w:pPr>
            <w:r>
              <w:t>50</w:t>
            </w:r>
            <w:r w:rsidR="001F7571">
              <w:t>4</w:t>
            </w:r>
          </w:p>
        </w:tc>
      </w:tr>
      <w:tr w:rsidR="00CC703E" w14:paraId="65808088" w14:textId="77777777" w:rsidTr="00CC703E">
        <w:trPr>
          <w:trHeight w:val="300"/>
        </w:trPr>
        <w:tc>
          <w:tcPr>
            <w:cnfStyle w:val="001000000000" w:firstRow="0" w:lastRow="0" w:firstColumn="1" w:lastColumn="0" w:oddVBand="0" w:evenVBand="0" w:oddHBand="0" w:evenHBand="0" w:firstRowFirstColumn="0" w:firstRowLastColumn="0" w:lastRowFirstColumn="0" w:lastRowLastColumn="0"/>
            <w:tcW w:w="2122" w:type="dxa"/>
            <w:noWrap/>
          </w:tcPr>
          <w:p w14:paraId="312677CA" w14:textId="77777777" w:rsidR="00CC703E" w:rsidRDefault="00E37FDB">
            <w:pPr>
              <w:pStyle w:val="Tabletext"/>
              <w:rPr>
                <w:b w:val="0"/>
              </w:rPr>
            </w:pPr>
            <w:r>
              <w:t>Brisbane</w:t>
            </w:r>
          </w:p>
        </w:tc>
        <w:tc>
          <w:tcPr>
            <w:tcW w:w="1169" w:type="dxa"/>
            <w:noWrap/>
            <w:vAlign w:val="center"/>
          </w:tcPr>
          <w:p w14:paraId="2BCE580D"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56</w:t>
            </w:r>
          </w:p>
        </w:tc>
        <w:tc>
          <w:tcPr>
            <w:tcW w:w="1169" w:type="dxa"/>
            <w:noWrap/>
            <w:vAlign w:val="center"/>
          </w:tcPr>
          <w:p w14:paraId="2614B222"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71</w:t>
            </w:r>
          </w:p>
        </w:tc>
        <w:tc>
          <w:tcPr>
            <w:tcW w:w="1169" w:type="dxa"/>
            <w:noWrap/>
            <w:vAlign w:val="center"/>
          </w:tcPr>
          <w:p w14:paraId="030279CD"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93</w:t>
            </w:r>
          </w:p>
        </w:tc>
        <w:tc>
          <w:tcPr>
            <w:tcW w:w="1170" w:type="dxa"/>
            <w:noWrap/>
            <w:vAlign w:val="center"/>
          </w:tcPr>
          <w:p w14:paraId="110770D6"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220</w:t>
            </w:r>
          </w:p>
        </w:tc>
      </w:tr>
      <w:tr w:rsidR="00CC703E" w14:paraId="43206219" w14:textId="77777777" w:rsidTr="00CC703E">
        <w:trPr>
          <w:trHeight w:val="300"/>
        </w:trPr>
        <w:tc>
          <w:tcPr>
            <w:cnfStyle w:val="001000000000" w:firstRow="0" w:lastRow="0" w:firstColumn="1" w:lastColumn="0" w:oddVBand="0" w:evenVBand="0" w:oddHBand="0" w:evenHBand="0" w:firstRowFirstColumn="0" w:firstRowLastColumn="0" w:lastRowFirstColumn="0" w:lastRowLastColumn="0"/>
            <w:tcW w:w="2122" w:type="dxa"/>
            <w:noWrap/>
          </w:tcPr>
          <w:p w14:paraId="0DCFDA7E" w14:textId="77777777" w:rsidR="00CC703E" w:rsidRDefault="00E37FDB">
            <w:pPr>
              <w:pStyle w:val="Tabletext"/>
              <w:rPr>
                <w:b w:val="0"/>
              </w:rPr>
            </w:pPr>
            <w:r>
              <w:t>Fremantle</w:t>
            </w:r>
          </w:p>
        </w:tc>
        <w:tc>
          <w:tcPr>
            <w:tcW w:w="1169" w:type="dxa"/>
            <w:noWrap/>
            <w:vAlign w:val="center"/>
          </w:tcPr>
          <w:p w14:paraId="79FDDBA0"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44</w:t>
            </w:r>
          </w:p>
        </w:tc>
        <w:tc>
          <w:tcPr>
            <w:tcW w:w="1169" w:type="dxa"/>
            <w:noWrap/>
            <w:vAlign w:val="center"/>
          </w:tcPr>
          <w:p w14:paraId="1ADF90BF"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38</w:t>
            </w:r>
          </w:p>
        </w:tc>
        <w:tc>
          <w:tcPr>
            <w:tcW w:w="1169" w:type="dxa"/>
            <w:noWrap/>
            <w:vAlign w:val="center"/>
          </w:tcPr>
          <w:p w14:paraId="0DC0C08A"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58</w:t>
            </w:r>
          </w:p>
        </w:tc>
        <w:tc>
          <w:tcPr>
            <w:tcW w:w="1170" w:type="dxa"/>
            <w:noWrap/>
            <w:vAlign w:val="center"/>
          </w:tcPr>
          <w:p w14:paraId="36A716BF"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140</w:t>
            </w:r>
          </w:p>
        </w:tc>
      </w:tr>
      <w:tr w:rsidR="00CC703E" w14:paraId="2F24215B" w14:textId="2AB08419" w:rsidTr="00CC703E">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4C602236" w14:textId="156D439E" w:rsidR="00CC703E" w:rsidRDefault="00E37FDB">
            <w:pPr>
              <w:pStyle w:val="Tabletext"/>
              <w:rPr>
                <w:b w:val="0"/>
              </w:rPr>
            </w:pPr>
            <w:r>
              <w:t>Adelaide (sea and airport)</w:t>
            </w:r>
          </w:p>
        </w:tc>
        <w:tc>
          <w:tcPr>
            <w:tcW w:w="1169" w:type="dxa"/>
            <w:noWrap/>
            <w:vAlign w:val="center"/>
            <w:hideMark/>
          </w:tcPr>
          <w:p w14:paraId="1F0D5640" w14:textId="57EB9DC9"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7</w:t>
            </w:r>
          </w:p>
        </w:tc>
        <w:tc>
          <w:tcPr>
            <w:tcW w:w="1169" w:type="dxa"/>
            <w:noWrap/>
            <w:vAlign w:val="center"/>
            <w:hideMark/>
          </w:tcPr>
          <w:p w14:paraId="5DB2868D" w14:textId="7CF37361"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11</w:t>
            </w:r>
          </w:p>
        </w:tc>
        <w:tc>
          <w:tcPr>
            <w:tcW w:w="1169" w:type="dxa"/>
            <w:noWrap/>
            <w:vAlign w:val="center"/>
            <w:hideMark/>
          </w:tcPr>
          <w:p w14:paraId="24E0BCFF" w14:textId="2B563545"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15</w:t>
            </w:r>
          </w:p>
        </w:tc>
        <w:tc>
          <w:tcPr>
            <w:tcW w:w="1170" w:type="dxa"/>
            <w:noWrap/>
            <w:vAlign w:val="center"/>
            <w:hideMark/>
          </w:tcPr>
          <w:p w14:paraId="5CBF3A15" w14:textId="17762685"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33</w:t>
            </w:r>
          </w:p>
        </w:tc>
      </w:tr>
      <w:tr w:rsidR="00CC703E" w14:paraId="52608843" w14:textId="77777777" w:rsidTr="00CC703E">
        <w:trPr>
          <w:trHeight w:val="300"/>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644D7F2" w14:textId="77777777" w:rsidR="00CC703E" w:rsidRDefault="00E37FDB">
            <w:pPr>
              <w:pStyle w:val="Tabletext"/>
              <w:rPr>
                <w:b w:val="0"/>
              </w:rPr>
            </w:pPr>
            <w:r>
              <w:t>Albany</w:t>
            </w:r>
          </w:p>
        </w:tc>
        <w:tc>
          <w:tcPr>
            <w:tcW w:w="1169" w:type="dxa"/>
            <w:noWrap/>
            <w:vAlign w:val="center"/>
            <w:hideMark/>
          </w:tcPr>
          <w:p w14:paraId="4A1D4E08"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0</w:t>
            </w:r>
          </w:p>
        </w:tc>
        <w:tc>
          <w:tcPr>
            <w:tcW w:w="1169" w:type="dxa"/>
            <w:noWrap/>
            <w:vAlign w:val="center"/>
            <w:hideMark/>
          </w:tcPr>
          <w:p w14:paraId="61477121"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0</w:t>
            </w:r>
          </w:p>
        </w:tc>
        <w:tc>
          <w:tcPr>
            <w:tcW w:w="1169" w:type="dxa"/>
            <w:noWrap/>
            <w:vAlign w:val="center"/>
            <w:hideMark/>
          </w:tcPr>
          <w:p w14:paraId="0CCBF23B"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10</w:t>
            </w:r>
          </w:p>
        </w:tc>
        <w:tc>
          <w:tcPr>
            <w:tcW w:w="1170" w:type="dxa"/>
            <w:noWrap/>
            <w:vAlign w:val="center"/>
            <w:hideMark/>
          </w:tcPr>
          <w:p w14:paraId="071882DA"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10</w:t>
            </w:r>
          </w:p>
        </w:tc>
      </w:tr>
      <w:tr w:rsidR="00CC703E" w14:paraId="49E94F37" w14:textId="77777777" w:rsidTr="00CC703E">
        <w:trPr>
          <w:trHeight w:val="300"/>
        </w:trPr>
        <w:tc>
          <w:tcPr>
            <w:cnfStyle w:val="001000000000" w:firstRow="0" w:lastRow="0" w:firstColumn="1" w:lastColumn="0" w:oddVBand="0" w:evenVBand="0" w:oddHBand="0" w:evenHBand="0" w:firstRowFirstColumn="0" w:firstRowLastColumn="0" w:lastRowFirstColumn="0" w:lastRowLastColumn="0"/>
            <w:tcW w:w="2122" w:type="dxa"/>
            <w:tcBorders>
              <w:bottom w:val="single" w:sz="4" w:space="0" w:color="DBDBDB" w:themeColor="accent3" w:themeTint="66"/>
            </w:tcBorders>
            <w:noWrap/>
            <w:hideMark/>
          </w:tcPr>
          <w:p w14:paraId="5C584C7A" w14:textId="77777777" w:rsidR="00CC703E" w:rsidRDefault="00E37FDB">
            <w:pPr>
              <w:pStyle w:val="Tabletext"/>
              <w:rPr>
                <w:b w:val="0"/>
              </w:rPr>
            </w:pPr>
            <w:r>
              <w:t>Geelong</w:t>
            </w:r>
          </w:p>
        </w:tc>
        <w:tc>
          <w:tcPr>
            <w:tcW w:w="1169" w:type="dxa"/>
            <w:tcBorders>
              <w:bottom w:val="single" w:sz="4" w:space="0" w:color="DBDBDB" w:themeColor="accent3" w:themeTint="66"/>
            </w:tcBorders>
            <w:noWrap/>
            <w:hideMark/>
          </w:tcPr>
          <w:p w14:paraId="427AD1DE" w14:textId="668F657D"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169" w:type="dxa"/>
            <w:tcBorders>
              <w:bottom w:val="single" w:sz="4" w:space="0" w:color="DBDBDB" w:themeColor="accent3" w:themeTint="66"/>
            </w:tcBorders>
            <w:noWrap/>
            <w:vAlign w:val="center"/>
            <w:hideMark/>
          </w:tcPr>
          <w:p w14:paraId="7CD1FA8D"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0</w:t>
            </w:r>
          </w:p>
        </w:tc>
        <w:tc>
          <w:tcPr>
            <w:tcW w:w="1169" w:type="dxa"/>
            <w:tcBorders>
              <w:bottom w:val="single" w:sz="4" w:space="0" w:color="DBDBDB" w:themeColor="accent3" w:themeTint="66"/>
            </w:tcBorders>
            <w:noWrap/>
            <w:vAlign w:val="center"/>
            <w:hideMark/>
          </w:tcPr>
          <w:p w14:paraId="1E85E950"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2</w:t>
            </w:r>
          </w:p>
        </w:tc>
        <w:tc>
          <w:tcPr>
            <w:tcW w:w="1170" w:type="dxa"/>
            <w:tcBorders>
              <w:bottom w:val="single" w:sz="4" w:space="0" w:color="DBDBDB" w:themeColor="accent3" w:themeTint="66"/>
            </w:tcBorders>
            <w:noWrap/>
            <w:vAlign w:val="center"/>
            <w:hideMark/>
          </w:tcPr>
          <w:p w14:paraId="12545FBB"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2</w:t>
            </w:r>
          </w:p>
        </w:tc>
      </w:tr>
      <w:tr w:rsidR="00CC703E" w14:paraId="209A6503" w14:textId="77777777" w:rsidTr="00CC703E">
        <w:trPr>
          <w:trHeight w:val="300"/>
        </w:trPr>
        <w:tc>
          <w:tcPr>
            <w:cnfStyle w:val="001000000000" w:firstRow="0" w:lastRow="0" w:firstColumn="1" w:lastColumn="0" w:oddVBand="0" w:evenVBand="0" w:oddHBand="0" w:evenHBand="0" w:firstRowFirstColumn="0" w:firstRowLastColumn="0" w:lastRowFirstColumn="0" w:lastRowLastColumn="0"/>
            <w:tcW w:w="2122" w:type="dxa"/>
            <w:tcBorders>
              <w:bottom w:val="single" w:sz="4" w:space="0" w:color="auto"/>
            </w:tcBorders>
            <w:noWrap/>
            <w:hideMark/>
          </w:tcPr>
          <w:p w14:paraId="1690D95C" w14:textId="77777777" w:rsidR="00CC703E" w:rsidRDefault="00E37FDB">
            <w:pPr>
              <w:pStyle w:val="Tabletext"/>
              <w:rPr>
                <w:b w:val="0"/>
              </w:rPr>
            </w:pPr>
            <w:r>
              <w:t>Total</w:t>
            </w:r>
          </w:p>
        </w:tc>
        <w:tc>
          <w:tcPr>
            <w:tcW w:w="1169" w:type="dxa"/>
            <w:tcBorders>
              <w:bottom w:val="single" w:sz="4" w:space="0" w:color="auto"/>
            </w:tcBorders>
            <w:noWrap/>
            <w:vAlign w:val="center"/>
            <w:hideMark/>
          </w:tcPr>
          <w:p w14:paraId="4DEF52DF" w14:textId="49C760E5" w:rsidR="00CC703E" w:rsidRDefault="00E37FDB" w:rsidP="00517310">
            <w:pPr>
              <w:pStyle w:val="Tabletext"/>
              <w:jc w:val="right"/>
              <w:cnfStyle w:val="000000000000" w:firstRow="0" w:lastRow="0" w:firstColumn="0" w:lastColumn="0" w:oddVBand="0" w:evenVBand="0" w:oddHBand="0" w:evenHBand="0" w:firstRowFirstColumn="0" w:firstRowLastColumn="0" w:lastRowFirstColumn="0" w:lastRowLastColumn="0"/>
            </w:pPr>
            <w:r>
              <w:t>56</w:t>
            </w:r>
            <w:r w:rsidR="00517310">
              <w:t>6</w:t>
            </w:r>
          </w:p>
        </w:tc>
        <w:tc>
          <w:tcPr>
            <w:tcW w:w="1169" w:type="dxa"/>
            <w:tcBorders>
              <w:bottom w:val="single" w:sz="4" w:space="0" w:color="auto"/>
            </w:tcBorders>
            <w:noWrap/>
            <w:vAlign w:val="center"/>
            <w:hideMark/>
          </w:tcPr>
          <w:p w14:paraId="714B148B" w14:textId="00DD08A3" w:rsidR="00CC703E" w:rsidRDefault="00E37FDB" w:rsidP="00043892">
            <w:pPr>
              <w:pStyle w:val="Tabletext"/>
              <w:jc w:val="right"/>
              <w:cnfStyle w:val="000000000000" w:firstRow="0" w:lastRow="0" w:firstColumn="0" w:lastColumn="0" w:oddVBand="0" w:evenVBand="0" w:oddHBand="0" w:evenHBand="0" w:firstRowFirstColumn="0" w:firstRowLastColumn="0" w:lastRowFirstColumn="0" w:lastRowLastColumn="0"/>
            </w:pPr>
            <w:r>
              <w:t>46</w:t>
            </w:r>
            <w:r w:rsidR="00043892">
              <w:t>5</w:t>
            </w:r>
          </w:p>
        </w:tc>
        <w:tc>
          <w:tcPr>
            <w:tcW w:w="1169" w:type="dxa"/>
            <w:tcBorders>
              <w:bottom w:val="single" w:sz="4" w:space="0" w:color="auto"/>
            </w:tcBorders>
            <w:noWrap/>
            <w:vAlign w:val="center"/>
            <w:hideMark/>
          </w:tcPr>
          <w:p w14:paraId="68600909"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564</w:t>
            </w:r>
          </w:p>
        </w:tc>
        <w:tc>
          <w:tcPr>
            <w:tcW w:w="1170" w:type="dxa"/>
            <w:tcBorders>
              <w:bottom w:val="single" w:sz="4" w:space="0" w:color="auto"/>
            </w:tcBorders>
            <w:noWrap/>
            <w:vAlign w:val="center"/>
            <w:hideMark/>
          </w:tcPr>
          <w:p w14:paraId="474797E1" w14:textId="77777777" w:rsidR="00CC703E" w:rsidRDefault="00E37FDB">
            <w:pPr>
              <w:pStyle w:val="Tabletext"/>
              <w:jc w:val="right"/>
              <w:cnfStyle w:val="000000000000" w:firstRow="0" w:lastRow="0" w:firstColumn="0" w:lastColumn="0" w:oddVBand="0" w:evenVBand="0" w:oddHBand="0" w:evenHBand="0" w:firstRowFirstColumn="0" w:firstRowLastColumn="0" w:lastRowFirstColumn="0" w:lastRowLastColumn="0"/>
            </w:pPr>
            <w:r>
              <w:t>1,595</w:t>
            </w:r>
          </w:p>
        </w:tc>
      </w:tr>
    </w:tbl>
    <w:p w14:paraId="5E21E87F" w14:textId="77777777" w:rsidR="00CC703E" w:rsidRDefault="00E37FDB">
      <w:pPr>
        <w:pStyle w:val="FigureTableNoteSource"/>
        <w:rPr>
          <w:lang w:eastAsia="ja-JP"/>
        </w:rPr>
      </w:pPr>
      <w:r>
        <w:rPr>
          <w:lang w:eastAsia="ja-JP"/>
        </w:rPr>
        <w:t>Source: Department of Agriculture and Water Resources</w:t>
      </w:r>
    </w:p>
    <w:p w14:paraId="1FA22F19" w14:textId="36A76F4A" w:rsidR="00D47E39" w:rsidRDefault="00E37FDB" w:rsidP="002E2A16">
      <w:pPr>
        <w:spacing w:before="240" w:after="0"/>
      </w:pPr>
      <w:r>
        <w:t xml:space="preserve">The majority of batches tested in this period originated in China, followed by </w:t>
      </w:r>
      <w:r w:rsidR="002E2A16">
        <w:t>Malaysia, Vietnam, and Indonesia (</w:t>
      </w:r>
      <w:r w:rsidR="006B14C4">
        <w:fldChar w:fldCharType="begin"/>
      </w:r>
      <w:r w:rsidR="006B14C4">
        <w:instrText xml:space="preserve"> REF _Ref499323156 \h </w:instrText>
      </w:r>
      <w:r w:rsidR="006B14C4">
        <w:fldChar w:fldCharType="separate"/>
      </w:r>
      <w:r w:rsidR="00121BC1">
        <w:t xml:space="preserve">Table </w:t>
      </w:r>
      <w:r w:rsidR="00121BC1">
        <w:rPr>
          <w:noProof/>
        </w:rPr>
        <w:t>6</w:t>
      </w:r>
      <w:r w:rsidR="006B14C4">
        <w:fldChar w:fldCharType="end"/>
      </w:r>
      <w:r w:rsidR="002E2A16">
        <w:t>).</w:t>
      </w:r>
      <w:bookmarkStart w:id="176" w:name="_Ref490050153"/>
    </w:p>
    <w:p w14:paraId="0ACDEA8F" w14:textId="60CAD99C" w:rsidR="004B6889" w:rsidRPr="004B6889" w:rsidRDefault="004B6889" w:rsidP="004B6889">
      <w:pPr>
        <w:spacing w:after="0"/>
      </w:pPr>
      <w:r w:rsidRPr="004B6889">
        <w:t xml:space="preserve">Whole or partial batches that tested positive for WSSV and/or YHV were referred to as ‘failed batches/consignments’. These were ordered to remain in quarantine until importers indicated their </w:t>
      </w:r>
      <w:r w:rsidR="002E2A16">
        <w:t xml:space="preserve">preferred choice of an action: </w:t>
      </w:r>
      <w:r w:rsidR="00C51EE3">
        <w:t>re</w:t>
      </w:r>
      <w:r w:rsidRPr="004B6889">
        <w:t>testing at AAHL</w:t>
      </w:r>
      <w:r w:rsidR="00C51EE3">
        <w:t xml:space="preserve"> (also called ‘confirmatory testing’</w:t>
      </w:r>
      <w:r w:rsidR="00612C7F">
        <w:t>)</w:t>
      </w:r>
      <w:r w:rsidRPr="004B6889">
        <w:t>, destruction or re-export.</w:t>
      </w:r>
      <w:r w:rsidR="00C17888">
        <w:t xml:space="preserve"> Failure rates between countries and between years showed considerable variation, with a notable upsurge in 2015–16 for several countries.</w:t>
      </w:r>
    </w:p>
    <w:p w14:paraId="3D286833" w14:textId="19451A10" w:rsidR="0078409F" w:rsidRDefault="0078409F" w:rsidP="0078409F">
      <w:pPr>
        <w:pStyle w:val="Caption"/>
      </w:pPr>
      <w:bookmarkStart w:id="177" w:name="_Ref499323156"/>
      <w:bookmarkStart w:id="178" w:name="_Toc500508483"/>
      <w:r>
        <w:lastRenderedPageBreak/>
        <w:t xml:space="preserve">Table </w:t>
      </w:r>
      <w:r w:rsidR="00F329C0">
        <w:fldChar w:fldCharType="begin"/>
      </w:r>
      <w:r w:rsidR="00F329C0">
        <w:instrText xml:space="preserve"> SEQ Table \* ARABIC </w:instrText>
      </w:r>
      <w:r w:rsidR="00F329C0">
        <w:fldChar w:fldCharType="separate"/>
      </w:r>
      <w:r w:rsidR="00121BC1">
        <w:rPr>
          <w:noProof/>
        </w:rPr>
        <w:t>6</w:t>
      </w:r>
      <w:r w:rsidR="00F329C0">
        <w:rPr>
          <w:noProof/>
        </w:rPr>
        <w:fldChar w:fldCharType="end"/>
      </w:r>
      <w:bookmarkEnd w:id="177"/>
      <w:r w:rsidRPr="0078409F">
        <w:t xml:space="preserve"> </w:t>
      </w:r>
      <w:r w:rsidRPr="00CF3076">
        <w:t>WSSV and YHD testing of imported uncooked prawn and prawn products, by country of origin, 2013–14 to 2015–16</w:t>
      </w:r>
      <w:bookmarkEnd w:id="178"/>
    </w:p>
    <w:tbl>
      <w:tblPr>
        <w:tblStyle w:val="GridTable1Light-Accent3"/>
        <w:tblpPr w:leftFromText="180" w:rightFromText="180" w:vertAnchor="text" w:horzAnchor="margin" w:tblpY="42"/>
        <w:tblW w:w="923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77"/>
        <w:gridCol w:w="671"/>
        <w:gridCol w:w="671"/>
        <w:gridCol w:w="695"/>
        <w:gridCol w:w="671"/>
        <w:gridCol w:w="671"/>
        <w:gridCol w:w="671"/>
        <w:gridCol w:w="671"/>
        <w:gridCol w:w="718"/>
        <w:gridCol w:w="709"/>
        <w:gridCol w:w="671"/>
        <w:gridCol w:w="671"/>
        <w:gridCol w:w="671"/>
      </w:tblGrid>
      <w:tr w:rsidR="0088708C" w14:paraId="4C12D377" w14:textId="77777777" w:rsidTr="0078409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77" w:type="dxa"/>
            <w:vMerge w:val="restart"/>
            <w:tcBorders>
              <w:top w:val="single" w:sz="4" w:space="0" w:color="auto"/>
              <w:bottom w:val="nil"/>
            </w:tcBorders>
            <w:noWrap/>
            <w:hideMark/>
          </w:tcPr>
          <w:p w14:paraId="52C7500B" w14:textId="77777777" w:rsidR="0088708C" w:rsidRDefault="0088708C" w:rsidP="004854DF">
            <w:pPr>
              <w:pStyle w:val="Tabletext"/>
            </w:pPr>
            <w:r>
              <w:t>Country</w:t>
            </w:r>
          </w:p>
        </w:tc>
        <w:tc>
          <w:tcPr>
            <w:tcW w:w="2037" w:type="dxa"/>
            <w:gridSpan w:val="3"/>
            <w:tcBorders>
              <w:top w:val="single" w:sz="4" w:space="0" w:color="auto"/>
              <w:bottom w:val="nil"/>
            </w:tcBorders>
            <w:noWrap/>
            <w:hideMark/>
          </w:tcPr>
          <w:p w14:paraId="435696CE" w14:textId="77777777" w:rsidR="0088708C" w:rsidRDefault="0088708C" w:rsidP="004854DF">
            <w:pPr>
              <w:pStyle w:val="Tabletext"/>
              <w:jc w:val="center"/>
              <w:cnfStyle w:val="100000000000" w:firstRow="1" w:lastRow="0" w:firstColumn="0" w:lastColumn="0" w:oddVBand="0" w:evenVBand="0" w:oddHBand="0" w:evenHBand="0" w:firstRowFirstColumn="0" w:firstRowLastColumn="0" w:lastRowFirstColumn="0" w:lastRowLastColumn="0"/>
            </w:pPr>
            <w:r>
              <w:t>Consignments tested (no.)</w:t>
            </w:r>
          </w:p>
        </w:tc>
        <w:tc>
          <w:tcPr>
            <w:tcW w:w="2013" w:type="dxa"/>
            <w:gridSpan w:val="3"/>
            <w:tcBorders>
              <w:top w:val="single" w:sz="4" w:space="0" w:color="auto"/>
              <w:bottom w:val="nil"/>
            </w:tcBorders>
            <w:noWrap/>
            <w:hideMark/>
          </w:tcPr>
          <w:p w14:paraId="6BE42A62" w14:textId="77777777" w:rsidR="0088708C" w:rsidRDefault="0088708C" w:rsidP="004854DF">
            <w:pPr>
              <w:pStyle w:val="Tabletext"/>
              <w:jc w:val="center"/>
              <w:cnfStyle w:val="100000000000" w:firstRow="1" w:lastRow="0" w:firstColumn="0" w:lastColumn="0" w:oddVBand="0" w:evenVBand="0" w:oddHBand="0" w:evenHBand="0" w:firstRowFirstColumn="0" w:firstRowLastColumn="0" w:lastRowFirstColumn="0" w:lastRowLastColumn="0"/>
            </w:pPr>
            <w:r>
              <w:t>Consignments passed (no.)</w:t>
            </w:r>
          </w:p>
        </w:tc>
        <w:tc>
          <w:tcPr>
            <w:tcW w:w="2098" w:type="dxa"/>
            <w:gridSpan w:val="3"/>
            <w:tcBorders>
              <w:top w:val="single" w:sz="4" w:space="0" w:color="auto"/>
              <w:bottom w:val="nil"/>
            </w:tcBorders>
            <w:noWrap/>
            <w:hideMark/>
          </w:tcPr>
          <w:p w14:paraId="2B3AF1BB" w14:textId="77777777" w:rsidR="0088708C" w:rsidRDefault="0088708C" w:rsidP="004854DF">
            <w:pPr>
              <w:pStyle w:val="Tabletext"/>
              <w:jc w:val="center"/>
              <w:cnfStyle w:val="100000000000" w:firstRow="1" w:lastRow="0" w:firstColumn="0" w:lastColumn="0" w:oddVBand="0" w:evenVBand="0" w:oddHBand="0" w:evenHBand="0" w:firstRowFirstColumn="0" w:firstRowLastColumn="0" w:lastRowFirstColumn="0" w:lastRowLastColumn="0"/>
            </w:pPr>
            <w:r>
              <w:t>Consignments failed (no.)</w:t>
            </w:r>
          </w:p>
        </w:tc>
        <w:tc>
          <w:tcPr>
            <w:tcW w:w="2013" w:type="dxa"/>
            <w:gridSpan w:val="3"/>
            <w:tcBorders>
              <w:top w:val="single" w:sz="4" w:space="0" w:color="auto"/>
              <w:bottom w:val="nil"/>
            </w:tcBorders>
            <w:noWrap/>
            <w:hideMark/>
          </w:tcPr>
          <w:p w14:paraId="0F585DCA" w14:textId="77777777" w:rsidR="0088708C" w:rsidRDefault="0088708C" w:rsidP="004854DF">
            <w:pPr>
              <w:pStyle w:val="Tabletext"/>
              <w:jc w:val="center"/>
              <w:cnfStyle w:val="100000000000" w:firstRow="1" w:lastRow="0" w:firstColumn="0" w:lastColumn="0" w:oddVBand="0" w:evenVBand="0" w:oddHBand="0" w:evenHBand="0" w:firstRowFirstColumn="0" w:firstRowLastColumn="0" w:lastRowFirstColumn="0" w:lastRowLastColumn="0"/>
            </w:pPr>
            <w:r>
              <w:t>Failure rate (%)</w:t>
            </w:r>
          </w:p>
        </w:tc>
      </w:tr>
      <w:tr w:rsidR="0088708C" w14:paraId="322F7F9D" w14:textId="77777777" w:rsidTr="0078409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77" w:type="dxa"/>
            <w:vMerge/>
            <w:tcBorders>
              <w:top w:val="nil"/>
              <w:bottom w:val="single" w:sz="4" w:space="0" w:color="auto"/>
            </w:tcBorders>
            <w:noWrap/>
          </w:tcPr>
          <w:p w14:paraId="09476835" w14:textId="77777777" w:rsidR="0088708C" w:rsidRDefault="0088708C" w:rsidP="004854DF">
            <w:pPr>
              <w:pStyle w:val="Tabletext"/>
              <w:jc w:val="right"/>
            </w:pPr>
          </w:p>
        </w:tc>
        <w:tc>
          <w:tcPr>
            <w:tcW w:w="671" w:type="dxa"/>
            <w:tcBorders>
              <w:top w:val="nil"/>
              <w:bottom w:val="single" w:sz="4" w:space="0" w:color="auto"/>
            </w:tcBorders>
            <w:noWrap/>
          </w:tcPr>
          <w:p w14:paraId="137562EB" w14:textId="77777777" w:rsidR="0088708C" w:rsidRDefault="0088708C" w:rsidP="004854DF">
            <w:pPr>
              <w:pStyle w:val="Tabletext"/>
              <w:jc w:val="right"/>
              <w:cnfStyle w:val="100000000000" w:firstRow="1" w:lastRow="0" w:firstColumn="0" w:lastColumn="0" w:oddVBand="0" w:evenVBand="0" w:oddHBand="0" w:evenHBand="0" w:firstRowFirstColumn="0" w:firstRowLastColumn="0" w:lastRowFirstColumn="0" w:lastRowLastColumn="0"/>
            </w:pPr>
            <w:r>
              <w:t>2013–14</w:t>
            </w:r>
          </w:p>
        </w:tc>
        <w:tc>
          <w:tcPr>
            <w:tcW w:w="671" w:type="dxa"/>
            <w:tcBorders>
              <w:top w:val="nil"/>
              <w:bottom w:val="single" w:sz="4" w:space="0" w:color="auto"/>
            </w:tcBorders>
          </w:tcPr>
          <w:p w14:paraId="1960848D" w14:textId="77777777" w:rsidR="0088708C" w:rsidRDefault="0088708C" w:rsidP="004854DF">
            <w:pPr>
              <w:pStyle w:val="Tabletext"/>
              <w:jc w:val="right"/>
              <w:cnfStyle w:val="100000000000" w:firstRow="1" w:lastRow="0" w:firstColumn="0" w:lastColumn="0" w:oddVBand="0" w:evenVBand="0" w:oddHBand="0" w:evenHBand="0" w:firstRowFirstColumn="0" w:firstRowLastColumn="0" w:lastRowFirstColumn="0" w:lastRowLastColumn="0"/>
            </w:pPr>
            <w:r>
              <w:t>2014–15</w:t>
            </w:r>
          </w:p>
        </w:tc>
        <w:tc>
          <w:tcPr>
            <w:tcW w:w="695" w:type="dxa"/>
            <w:tcBorders>
              <w:top w:val="nil"/>
              <w:bottom w:val="single" w:sz="4" w:space="0" w:color="auto"/>
            </w:tcBorders>
          </w:tcPr>
          <w:p w14:paraId="26C9CB06" w14:textId="77777777" w:rsidR="0088708C" w:rsidRDefault="0088708C" w:rsidP="004854DF">
            <w:pPr>
              <w:pStyle w:val="Tabletext"/>
              <w:jc w:val="right"/>
              <w:cnfStyle w:val="100000000000" w:firstRow="1" w:lastRow="0" w:firstColumn="0" w:lastColumn="0" w:oddVBand="0" w:evenVBand="0" w:oddHBand="0" w:evenHBand="0" w:firstRowFirstColumn="0" w:firstRowLastColumn="0" w:lastRowFirstColumn="0" w:lastRowLastColumn="0"/>
            </w:pPr>
            <w:r>
              <w:t>2015–16</w:t>
            </w:r>
          </w:p>
        </w:tc>
        <w:tc>
          <w:tcPr>
            <w:tcW w:w="671" w:type="dxa"/>
            <w:tcBorders>
              <w:top w:val="nil"/>
              <w:bottom w:val="single" w:sz="4" w:space="0" w:color="auto"/>
            </w:tcBorders>
            <w:noWrap/>
          </w:tcPr>
          <w:p w14:paraId="267E68B1" w14:textId="77777777" w:rsidR="0088708C" w:rsidRDefault="0088708C" w:rsidP="004854DF">
            <w:pPr>
              <w:pStyle w:val="Tabletext"/>
              <w:jc w:val="right"/>
              <w:cnfStyle w:val="100000000000" w:firstRow="1" w:lastRow="0" w:firstColumn="0" w:lastColumn="0" w:oddVBand="0" w:evenVBand="0" w:oddHBand="0" w:evenHBand="0" w:firstRowFirstColumn="0" w:firstRowLastColumn="0" w:lastRowFirstColumn="0" w:lastRowLastColumn="0"/>
            </w:pPr>
            <w:r>
              <w:t>2013–14</w:t>
            </w:r>
          </w:p>
        </w:tc>
        <w:tc>
          <w:tcPr>
            <w:tcW w:w="671" w:type="dxa"/>
            <w:tcBorders>
              <w:top w:val="nil"/>
              <w:bottom w:val="single" w:sz="4" w:space="0" w:color="auto"/>
            </w:tcBorders>
          </w:tcPr>
          <w:p w14:paraId="5A831B07" w14:textId="77777777" w:rsidR="0088708C" w:rsidRDefault="0088708C" w:rsidP="004854DF">
            <w:pPr>
              <w:pStyle w:val="Tabletext"/>
              <w:jc w:val="right"/>
              <w:cnfStyle w:val="100000000000" w:firstRow="1" w:lastRow="0" w:firstColumn="0" w:lastColumn="0" w:oddVBand="0" w:evenVBand="0" w:oddHBand="0" w:evenHBand="0" w:firstRowFirstColumn="0" w:firstRowLastColumn="0" w:lastRowFirstColumn="0" w:lastRowLastColumn="0"/>
            </w:pPr>
            <w:r>
              <w:t>2014–15</w:t>
            </w:r>
          </w:p>
        </w:tc>
        <w:tc>
          <w:tcPr>
            <w:tcW w:w="671" w:type="dxa"/>
            <w:tcBorders>
              <w:top w:val="nil"/>
              <w:bottom w:val="single" w:sz="4" w:space="0" w:color="auto"/>
            </w:tcBorders>
          </w:tcPr>
          <w:p w14:paraId="72B0B561" w14:textId="77777777" w:rsidR="0088708C" w:rsidRDefault="0088708C" w:rsidP="004854DF">
            <w:pPr>
              <w:pStyle w:val="Tabletext"/>
              <w:jc w:val="right"/>
              <w:cnfStyle w:val="100000000000" w:firstRow="1" w:lastRow="0" w:firstColumn="0" w:lastColumn="0" w:oddVBand="0" w:evenVBand="0" w:oddHBand="0" w:evenHBand="0" w:firstRowFirstColumn="0" w:firstRowLastColumn="0" w:lastRowFirstColumn="0" w:lastRowLastColumn="0"/>
            </w:pPr>
            <w:r>
              <w:t>2015–16</w:t>
            </w:r>
          </w:p>
        </w:tc>
        <w:tc>
          <w:tcPr>
            <w:tcW w:w="671" w:type="dxa"/>
            <w:tcBorders>
              <w:top w:val="nil"/>
              <w:bottom w:val="single" w:sz="4" w:space="0" w:color="auto"/>
            </w:tcBorders>
            <w:noWrap/>
          </w:tcPr>
          <w:p w14:paraId="002B4247" w14:textId="77777777" w:rsidR="0088708C" w:rsidRDefault="0088708C" w:rsidP="004854DF">
            <w:pPr>
              <w:pStyle w:val="Tabletext"/>
              <w:jc w:val="right"/>
              <w:cnfStyle w:val="100000000000" w:firstRow="1" w:lastRow="0" w:firstColumn="0" w:lastColumn="0" w:oddVBand="0" w:evenVBand="0" w:oddHBand="0" w:evenHBand="0" w:firstRowFirstColumn="0" w:firstRowLastColumn="0" w:lastRowFirstColumn="0" w:lastRowLastColumn="0"/>
            </w:pPr>
            <w:r>
              <w:t>2013–14</w:t>
            </w:r>
          </w:p>
        </w:tc>
        <w:tc>
          <w:tcPr>
            <w:tcW w:w="718" w:type="dxa"/>
            <w:tcBorders>
              <w:top w:val="nil"/>
              <w:bottom w:val="single" w:sz="4" w:space="0" w:color="auto"/>
            </w:tcBorders>
          </w:tcPr>
          <w:p w14:paraId="169A50F9" w14:textId="77777777" w:rsidR="0088708C" w:rsidRDefault="0088708C" w:rsidP="004854DF">
            <w:pPr>
              <w:pStyle w:val="Tabletext"/>
              <w:jc w:val="right"/>
              <w:cnfStyle w:val="100000000000" w:firstRow="1" w:lastRow="0" w:firstColumn="0" w:lastColumn="0" w:oddVBand="0" w:evenVBand="0" w:oddHBand="0" w:evenHBand="0" w:firstRowFirstColumn="0" w:firstRowLastColumn="0" w:lastRowFirstColumn="0" w:lastRowLastColumn="0"/>
            </w:pPr>
            <w:r>
              <w:t>2014–15</w:t>
            </w:r>
          </w:p>
        </w:tc>
        <w:tc>
          <w:tcPr>
            <w:tcW w:w="709" w:type="dxa"/>
            <w:tcBorders>
              <w:top w:val="nil"/>
              <w:bottom w:val="single" w:sz="4" w:space="0" w:color="auto"/>
            </w:tcBorders>
          </w:tcPr>
          <w:p w14:paraId="39211642" w14:textId="77777777" w:rsidR="0088708C" w:rsidRDefault="0088708C" w:rsidP="004854DF">
            <w:pPr>
              <w:pStyle w:val="Tabletext"/>
              <w:jc w:val="right"/>
              <w:cnfStyle w:val="100000000000" w:firstRow="1" w:lastRow="0" w:firstColumn="0" w:lastColumn="0" w:oddVBand="0" w:evenVBand="0" w:oddHBand="0" w:evenHBand="0" w:firstRowFirstColumn="0" w:firstRowLastColumn="0" w:lastRowFirstColumn="0" w:lastRowLastColumn="0"/>
            </w:pPr>
            <w:r>
              <w:t>2015–16</w:t>
            </w:r>
          </w:p>
        </w:tc>
        <w:tc>
          <w:tcPr>
            <w:tcW w:w="671" w:type="dxa"/>
            <w:tcBorders>
              <w:top w:val="nil"/>
              <w:bottom w:val="single" w:sz="4" w:space="0" w:color="auto"/>
            </w:tcBorders>
            <w:noWrap/>
          </w:tcPr>
          <w:p w14:paraId="455FB3DB" w14:textId="77777777" w:rsidR="0088708C" w:rsidRDefault="0088708C" w:rsidP="004854DF">
            <w:pPr>
              <w:pStyle w:val="Tabletext"/>
              <w:jc w:val="right"/>
              <w:cnfStyle w:val="100000000000" w:firstRow="1" w:lastRow="0" w:firstColumn="0" w:lastColumn="0" w:oddVBand="0" w:evenVBand="0" w:oddHBand="0" w:evenHBand="0" w:firstRowFirstColumn="0" w:firstRowLastColumn="0" w:lastRowFirstColumn="0" w:lastRowLastColumn="0"/>
            </w:pPr>
            <w:r>
              <w:t>2013–14</w:t>
            </w:r>
          </w:p>
        </w:tc>
        <w:tc>
          <w:tcPr>
            <w:tcW w:w="671" w:type="dxa"/>
            <w:tcBorders>
              <w:top w:val="nil"/>
              <w:bottom w:val="single" w:sz="4" w:space="0" w:color="auto"/>
            </w:tcBorders>
          </w:tcPr>
          <w:p w14:paraId="0383A85C" w14:textId="77777777" w:rsidR="0088708C" w:rsidRDefault="0088708C" w:rsidP="004854DF">
            <w:pPr>
              <w:pStyle w:val="Tabletext"/>
              <w:jc w:val="right"/>
              <w:cnfStyle w:val="100000000000" w:firstRow="1" w:lastRow="0" w:firstColumn="0" w:lastColumn="0" w:oddVBand="0" w:evenVBand="0" w:oddHBand="0" w:evenHBand="0" w:firstRowFirstColumn="0" w:firstRowLastColumn="0" w:lastRowFirstColumn="0" w:lastRowLastColumn="0"/>
            </w:pPr>
            <w:r>
              <w:t>2014–15</w:t>
            </w:r>
          </w:p>
        </w:tc>
        <w:tc>
          <w:tcPr>
            <w:tcW w:w="671" w:type="dxa"/>
            <w:tcBorders>
              <w:top w:val="nil"/>
              <w:bottom w:val="single" w:sz="4" w:space="0" w:color="auto"/>
            </w:tcBorders>
          </w:tcPr>
          <w:p w14:paraId="6CDE960E" w14:textId="77777777" w:rsidR="0088708C" w:rsidRDefault="0088708C" w:rsidP="004854DF">
            <w:pPr>
              <w:pStyle w:val="Tabletext"/>
              <w:jc w:val="right"/>
              <w:cnfStyle w:val="100000000000" w:firstRow="1" w:lastRow="0" w:firstColumn="0" w:lastColumn="0" w:oddVBand="0" w:evenVBand="0" w:oddHBand="0" w:evenHBand="0" w:firstRowFirstColumn="0" w:firstRowLastColumn="0" w:lastRowFirstColumn="0" w:lastRowLastColumn="0"/>
            </w:pPr>
            <w:r>
              <w:t>2015–16</w:t>
            </w:r>
          </w:p>
        </w:tc>
      </w:tr>
      <w:tr w:rsidR="0088708C" w14:paraId="599E4F3C" w14:textId="77777777" w:rsidTr="0078409F">
        <w:trPr>
          <w:cantSplit/>
        </w:trPr>
        <w:tc>
          <w:tcPr>
            <w:cnfStyle w:val="001000000000" w:firstRow="0" w:lastRow="0" w:firstColumn="1" w:lastColumn="0" w:oddVBand="0" w:evenVBand="0" w:oddHBand="0" w:evenHBand="0" w:firstRowFirstColumn="0" w:firstRowLastColumn="0" w:lastRowFirstColumn="0" w:lastRowLastColumn="0"/>
            <w:tcW w:w="1077" w:type="dxa"/>
            <w:tcBorders>
              <w:top w:val="single" w:sz="4" w:space="0" w:color="auto"/>
            </w:tcBorders>
            <w:noWrap/>
            <w:hideMark/>
          </w:tcPr>
          <w:p w14:paraId="633F6C7F" w14:textId="77777777" w:rsidR="0088708C" w:rsidRDefault="0088708C" w:rsidP="004854DF">
            <w:pPr>
              <w:pStyle w:val="Tabletext"/>
              <w:rPr>
                <w:b w:val="0"/>
              </w:rPr>
            </w:pPr>
            <w:r>
              <w:t>China</w:t>
            </w:r>
          </w:p>
        </w:tc>
        <w:tc>
          <w:tcPr>
            <w:tcW w:w="671" w:type="dxa"/>
            <w:tcBorders>
              <w:top w:val="single" w:sz="4" w:space="0" w:color="auto"/>
            </w:tcBorders>
            <w:noWrap/>
          </w:tcPr>
          <w:p w14:paraId="13322266"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613</w:t>
            </w:r>
          </w:p>
        </w:tc>
        <w:tc>
          <w:tcPr>
            <w:tcW w:w="671" w:type="dxa"/>
            <w:tcBorders>
              <w:top w:val="single" w:sz="4" w:space="0" w:color="auto"/>
            </w:tcBorders>
          </w:tcPr>
          <w:p w14:paraId="055E69DE"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399</w:t>
            </w:r>
          </w:p>
        </w:tc>
        <w:tc>
          <w:tcPr>
            <w:tcW w:w="695" w:type="dxa"/>
            <w:tcBorders>
              <w:top w:val="single" w:sz="4" w:space="0" w:color="auto"/>
            </w:tcBorders>
          </w:tcPr>
          <w:p w14:paraId="12100FB7"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400</w:t>
            </w:r>
          </w:p>
        </w:tc>
        <w:tc>
          <w:tcPr>
            <w:tcW w:w="671" w:type="dxa"/>
            <w:tcBorders>
              <w:top w:val="single" w:sz="4" w:space="0" w:color="auto"/>
            </w:tcBorders>
            <w:noWrap/>
          </w:tcPr>
          <w:p w14:paraId="0D379D73"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544</w:t>
            </w:r>
          </w:p>
        </w:tc>
        <w:tc>
          <w:tcPr>
            <w:tcW w:w="671" w:type="dxa"/>
            <w:tcBorders>
              <w:top w:val="single" w:sz="4" w:space="0" w:color="auto"/>
            </w:tcBorders>
          </w:tcPr>
          <w:p w14:paraId="29A00092"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382</w:t>
            </w:r>
          </w:p>
        </w:tc>
        <w:tc>
          <w:tcPr>
            <w:tcW w:w="671" w:type="dxa"/>
            <w:tcBorders>
              <w:top w:val="single" w:sz="4" w:space="0" w:color="auto"/>
            </w:tcBorders>
          </w:tcPr>
          <w:p w14:paraId="7A42B8ED"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372</w:t>
            </w:r>
          </w:p>
        </w:tc>
        <w:tc>
          <w:tcPr>
            <w:tcW w:w="671" w:type="dxa"/>
            <w:tcBorders>
              <w:top w:val="single" w:sz="4" w:space="0" w:color="auto"/>
            </w:tcBorders>
            <w:noWrap/>
          </w:tcPr>
          <w:p w14:paraId="6CBD5EC5"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69</w:t>
            </w:r>
          </w:p>
        </w:tc>
        <w:tc>
          <w:tcPr>
            <w:tcW w:w="718" w:type="dxa"/>
            <w:tcBorders>
              <w:top w:val="single" w:sz="4" w:space="0" w:color="auto"/>
            </w:tcBorders>
          </w:tcPr>
          <w:p w14:paraId="37E9A361"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17</w:t>
            </w:r>
          </w:p>
        </w:tc>
        <w:tc>
          <w:tcPr>
            <w:tcW w:w="709" w:type="dxa"/>
            <w:tcBorders>
              <w:top w:val="single" w:sz="4" w:space="0" w:color="auto"/>
            </w:tcBorders>
          </w:tcPr>
          <w:p w14:paraId="192D84CD"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28</w:t>
            </w:r>
          </w:p>
        </w:tc>
        <w:tc>
          <w:tcPr>
            <w:tcW w:w="671" w:type="dxa"/>
            <w:tcBorders>
              <w:top w:val="single" w:sz="4" w:space="0" w:color="auto"/>
            </w:tcBorders>
            <w:noWrap/>
          </w:tcPr>
          <w:p w14:paraId="024C67AC"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11.3</w:t>
            </w:r>
          </w:p>
        </w:tc>
        <w:tc>
          <w:tcPr>
            <w:tcW w:w="671" w:type="dxa"/>
            <w:tcBorders>
              <w:top w:val="single" w:sz="4" w:space="0" w:color="auto"/>
            </w:tcBorders>
          </w:tcPr>
          <w:p w14:paraId="4831D1A1"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4.3</w:t>
            </w:r>
          </w:p>
        </w:tc>
        <w:tc>
          <w:tcPr>
            <w:tcW w:w="671" w:type="dxa"/>
            <w:tcBorders>
              <w:top w:val="single" w:sz="4" w:space="0" w:color="auto"/>
            </w:tcBorders>
          </w:tcPr>
          <w:p w14:paraId="3A43E468"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7.0</w:t>
            </w:r>
          </w:p>
        </w:tc>
      </w:tr>
      <w:tr w:rsidR="0088708C" w14:paraId="0E8E6535" w14:textId="77777777" w:rsidTr="0078409F">
        <w:trPr>
          <w:cantSplit/>
        </w:trPr>
        <w:tc>
          <w:tcPr>
            <w:cnfStyle w:val="001000000000" w:firstRow="0" w:lastRow="0" w:firstColumn="1" w:lastColumn="0" w:oddVBand="0" w:evenVBand="0" w:oddHBand="0" w:evenHBand="0" w:firstRowFirstColumn="0" w:firstRowLastColumn="0" w:lastRowFirstColumn="0" w:lastRowLastColumn="0"/>
            <w:tcW w:w="1077" w:type="dxa"/>
            <w:noWrap/>
            <w:hideMark/>
          </w:tcPr>
          <w:p w14:paraId="29528864" w14:textId="77777777" w:rsidR="0088708C" w:rsidRDefault="0088708C" w:rsidP="004854DF">
            <w:pPr>
              <w:pStyle w:val="Tabletext"/>
              <w:rPr>
                <w:b w:val="0"/>
              </w:rPr>
            </w:pPr>
            <w:r>
              <w:t>Malaysia</w:t>
            </w:r>
          </w:p>
        </w:tc>
        <w:tc>
          <w:tcPr>
            <w:tcW w:w="671" w:type="dxa"/>
            <w:noWrap/>
          </w:tcPr>
          <w:p w14:paraId="5E4724C4"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150</w:t>
            </w:r>
          </w:p>
        </w:tc>
        <w:tc>
          <w:tcPr>
            <w:tcW w:w="671" w:type="dxa"/>
          </w:tcPr>
          <w:p w14:paraId="6A5A5522"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157</w:t>
            </w:r>
          </w:p>
        </w:tc>
        <w:tc>
          <w:tcPr>
            <w:tcW w:w="695" w:type="dxa"/>
          </w:tcPr>
          <w:p w14:paraId="2680E2B4"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139</w:t>
            </w:r>
          </w:p>
        </w:tc>
        <w:tc>
          <w:tcPr>
            <w:tcW w:w="671" w:type="dxa"/>
            <w:noWrap/>
          </w:tcPr>
          <w:p w14:paraId="3985D5B4"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148</w:t>
            </w:r>
          </w:p>
        </w:tc>
        <w:tc>
          <w:tcPr>
            <w:tcW w:w="671" w:type="dxa"/>
          </w:tcPr>
          <w:p w14:paraId="5E642AB6"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155</w:t>
            </w:r>
          </w:p>
        </w:tc>
        <w:tc>
          <w:tcPr>
            <w:tcW w:w="671" w:type="dxa"/>
          </w:tcPr>
          <w:p w14:paraId="43C77D88"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137</w:t>
            </w:r>
          </w:p>
        </w:tc>
        <w:tc>
          <w:tcPr>
            <w:tcW w:w="671" w:type="dxa"/>
            <w:noWrap/>
          </w:tcPr>
          <w:p w14:paraId="57279615"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2</w:t>
            </w:r>
          </w:p>
        </w:tc>
        <w:tc>
          <w:tcPr>
            <w:tcW w:w="718" w:type="dxa"/>
          </w:tcPr>
          <w:p w14:paraId="24B58F01"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2</w:t>
            </w:r>
          </w:p>
        </w:tc>
        <w:tc>
          <w:tcPr>
            <w:tcW w:w="709" w:type="dxa"/>
          </w:tcPr>
          <w:p w14:paraId="643BD800"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2</w:t>
            </w:r>
          </w:p>
        </w:tc>
        <w:tc>
          <w:tcPr>
            <w:tcW w:w="671" w:type="dxa"/>
            <w:noWrap/>
          </w:tcPr>
          <w:p w14:paraId="66DA7281"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1.3</w:t>
            </w:r>
          </w:p>
        </w:tc>
        <w:tc>
          <w:tcPr>
            <w:tcW w:w="671" w:type="dxa"/>
          </w:tcPr>
          <w:p w14:paraId="6567BE64"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1.3</w:t>
            </w:r>
          </w:p>
        </w:tc>
        <w:tc>
          <w:tcPr>
            <w:tcW w:w="671" w:type="dxa"/>
          </w:tcPr>
          <w:p w14:paraId="57FFE203"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1.4</w:t>
            </w:r>
          </w:p>
        </w:tc>
      </w:tr>
      <w:tr w:rsidR="0088708C" w14:paraId="6D135768" w14:textId="77777777" w:rsidTr="0078409F">
        <w:trPr>
          <w:cantSplit/>
        </w:trPr>
        <w:tc>
          <w:tcPr>
            <w:cnfStyle w:val="001000000000" w:firstRow="0" w:lastRow="0" w:firstColumn="1" w:lastColumn="0" w:oddVBand="0" w:evenVBand="0" w:oddHBand="0" w:evenHBand="0" w:firstRowFirstColumn="0" w:firstRowLastColumn="0" w:lastRowFirstColumn="0" w:lastRowLastColumn="0"/>
            <w:tcW w:w="1077" w:type="dxa"/>
            <w:noWrap/>
            <w:hideMark/>
          </w:tcPr>
          <w:p w14:paraId="07CD6D1C" w14:textId="77777777" w:rsidR="0088708C" w:rsidRDefault="0088708C" w:rsidP="004854DF">
            <w:pPr>
              <w:pStyle w:val="Tabletext"/>
              <w:rPr>
                <w:b w:val="0"/>
              </w:rPr>
            </w:pPr>
            <w:r>
              <w:t>Vietnam</w:t>
            </w:r>
          </w:p>
        </w:tc>
        <w:tc>
          <w:tcPr>
            <w:tcW w:w="671" w:type="dxa"/>
            <w:noWrap/>
          </w:tcPr>
          <w:p w14:paraId="6EDF9041"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73</w:t>
            </w:r>
          </w:p>
        </w:tc>
        <w:tc>
          <w:tcPr>
            <w:tcW w:w="671" w:type="dxa"/>
          </w:tcPr>
          <w:p w14:paraId="11ADF997"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123</w:t>
            </w:r>
          </w:p>
        </w:tc>
        <w:tc>
          <w:tcPr>
            <w:tcW w:w="695" w:type="dxa"/>
          </w:tcPr>
          <w:p w14:paraId="5A4CBF97"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122</w:t>
            </w:r>
          </w:p>
        </w:tc>
        <w:tc>
          <w:tcPr>
            <w:tcW w:w="671" w:type="dxa"/>
            <w:noWrap/>
          </w:tcPr>
          <w:p w14:paraId="4D5EE45D"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67</w:t>
            </w:r>
          </w:p>
        </w:tc>
        <w:tc>
          <w:tcPr>
            <w:tcW w:w="671" w:type="dxa"/>
          </w:tcPr>
          <w:p w14:paraId="4C6B9BD3"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121</w:t>
            </w:r>
          </w:p>
        </w:tc>
        <w:tc>
          <w:tcPr>
            <w:tcW w:w="671" w:type="dxa"/>
          </w:tcPr>
          <w:p w14:paraId="5745D7E6"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111</w:t>
            </w:r>
          </w:p>
        </w:tc>
        <w:tc>
          <w:tcPr>
            <w:tcW w:w="671" w:type="dxa"/>
            <w:noWrap/>
          </w:tcPr>
          <w:p w14:paraId="2D788220"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6</w:t>
            </w:r>
          </w:p>
        </w:tc>
        <w:tc>
          <w:tcPr>
            <w:tcW w:w="718" w:type="dxa"/>
          </w:tcPr>
          <w:p w14:paraId="0324CADD"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2</w:t>
            </w:r>
          </w:p>
        </w:tc>
        <w:tc>
          <w:tcPr>
            <w:tcW w:w="709" w:type="dxa"/>
          </w:tcPr>
          <w:p w14:paraId="35872D78"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11</w:t>
            </w:r>
          </w:p>
        </w:tc>
        <w:tc>
          <w:tcPr>
            <w:tcW w:w="671" w:type="dxa"/>
            <w:noWrap/>
          </w:tcPr>
          <w:p w14:paraId="1DE81C61"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8.2</w:t>
            </w:r>
          </w:p>
        </w:tc>
        <w:tc>
          <w:tcPr>
            <w:tcW w:w="671" w:type="dxa"/>
          </w:tcPr>
          <w:p w14:paraId="6C95802A"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1.6</w:t>
            </w:r>
          </w:p>
        </w:tc>
        <w:tc>
          <w:tcPr>
            <w:tcW w:w="671" w:type="dxa"/>
          </w:tcPr>
          <w:p w14:paraId="3E62BDAC"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9.0</w:t>
            </w:r>
          </w:p>
        </w:tc>
      </w:tr>
      <w:tr w:rsidR="0088708C" w14:paraId="62BE95C3" w14:textId="77777777" w:rsidTr="0078409F">
        <w:trPr>
          <w:cantSplit/>
        </w:trPr>
        <w:tc>
          <w:tcPr>
            <w:cnfStyle w:val="001000000000" w:firstRow="0" w:lastRow="0" w:firstColumn="1" w:lastColumn="0" w:oddVBand="0" w:evenVBand="0" w:oddHBand="0" w:evenHBand="0" w:firstRowFirstColumn="0" w:firstRowLastColumn="0" w:lastRowFirstColumn="0" w:lastRowLastColumn="0"/>
            <w:tcW w:w="1077" w:type="dxa"/>
            <w:noWrap/>
          </w:tcPr>
          <w:p w14:paraId="1A0D2E83" w14:textId="77777777" w:rsidR="0088708C" w:rsidRDefault="0088708C" w:rsidP="004854DF">
            <w:pPr>
              <w:pStyle w:val="Tabletext"/>
            </w:pPr>
            <w:r>
              <w:t>Indonesia</w:t>
            </w:r>
          </w:p>
        </w:tc>
        <w:tc>
          <w:tcPr>
            <w:tcW w:w="671" w:type="dxa"/>
            <w:noWrap/>
          </w:tcPr>
          <w:p w14:paraId="06BE29A4"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66</w:t>
            </w:r>
          </w:p>
        </w:tc>
        <w:tc>
          <w:tcPr>
            <w:tcW w:w="671" w:type="dxa"/>
          </w:tcPr>
          <w:p w14:paraId="48502815"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55</w:t>
            </w:r>
          </w:p>
        </w:tc>
        <w:tc>
          <w:tcPr>
            <w:tcW w:w="695" w:type="dxa"/>
          </w:tcPr>
          <w:p w14:paraId="461E8D9D"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43</w:t>
            </w:r>
          </w:p>
        </w:tc>
        <w:tc>
          <w:tcPr>
            <w:tcW w:w="671" w:type="dxa"/>
            <w:noWrap/>
          </w:tcPr>
          <w:p w14:paraId="1D2B8DAA"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61</w:t>
            </w:r>
          </w:p>
        </w:tc>
        <w:tc>
          <w:tcPr>
            <w:tcW w:w="671" w:type="dxa"/>
          </w:tcPr>
          <w:p w14:paraId="2AE66D21"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52</w:t>
            </w:r>
          </w:p>
        </w:tc>
        <w:tc>
          <w:tcPr>
            <w:tcW w:w="671" w:type="dxa"/>
          </w:tcPr>
          <w:p w14:paraId="64F55192"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36</w:t>
            </w:r>
          </w:p>
        </w:tc>
        <w:tc>
          <w:tcPr>
            <w:tcW w:w="671" w:type="dxa"/>
            <w:noWrap/>
          </w:tcPr>
          <w:p w14:paraId="32472BED"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5</w:t>
            </w:r>
          </w:p>
        </w:tc>
        <w:tc>
          <w:tcPr>
            <w:tcW w:w="718" w:type="dxa"/>
          </w:tcPr>
          <w:p w14:paraId="6F6CED6D"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3</w:t>
            </w:r>
          </w:p>
        </w:tc>
        <w:tc>
          <w:tcPr>
            <w:tcW w:w="709" w:type="dxa"/>
          </w:tcPr>
          <w:p w14:paraId="40DD4FA1"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7</w:t>
            </w:r>
          </w:p>
        </w:tc>
        <w:tc>
          <w:tcPr>
            <w:tcW w:w="671" w:type="dxa"/>
            <w:noWrap/>
          </w:tcPr>
          <w:p w14:paraId="0544B606"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7.6</w:t>
            </w:r>
          </w:p>
        </w:tc>
        <w:tc>
          <w:tcPr>
            <w:tcW w:w="671" w:type="dxa"/>
          </w:tcPr>
          <w:p w14:paraId="3807B230"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5.4</w:t>
            </w:r>
          </w:p>
        </w:tc>
        <w:tc>
          <w:tcPr>
            <w:tcW w:w="671" w:type="dxa"/>
          </w:tcPr>
          <w:p w14:paraId="1A4BA326"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16.3</w:t>
            </w:r>
          </w:p>
        </w:tc>
      </w:tr>
      <w:tr w:rsidR="0088708C" w14:paraId="65D55A78" w14:textId="77777777" w:rsidTr="0078409F">
        <w:trPr>
          <w:cantSplit/>
        </w:trPr>
        <w:tc>
          <w:tcPr>
            <w:cnfStyle w:val="001000000000" w:firstRow="0" w:lastRow="0" w:firstColumn="1" w:lastColumn="0" w:oddVBand="0" w:evenVBand="0" w:oddHBand="0" w:evenHBand="0" w:firstRowFirstColumn="0" w:firstRowLastColumn="0" w:lastRowFirstColumn="0" w:lastRowLastColumn="0"/>
            <w:tcW w:w="1077" w:type="dxa"/>
            <w:noWrap/>
          </w:tcPr>
          <w:p w14:paraId="44843314" w14:textId="77777777" w:rsidR="0088708C" w:rsidRDefault="0088708C" w:rsidP="004854DF">
            <w:pPr>
              <w:pStyle w:val="Tabletext"/>
              <w:rPr>
                <w:b w:val="0"/>
              </w:rPr>
            </w:pPr>
            <w:r>
              <w:t>India</w:t>
            </w:r>
          </w:p>
        </w:tc>
        <w:tc>
          <w:tcPr>
            <w:tcW w:w="671" w:type="dxa"/>
            <w:noWrap/>
          </w:tcPr>
          <w:p w14:paraId="1EA86CEB"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671" w:type="dxa"/>
          </w:tcPr>
          <w:p w14:paraId="3E67475E"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15</w:t>
            </w:r>
          </w:p>
        </w:tc>
        <w:tc>
          <w:tcPr>
            <w:tcW w:w="695" w:type="dxa"/>
          </w:tcPr>
          <w:p w14:paraId="1B29AC61"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671" w:type="dxa"/>
            <w:noWrap/>
          </w:tcPr>
          <w:p w14:paraId="28C6C6CD"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671" w:type="dxa"/>
          </w:tcPr>
          <w:p w14:paraId="6CC57DD6"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14</w:t>
            </w:r>
          </w:p>
        </w:tc>
        <w:tc>
          <w:tcPr>
            <w:tcW w:w="671" w:type="dxa"/>
          </w:tcPr>
          <w:p w14:paraId="6F797300"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671" w:type="dxa"/>
            <w:noWrap/>
          </w:tcPr>
          <w:p w14:paraId="213DB55F"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718" w:type="dxa"/>
          </w:tcPr>
          <w:p w14:paraId="5763C66A"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1</w:t>
            </w:r>
          </w:p>
        </w:tc>
        <w:tc>
          <w:tcPr>
            <w:tcW w:w="709" w:type="dxa"/>
          </w:tcPr>
          <w:p w14:paraId="29BFC699"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671" w:type="dxa"/>
            <w:noWrap/>
          </w:tcPr>
          <w:p w14:paraId="3D329940"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671" w:type="dxa"/>
          </w:tcPr>
          <w:p w14:paraId="592DF288"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6.7</w:t>
            </w:r>
          </w:p>
        </w:tc>
        <w:tc>
          <w:tcPr>
            <w:tcW w:w="671" w:type="dxa"/>
          </w:tcPr>
          <w:p w14:paraId="52BE33C8"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w:t>
            </w:r>
          </w:p>
        </w:tc>
      </w:tr>
      <w:tr w:rsidR="0088708C" w14:paraId="65A22BD9" w14:textId="77777777" w:rsidTr="0078409F">
        <w:trPr>
          <w:cantSplit/>
        </w:trPr>
        <w:tc>
          <w:tcPr>
            <w:cnfStyle w:val="001000000000" w:firstRow="0" w:lastRow="0" w:firstColumn="1" w:lastColumn="0" w:oddVBand="0" w:evenVBand="0" w:oddHBand="0" w:evenHBand="0" w:firstRowFirstColumn="0" w:firstRowLastColumn="0" w:lastRowFirstColumn="0" w:lastRowLastColumn="0"/>
            <w:tcW w:w="1077" w:type="dxa"/>
            <w:noWrap/>
          </w:tcPr>
          <w:p w14:paraId="44FC8D21" w14:textId="77777777" w:rsidR="0088708C" w:rsidRDefault="0088708C" w:rsidP="004854DF">
            <w:pPr>
              <w:pStyle w:val="Tabletext"/>
              <w:rPr>
                <w:b w:val="0"/>
              </w:rPr>
            </w:pPr>
            <w:r>
              <w:t>Thailand</w:t>
            </w:r>
          </w:p>
        </w:tc>
        <w:tc>
          <w:tcPr>
            <w:tcW w:w="671" w:type="dxa"/>
            <w:noWrap/>
          </w:tcPr>
          <w:p w14:paraId="27BEF52B"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671" w:type="dxa"/>
          </w:tcPr>
          <w:p w14:paraId="63D045B7"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39</w:t>
            </w:r>
          </w:p>
        </w:tc>
        <w:tc>
          <w:tcPr>
            <w:tcW w:w="695" w:type="dxa"/>
          </w:tcPr>
          <w:p w14:paraId="480F682E"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671" w:type="dxa"/>
            <w:noWrap/>
          </w:tcPr>
          <w:p w14:paraId="121C795E"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671" w:type="dxa"/>
          </w:tcPr>
          <w:p w14:paraId="6968B7A7"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37</w:t>
            </w:r>
          </w:p>
        </w:tc>
        <w:tc>
          <w:tcPr>
            <w:tcW w:w="671" w:type="dxa"/>
          </w:tcPr>
          <w:p w14:paraId="715A7DD2"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671" w:type="dxa"/>
            <w:noWrap/>
          </w:tcPr>
          <w:p w14:paraId="3799E0AB"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718" w:type="dxa"/>
          </w:tcPr>
          <w:p w14:paraId="254CD1DF"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2</w:t>
            </w:r>
          </w:p>
        </w:tc>
        <w:tc>
          <w:tcPr>
            <w:tcW w:w="709" w:type="dxa"/>
          </w:tcPr>
          <w:p w14:paraId="0F1C1202"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671" w:type="dxa"/>
            <w:noWrap/>
          </w:tcPr>
          <w:p w14:paraId="42EBA0D5"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671" w:type="dxa"/>
          </w:tcPr>
          <w:p w14:paraId="6485D781"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5.1</w:t>
            </w:r>
          </w:p>
        </w:tc>
        <w:tc>
          <w:tcPr>
            <w:tcW w:w="671" w:type="dxa"/>
          </w:tcPr>
          <w:p w14:paraId="7DA95EAE"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w:t>
            </w:r>
          </w:p>
        </w:tc>
      </w:tr>
      <w:tr w:rsidR="0088708C" w14:paraId="676DAD80" w14:textId="77777777" w:rsidTr="0078409F">
        <w:trPr>
          <w:cantSplit/>
        </w:trPr>
        <w:tc>
          <w:tcPr>
            <w:cnfStyle w:val="001000000000" w:firstRow="0" w:lastRow="0" w:firstColumn="1" w:lastColumn="0" w:oddVBand="0" w:evenVBand="0" w:oddHBand="0" w:evenHBand="0" w:firstRowFirstColumn="0" w:firstRowLastColumn="0" w:lastRowFirstColumn="0" w:lastRowLastColumn="0"/>
            <w:tcW w:w="1077" w:type="dxa"/>
            <w:noWrap/>
          </w:tcPr>
          <w:p w14:paraId="197920BD" w14:textId="77777777" w:rsidR="0088708C" w:rsidRDefault="0088708C" w:rsidP="004854DF">
            <w:pPr>
              <w:pStyle w:val="Tabletext"/>
              <w:rPr>
                <w:b w:val="0"/>
              </w:rPr>
            </w:pPr>
            <w:r>
              <w:t>Bangladesh</w:t>
            </w:r>
          </w:p>
        </w:tc>
        <w:tc>
          <w:tcPr>
            <w:tcW w:w="671" w:type="dxa"/>
            <w:noWrap/>
          </w:tcPr>
          <w:p w14:paraId="56E9C4A1"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671" w:type="dxa"/>
          </w:tcPr>
          <w:p w14:paraId="612949C0"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695" w:type="dxa"/>
          </w:tcPr>
          <w:p w14:paraId="07FF2EDC"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6</w:t>
            </w:r>
          </w:p>
        </w:tc>
        <w:tc>
          <w:tcPr>
            <w:tcW w:w="671" w:type="dxa"/>
            <w:noWrap/>
          </w:tcPr>
          <w:p w14:paraId="63B554CF"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671" w:type="dxa"/>
          </w:tcPr>
          <w:p w14:paraId="3E836D74"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671" w:type="dxa"/>
          </w:tcPr>
          <w:p w14:paraId="530AD654"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2</w:t>
            </w:r>
          </w:p>
        </w:tc>
        <w:tc>
          <w:tcPr>
            <w:tcW w:w="671" w:type="dxa"/>
            <w:noWrap/>
          </w:tcPr>
          <w:p w14:paraId="61CD3087"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718" w:type="dxa"/>
          </w:tcPr>
          <w:p w14:paraId="17CB86FC"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709" w:type="dxa"/>
          </w:tcPr>
          <w:p w14:paraId="76062026"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4</w:t>
            </w:r>
          </w:p>
        </w:tc>
        <w:tc>
          <w:tcPr>
            <w:tcW w:w="671" w:type="dxa"/>
            <w:noWrap/>
          </w:tcPr>
          <w:p w14:paraId="640C5141"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671" w:type="dxa"/>
          </w:tcPr>
          <w:p w14:paraId="479629C4"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671" w:type="dxa"/>
          </w:tcPr>
          <w:p w14:paraId="66CD2768" w14:textId="77777777" w:rsidR="0088708C" w:rsidRDefault="0088708C" w:rsidP="004854DF">
            <w:pPr>
              <w:pStyle w:val="Tabletext"/>
              <w:jc w:val="right"/>
              <w:cnfStyle w:val="000000000000" w:firstRow="0" w:lastRow="0" w:firstColumn="0" w:lastColumn="0" w:oddVBand="0" w:evenVBand="0" w:oddHBand="0" w:evenHBand="0" w:firstRowFirstColumn="0" w:firstRowLastColumn="0" w:lastRowFirstColumn="0" w:lastRowLastColumn="0"/>
            </w:pPr>
            <w:r>
              <w:t>66.7</w:t>
            </w:r>
          </w:p>
        </w:tc>
      </w:tr>
    </w:tbl>
    <w:p w14:paraId="62C54A79" w14:textId="7AFB9328" w:rsidR="00D47E39" w:rsidRDefault="0088708C" w:rsidP="0088708C">
      <w:pPr>
        <w:pStyle w:val="FigureTableNoteSource"/>
        <w:rPr>
          <w:lang w:eastAsia="ja-JP"/>
        </w:rPr>
      </w:pPr>
      <w:r>
        <w:rPr>
          <w:lang w:eastAsia="ja-JP"/>
        </w:rPr>
        <w:t>Source: Department of Agriculture and Water Resources</w:t>
      </w:r>
    </w:p>
    <w:bookmarkEnd w:id="176"/>
    <w:p w14:paraId="2CDDB0B3" w14:textId="5065345C" w:rsidR="00CC703E" w:rsidRDefault="00E37FDB" w:rsidP="0088708C">
      <w:pPr>
        <w:spacing w:before="360" w:after="0"/>
      </w:pPr>
      <w:r w:rsidRPr="0088708C">
        <w:t>In 2013–14 to 2015–16, of the 188 failed batches and</w:t>
      </w:r>
      <w:r w:rsidR="00C51EE3" w:rsidRPr="0088708C">
        <w:t>/</w:t>
      </w:r>
      <w:r w:rsidRPr="0088708C">
        <w:t xml:space="preserve">or consignments, brokers/importers chose to have 12 per cent </w:t>
      </w:r>
      <w:r w:rsidR="00C46B2A" w:rsidRPr="0088708C">
        <w:t>re</w:t>
      </w:r>
      <w:r w:rsidRPr="0088708C">
        <w:t xml:space="preserve">tested at AAHL, 2 per cent either destroyed, released or partially </w:t>
      </w:r>
      <w:r w:rsidR="00E3192E">
        <w:t>re-</w:t>
      </w:r>
      <w:r w:rsidRPr="0088708C">
        <w:t>exported and 86 per cent re-exported in entirety</w:t>
      </w:r>
      <w:r w:rsidR="0088708C" w:rsidRPr="0088708C">
        <w:t xml:space="preserve"> (</w:t>
      </w:r>
      <w:r w:rsidR="006B14C4">
        <w:fldChar w:fldCharType="begin"/>
      </w:r>
      <w:r w:rsidR="006B14C4">
        <w:instrText xml:space="preserve"> REF _Ref499323193 \h </w:instrText>
      </w:r>
      <w:r w:rsidR="006B14C4">
        <w:fldChar w:fldCharType="separate"/>
      </w:r>
      <w:r w:rsidR="00121BC1">
        <w:t xml:space="preserve">Table </w:t>
      </w:r>
      <w:r w:rsidR="00121BC1">
        <w:rPr>
          <w:noProof/>
        </w:rPr>
        <w:t>7</w:t>
      </w:r>
      <w:r w:rsidR="006B14C4">
        <w:fldChar w:fldCharType="end"/>
      </w:r>
      <w:r w:rsidR="0088708C" w:rsidRPr="0088708C">
        <w:t>).</w:t>
      </w:r>
    </w:p>
    <w:p w14:paraId="098655D2" w14:textId="019714DC" w:rsidR="0078409F" w:rsidRDefault="0078409F" w:rsidP="0078409F">
      <w:pPr>
        <w:pStyle w:val="Caption"/>
      </w:pPr>
      <w:bookmarkStart w:id="179" w:name="_Ref499323193"/>
      <w:bookmarkStart w:id="180" w:name="_Toc500508484"/>
      <w:bookmarkStart w:id="181" w:name="_Ref490050138"/>
      <w:r>
        <w:t xml:space="preserve">Table </w:t>
      </w:r>
      <w:r w:rsidR="00F329C0">
        <w:fldChar w:fldCharType="begin"/>
      </w:r>
      <w:r w:rsidR="00F329C0">
        <w:instrText xml:space="preserve"> SEQ Table \* ARABIC </w:instrText>
      </w:r>
      <w:r w:rsidR="00F329C0">
        <w:fldChar w:fldCharType="separate"/>
      </w:r>
      <w:r w:rsidR="00121BC1">
        <w:rPr>
          <w:noProof/>
        </w:rPr>
        <w:t>7</w:t>
      </w:r>
      <w:r w:rsidR="00F329C0">
        <w:rPr>
          <w:noProof/>
        </w:rPr>
        <w:fldChar w:fldCharType="end"/>
      </w:r>
      <w:bookmarkEnd w:id="179"/>
      <w:r w:rsidRPr="0078409F">
        <w:t xml:space="preserve"> </w:t>
      </w:r>
      <w:r w:rsidRPr="008215AA">
        <w:t>Actions selected by brokers/importers for WSSV and YHD positive batches or consignments, 2013–14 to 2015–16</w:t>
      </w:r>
      <w:bookmarkEnd w:id="180"/>
    </w:p>
    <w:tbl>
      <w:tblPr>
        <w:tblStyle w:val="GridTable1Light-Accent3"/>
        <w:tblW w:w="5000" w:type="pct"/>
        <w:tblLayout w:type="fixed"/>
        <w:tblLook w:val="04A0" w:firstRow="1" w:lastRow="0" w:firstColumn="1" w:lastColumn="0" w:noHBand="0" w:noVBand="1"/>
      </w:tblPr>
      <w:tblGrid>
        <w:gridCol w:w="1696"/>
        <w:gridCol w:w="1542"/>
        <w:gridCol w:w="1542"/>
        <w:gridCol w:w="1542"/>
        <w:gridCol w:w="1542"/>
        <w:gridCol w:w="1538"/>
      </w:tblGrid>
      <w:tr w:rsidR="00897C8C" w14:paraId="5DC5B1E4" w14:textId="661D6754" w:rsidTr="00377D7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2" w:type="pct"/>
            <w:tcBorders>
              <w:top w:val="single" w:sz="4" w:space="0" w:color="auto"/>
            </w:tcBorders>
            <w:noWrap/>
            <w:hideMark/>
          </w:tcPr>
          <w:bookmarkEnd w:id="181"/>
          <w:p w14:paraId="1089490C" w14:textId="77777777" w:rsidR="00897C8C" w:rsidRDefault="00897C8C">
            <w:pPr>
              <w:pStyle w:val="Tabletext"/>
            </w:pPr>
            <w:r>
              <w:t>Action</w:t>
            </w:r>
          </w:p>
        </w:tc>
        <w:tc>
          <w:tcPr>
            <w:tcW w:w="820" w:type="pct"/>
            <w:tcBorders>
              <w:top w:val="single" w:sz="4" w:space="0" w:color="auto"/>
            </w:tcBorders>
            <w:noWrap/>
            <w:hideMark/>
          </w:tcPr>
          <w:p w14:paraId="7DC41ADC" w14:textId="77777777" w:rsidR="00897C8C" w:rsidRDefault="00897C8C">
            <w:pPr>
              <w:pStyle w:val="Tabletext"/>
              <w:jc w:val="right"/>
              <w:cnfStyle w:val="100000000000" w:firstRow="1" w:lastRow="0" w:firstColumn="0" w:lastColumn="0" w:oddVBand="0" w:evenVBand="0" w:oddHBand="0" w:evenHBand="0" w:firstRowFirstColumn="0" w:firstRowLastColumn="0" w:lastRowFirstColumn="0" w:lastRowLastColumn="0"/>
            </w:pPr>
            <w:r>
              <w:t>2013–14</w:t>
            </w:r>
          </w:p>
        </w:tc>
        <w:tc>
          <w:tcPr>
            <w:tcW w:w="820" w:type="pct"/>
            <w:tcBorders>
              <w:top w:val="single" w:sz="4" w:space="0" w:color="auto"/>
            </w:tcBorders>
            <w:noWrap/>
            <w:hideMark/>
          </w:tcPr>
          <w:p w14:paraId="67477164" w14:textId="77777777" w:rsidR="00897C8C" w:rsidRDefault="00897C8C">
            <w:pPr>
              <w:pStyle w:val="Tabletext"/>
              <w:jc w:val="right"/>
              <w:cnfStyle w:val="100000000000" w:firstRow="1" w:lastRow="0" w:firstColumn="0" w:lastColumn="0" w:oddVBand="0" w:evenVBand="0" w:oddHBand="0" w:evenHBand="0" w:firstRowFirstColumn="0" w:firstRowLastColumn="0" w:lastRowFirstColumn="0" w:lastRowLastColumn="0"/>
            </w:pPr>
            <w:r>
              <w:t>2014–15</w:t>
            </w:r>
          </w:p>
        </w:tc>
        <w:tc>
          <w:tcPr>
            <w:tcW w:w="820" w:type="pct"/>
            <w:tcBorders>
              <w:top w:val="single" w:sz="4" w:space="0" w:color="auto"/>
            </w:tcBorders>
            <w:noWrap/>
            <w:hideMark/>
          </w:tcPr>
          <w:p w14:paraId="3AD5F2C1" w14:textId="77777777" w:rsidR="00897C8C" w:rsidRDefault="00897C8C">
            <w:pPr>
              <w:pStyle w:val="Tabletext"/>
              <w:jc w:val="right"/>
              <w:cnfStyle w:val="100000000000" w:firstRow="1" w:lastRow="0" w:firstColumn="0" w:lastColumn="0" w:oddVBand="0" w:evenVBand="0" w:oddHBand="0" w:evenHBand="0" w:firstRowFirstColumn="0" w:firstRowLastColumn="0" w:lastRowFirstColumn="0" w:lastRowLastColumn="0"/>
            </w:pPr>
            <w:r>
              <w:t>2015–16</w:t>
            </w:r>
          </w:p>
        </w:tc>
        <w:tc>
          <w:tcPr>
            <w:tcW w:w="820" w:type="pct"/>
            <w:tcBorders>
              <w:top w:val="single" w:sz="4" w:space="0" w:color="auto"/>
            </w:tcBorders>
            <w:noWrap/>
            <w:hideMark/>
          </w:tcPr>
          <w:p w14:paraId="3CCE9F65" w14:textId="77777777" w:rsidR="00897C8C" w:rsidRDefault="00897C8C">
            <w:pPr>
              <w:pStyle w:val="Tabletext"/>
              <w:jc w:val="right"/>
              <w:cnfStyle w:val="100000000000" w:firstRow="1" w:lastRow="0" w:firstColumn="0" w:lastColumn="0" w:oddVBand="0" w:evenVBand="0" w:oddHBand="0" w:evenHBand="0" w:firstRowFirstColumn="0" w:firstRowLastColumn="0" w:lastRowFirstColumn="0" w:lastRowLastColumn="0"/>
            </w:pPr>
            <w:r>
              <w:t>Total</w:t>
            </w:r>
          </w:p>
        </w:tc>
        <w:tc>
          <w:tcPr>
            <w:tcW w:w="820" w:type="pct"/>
            <w:tcBorders>
              <w:top w:val="single" w:sz="4" w:space="0" w:color="auto"/>
            </w:tcBorders>
          </w:tcPr>
          <w:p w14:paraId="1111EDB7" w14:textId="35213797" w:rsidR="00897C8C" w:rsidRDefault="00897C8C">
            <w:pPr>
              <w:pStyle w:val="Tabletext"/>
              <w:jc w:val="right"/>
              <w:cnfStyle w:val="100000000000" w:firstRow="1" w:lastRow="0" w:firstColumn="0" w:lastColumn="0" w:oddVBand="0" w:evenVBand="0" w:oddHBand="0" w:evenHBand="0" w:firstRowFirstColumn="0" w:firstRowLastColumn="0" w:lastRowFirstColumn="0" w:lastRowLastColumn="0"/>
            </w:pPr>
            <w:r>
              <w:t>Percentage</w:t>
            </w:r>
            <w:r w:rsidR="00C51EE3">
              <w:t xml:space="preserve"> (%)</w:t>
            </w:r>
          </w:p>
        </w:tc>
      </w:tr>
      <w:tr w:rsidR="00897C8C" w14:paraId="60A8A06A" w14:textId="77D9440B" w:rsidTr="00377D74">
        <w:trPr>
          <w:trHeight w:val="300"/>
        </w:trPr>
        <w:tc>
          <w:tcPr>
            <w:cnfStyle w:val="001000000000" w:firstRow="0" w:lastRow="0" w:firstColumn="1" w:lastColumn="0" w:oddVBand="0" w:evenVBand="0" w:oddHBand="0" w:evenHBand="0" w:firstRowFirstColumn="0" w:firstRowLastColumn="0" w:lastRowFirstColumn="0" w:lastRowLastColumn="0"/>
            <w:tcW w:w="902" w:type="pct"/>
            <w:noWrap/>
            <w:hideMark/>
          </w:tcPr>
          <w:p w14:paraId="04466D9F" w14:textId="72E7A6C0" w:rsidR="00897C8C" w:rsidRDefault="00897C8C">
            <w:pPr>
              <w:pStyle w:val="Tabletext"/>
              <w:rPr>
                <w:b w:val="0"/>
              </w:rPr>
            </w:pPr>
            <w:r>
              <w:t>Destroy</w:t>
            </w:r>
          </w:p>
        </w:tc>
        <w:tc>
          <w:tcPr>
            <w:tcW w:w="820" w:type="pct"/>
            <w:noWrap/>
            <w:hideMark/>
          </w:tcPr>
          <w:p w14:paraId="1CE80E8F" w14:textId="77777777" w:rsidR="00897C8C" w:rsidRDefault="00897C8C">
            <w:pPr>
              <w:pStyle w:val="Tabletext"/>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820" w:type="pct"/>
            <w:noWrap/>
            <w:hideMark/>
          </w:tcPr>
          <w:p w14:paraId="0D83345B" w14:textId="3BF5020C" w:rsidR="00897C8C" w:rsidRDefault="00897C8C">
            <w:pPr>
              <w:pStyle w:val="Tabletext"/>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820" w:type="pct"/>
            <w:noWrap/>
            <w:hideMark/>
          </w:tcPr>
          <w:p w14:paraId="7D7C4792" w14:textId="415C4839" w:rsidR="00897C8C" w:rsidRDefault="00897C8C">
            <w:pPr>
              <w:pStyle w:val="Tabletext"/>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820" w:type="pct"/>
            <w:noWrap/>
            <w:hideMark/>
          </w:tcPr>
          <w:p w14:paraId="23D294F1" w14:textId="77777777" w:rsidR="00897C8C" w:rsidRDefault="00897C8C">
            <w:pPr>
              <w:pStyle w:val="Tabletext"/>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820" w:type="pct"/>
          </w:tcPr>
          <w:p w14:paraId="65144D89" w14:textId="52B01134" w:rsidR="00897C8C" w:rsidRDefault="00C51EE3">
            <w:pPr>
              <w:pStyle w:val="Tabletext"/>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0.5</w:t>
            </w:r>
          </w:p>
        </w:tc>
      </w:tr>
      <w:tr w:rsidR="00897C8C" w14:paraId="2A545D69" w14:textId="56EF5E34" w:rsidTr="00377D74">
        <w:trPr>
          <w:trHeight w:val="300"/>
        </w:trPr>
        <w:tc>
          <w:tcPr>
            <w:cnfStyle w:val="001000000000" w:firstRow="0" w:lastRow="0" w:firstColumn="1" w:lastColumn="0" w:oddVBand="0" w:evenVBand="0" w:oddHBand="0" w:evenHBand="0" w:firstRowFirstColumn="0" w:firstRowLastColumn="0" w:lastRowFirstColumn="0" w:lastRowLastColumn="0"/>
            <w:tcW w:w="902" w:type="pct"/>
            <w:noWrap/>
            <w:hideMark/>
          </w:tcPr>
          <w:p w14:paraId="401EEB8F" w14:textId="56C7B3B6" w:rsidR="00897C8C" w:rsidRDefault="00897C8C">
            <w:pPr>
              <w:pStyle w:val="Tabletext"/>
              <w:rPr>
                <w:b w:val="0"/>
              </w:rPr>
            </w:pPr>
            <w:r>
              <w:t>Re-export</w:t>
            </w:r>
          </w:p>
        </w:tc>
        <w:tc>
          <w:tcPr>
            <w:tcW w:w="820" w:type="pct"/>
            <w:noWrap/>
            <w:hideMark/>
          </w:tcPr>
          <w:p w14:paraId="7D3F99BF" w14:textId="77777777" w:rsidR="00897C8C" w:rsidRDefault="00897C8C">
            <w:pPr>
              <w:pStyle w:val="Tabletext"/>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82</w:t>
            </w:r>
          </w:p>
        </w:tc>
        <w:tc>
          <w:tcPr>
            <w:tcW w:w="820" w:type="pct"/>
            <w:noWrap/>
            <w:hideMark/>
          </w:tcPr>
          <w:p w14:paraId="0BFA3B90" w14:textId="77777777" w:rsidR="00897C8C" w:rsidRDefault="00897C8C">
            <w:pPr>
              <w:pStyle w:val="Tabletext"/>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w:t>
            </w:r>
          </w:p>
        </w:tc>
        <w:tc>
          <w:tcPr>
            <w:tcW w:w="820" w:type="pct"/>
            <w:noWrap/>
            <w:hideMark/>
          </w:tcPr>
          <w:p w14:paraId="19CBAA81" w14:textId="77777777" w:rsidR="00897C8C" w:rsidRDefault="00897C8C">
            <w:pPr>
              <w:pStyle w:val="Tabletext"/>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52</w:t>
            </w:r>
          </w:p>
        </w:tc>
        <w:tc>
          <w:tcPr>
            <w:tcW w:w="820" w:type="pct"/>
            <w:noWrap/>
            <w:hideMark/>
          </w:tcPr>
          <w:p w14:paraId="3558CA44" w14:textId="77777777" w:rsidR="00897C8C" w:rsidRDefault="00897C8C">
            <w:pPr>
              <w:pStyle w:val="Tabletext"/>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161</w:t>
            </w:r>
          </w:p>
        </w:tc>
        <w:tc>
          <w:tcPr>
            <w:tcW w:w="820" w:type="pct"/>
          </w:tcPr>
          <w:p w14:paraId="37FDDE23" w14:textId="327239FB" w:rsidR="00897C8C" w:rsidRDefault="00C51EE3">
            <w:pPr>
              <w:pStyle w:val="Tabletext"/>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86</w:t>
            </w:r>
          </w:p>
        </w:tc>
      </w:tr>
      <w:tr w:rsidR="00897C8C" w14:paraId="0F56C0A5" w14:textId="213FB81D" w:rsidTr="00377D74">
        <w:trPr>
          <w:trHeight w:val="300"/>
        </w:trPr>
        <w:tc>
          <w:tcPr>
            <w:cnfStyle w:val="001000000000" w:firstRow="0" w:lastRow="0" w:firstColumn="1" w:lastColumn="0" w:oddVBand="0" w:evenVBand="0" w:oddHBand="0" w:evenHBand="0" w:firstRowFirstColumn="0" w:firstRowLastColumn="0" w:lastRowFirstColumn="0" w:lastRowLastColumn="0"/>
            <w:tcW w:w="902" w:type="pct"/>
            <w:noWrap/>
            <w:hideMark/>
          </w:tcPr>
          <w:p w14:paraId="01903C4C" w14:textId="46462742" w:rsidR="00897C8C" w:rsidRDefault="00897C8C">
            <w:pPr>
              <w:pStyle w:val="Tabletext"/>
              <w:rPr>
                <w:b w:val="0"/>
              </w:rPr>
            </w:pPr>
            <w:r>
              <w:t>Release</w:t>
            </w:r>
          </w:p>
        </w:tc>
        <w:tc>
          <w:tcPr>
            <w:tcW w:w="820" w:type="pct"/>
            <w:noWrap/>
            <w:hideMark/>
          </w:tcPr>
          <w:p w14:paraId="1565D719" w14:textId="0C5CD629" w:rsidR="00897C8C" w:rsidRDefault="00897C8C">
            <w:pPr>
              <w:pStyle w:val="Tabletext"/>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820" w:type="pct"/>
            <w:noWrap/>
            <w:hideMark/>
          </w:tcPr>
          <w:p w14:paraId="7EF9A95B" w14:textId="77777777" w:rsidR="00897C8C" w:rsidRDefault="00897C8C">
            <w:pPr>
              <w:pStyle w:val="Tabletext"/>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820" w:type="pct"/>
            <w:noWrap/>
            <w:hideMark/>
          </w:tcPr>
          <w:p w14:paraId="4AE2F424" w14:textId="77777777" w:rsidR="00897C8C" w:rsidRDefault="00897C8C">
            <w:pPr>
              <w:pStyle w:val="Tabletext"/>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820" w:type="pct"/>
            <w:noWrap/>
            <w:hideMark/>
          </w:tcPr>
          <w:p w14:paraId="7FBCF6D8" w14:textId="77777777" w:rsidR="00897C8C" w:rsidRDefault="00897C8C">
            <w:pPr>
              <w:pStyle w:val="Tabletext"/>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820" w:type="pct"/>
          </w:tcPr>
          <w:p w14:paraId="2486EA62" w14:textId="138359A4" w:rsidR="00897C8C" w:rsidRDefault="00C51EE3">
            <w:pPr>
              <w:pStyle w:val="Tabletext"/>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r>
      <w:tr w:rsidR="00897C8C" w14:paraId="353EFD4E" w14:textId="66DA6DC4" w:rsidTr="00377D74">
        <w:trPr>
          <w:trHeight w:val="300"/>
        </w:trPr>
        <w:tc>
          <w:tcPr>
            <w:cnfStyle w:val="001000000000" w:firstRow="0" w:lastRow="0" w:firstColumn="1" w:lastColumn="0" w:oddVBand="0" w:evenVBand="0" w:oddHBand="0" w:evenHBand="0" w:firstRowFirstColumn="0" w:firstRowLastColumn="0" w:lastRowFirstColumn="0" w:lastRowLastColumn="0"/>
            <w:tcW w:w="902" w:type="pct"/>
            <w:noWrap/>
            <w:hideMark/>
          </w:tcPr>
          <w:p w14:paraId="0E293D4E" w14:textId="77777777" w:rsidR="00897C8C" w:rsidRDefault="00897C8C">
            <w:pPr>
              <w:pStyle w:val="Tabletext"/>
              <w:rPr>
                <w:b w:val="0"/>
              </w:rPr>
            </w:pPr>
            <w:r>
              <w:t>Partially re-export</w:t>
            </w:r>
          </w:p>
        </w:tc>
        <w:tc>
          <w:tcPr>
            <w:tcW w:w="820" w:type="pct"/>
            <w:noWrap/>
            <w:hideMark/>
          </w:tcPr>
          <w:p w14:paraId="5F219820" w14:textId="77777777" w:rsidR="00897C8C" w:rsidRDefault="00897C8C">
            <w:pPr>
              <w:pStyle w:val="Tabletext"/>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820" w:type="pct"/>
            <w:noWrap/>
            <w:hideMark/>
          </w:tcPr>
          <w:p w14:paraId="26D5E5B5" w14:textId="77777777" w:rsidR="00897C8C" w:rsidRDefault="00897C8C">
            <w:pPr>
              <w:pStyle w:val="Tabletext"/>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820" w:type="pct"/>
            <w:noWrap/>
            <w:hideMark/>
          </w:tcPr>
          <w:p w14:paraId="76DA21AC" w14:textId="77777777" w:rsidR="00897C8C" w:rsidRDefault="00897C8C">
            <w:pPr>
              <w:pStyle w:val="Tabletext"/>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 </w:t>
            </w:r>
          </w:p>
        </w:tc>
        <w:tc>
          <w:tcPr>
            <w:tcW w:w="820" w:type="pct"/>
            <w:noWrap/>
            <w:hideMark/>
          </w:tcPr>
          <w:p w14:paraId="294ACA48" w14:textId="77777777" w:rsidR="00897C8C" w:rsidRDefault="00897C8C">
            <w:pPr>
              <w:pStyle w:val="Tabletext"/>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820" w:type="pct"/>
          </w:tcPr>
          <w:p w14:paraId="64B1F2EF" w14:textId="79C4F1F6" w:rsidR="00897C8C" w:rsidRDefault="00C51EE3">
            <w:pPr>
              <w:pStyle w:val="Tabletext"/>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0.5</w:t>
            </w:r>
          </w:p>
        </w:tc>
      </w:tr>
      <w:tr w:rsidR="00897C8C" w14:paraId="1FEDBC3C" w14:textId="19C1A8E6" w:rsidTr="00377D74">
        <w:trPr>
          <w:trHeight w:val="404"/>
        </w:trPr>
        <w:tc>
          <w:tcPr>
            <w:cnfStyle w:val="001000000000" w:firstRow="0" w:lastRow="0" w:firstColumn="1" w:lastColumn="0" w:oddVBand="0" w:evenVBand="0" w:oddHBand="0" w:evenHBand="0" w:firstRowFirstColumn="0" w:firstRowLastColumn="0" w:lastRowFirstColumn="0" w:lastRowLastColumn="0"/>
            <w:tcW w:w="902" w:type="pct"/>
            <w:noWrap/>
            <w:hideMark/>
          </w:tcPr>
          <w:p w14:paraId="4C88684F" w14:textId="6090ABCC" w:rsidR="00897C8C" w:rsidRDefault="00897C8C">
            <w:pPr>
              <w:pStyle w:val="Tabletext"/>
              <w:rPr>
                <w:b w:val="0"/>
              </w:rPr>
            </w:pPr>
            <w:r>
              <w:t>Retest</w:t>
            </w:r>
          </w:p>
        </w:tc>
        <w:tc>
          <w:tcPr>
            <w:tcW w:w="820" w:type="pct"/>
            <w:noWrap/>
            <w:hideMark/>
          </w:tcPr>
          <w:p w14:paraId="281689C6" w14:textId="77777777" w:rsidR="00897C8C" w:rsidRDefault="00897C8C">
            <w:pPr>
              <w:pStyle w:val="Tabletext"/>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w:t>
            </w:r>
          </w:p>
        </w:tc>
        <w:tc>
          <w:tcPr>
            <w:tcW w:w="820" w:type="pct"/>
            <w:noWrap/>
            <w:hideMark/>
          </w:tcPr>
          <w:p w14:paraId="03B03A10" w14:textId="77777777" w:rsidR="00897C8C" w:rsidRDefault="00897C8C">
            <w:pPr>
              <w:pStyle w:val="Tabletext"/>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820" w:type="pct"/>
            <w:noWrap/>
            <w:hideMark/>
          </w:tcPr>
          <w:p w14:paraId="1AB03615" w14:textId="77777777" w:rsidR="00897C8C" w:rsidRDefault="00897C8C">
            <w:pPr>
              <w:pStyle w:val="Tabletext"/>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w:t>
            </w:r>
          </w:p>
        </w:tc>
        <w:tc>
          <w:tcPr>
            <w:tcW w:w="820" w:type="pct"/>
            <w:noWrap/>
            <w:hideMark/>
          </w:tcPr>
          <w:p w14:paraId="751774EE" w14:textId="77777777" w:rsidR="00897C8C" w:rsidRDefault="00897C8C">
            <w:pPr>
              <w:pStyle w:val="Tabletext"/>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820" w:type="pct"/>
          </w:tcPr>
          <w:p w14:paraId="35792C83" w14:textId="30786817" w:rsidR="00897C8C" w:rsidRDefault="00C51EE3">
            <w:pPr>
              <w:pStyle w:val="Tabletext"/>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r>
      <w:tr w:rsidR="00897C8C" w14:paraId="5ABDF3C1" w14:textId="04AD76D5" w:rsidTr="00377D74">
        <w:trPr>
          <w:trHeight w:val="315"/>
        </w:trPr>
        <w:tc>
          <w:tcPr>
            <w:cnfStyle w:val="001000000000" w:firstRow="0" w:lastRow="0" w:firstColumn="1" w:lastColumn="0" w:oddVBand="0" w:evenVBand="0" w:oddHBand="0" w:evenHBand="0" w:firstRowFirstColumn="0" w:firstRowLastColumn="0" w:lastRowFirstColumn="0" w:lastRowLastColumn="0"/>
            <w:tcW w:w="902" w:type="pct"/>
            <w:tcBorders>
              <w:bottom w:val="single" w:sz="4" w:space="0" w:color="auto"/>
            </w:tcBorders>
            <w:noWrap/>
            <w:hideMark/>
          </w:tcPr>
          <w:p w14:paraId="7E5B0151" w14:textId="77777777" w:rsidR="00897C8C" w:rsidRDefault="00897C8C">
            <w:pPr>
              <w:pStyle w:val="Tabletext"/>
              <w:rPr>
                <w:b w:val="0"/>
              </w:rPr>
            </w:pPr>
            <w:r>
              <w:t>Total</w:t>
            </w:r>
          </w:p>
        </w:tc>
        <w:tc>
          <w:tcPr>
            <w:tcW w:w="820" w:type="pct"/>
            <w:tcBorders>
              <w:bottom w:val="single" w:sz="4" w:space="0" w:color="auto"/>
            </w:tcBorders>
            <w:noWrap/>
            <w:hideMark/>
          </w:tcPr>
          <w:p w14:paraId="044E711F" w14:textId="77777777" w:rsidR="00897C8C" w:rsidRDefault="00897C8C">
            <w:pPr>
              <w:pStyle w:val="Tabletext"/>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102</w:t>
            </w:r>
          </w:p>
        </w:tc>
        <w:tc>
          <w:tcPr>
            <w:tcW w:w="820" w:type="pct"/>
            <w:tcBorders>
              <w:bottom w:val="single" w:sz="4" w:space="0" w:color="auto"/>
            </w:tcBorders>
            <w:noWrap/>
            <w:hideMark/>
          </w:tcPr>
          <w:p w14:paraId="50566CEE" w14:textId="77777777" w:rsidR="00897C8C" w:rsidRDefault="00897C8C">
            <w:pPr>
              <w:pStyle w:val="Tabletext"/>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33</w:t>
            </w:r>
          </w:p>
        </w:tc>
        <w:tc>
          <w:tcPr>
            <w:tcW w:w="820" w:type="pct"/>
            <w:tcBorders>
              <w:bottom w:val="single" w:sz="4" w:space="0" w:color="auto"/>
            </w:tcBorders>
            <w:noWrap/>
            <w:hideMark/>
          </w:tcPr>
          <w:p w14:paraId="1E9DC8EB" w14:textId="77777777" w:rsidR="00897C8C" w:rsidRDefault="00897C8C">
            <w:pPr>
              <w:pStyle w:val="Tabletext"/>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53</w:t>
            </w:r>
          </w:p>
        </w:tc>
        <w:tc>
          <w:tcPr>
            <w:tcW w:w="820" w:type="pct"/>
            <w:tcBorders>
              <w:bottom w:val="single" w:sz="4" w:space="0" w:color="auto"/>
            </w:tcBorders>
            <w:noWrap/>
            <w:hideMark/>
          </w:tcPr>
          <w:p w14:paraId="2631ACC6" w14:textId="77777777" w:rsidR="00897C8C" w:rsidRDefault="00897C8C">
            <w:pPr>
              <w:pStyle w:val="Tabletext"/>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188</w:t>
            </w:r>
          </w:p>
        </w:tc>
        <w:tc>
          <w:tcPr>
            <w:tcW w:w="820" w:type="pct"/>
            <w:tcBorders>
              <w:bottom w:val="single" w:sz="4" w:space="0" w:color="auto"/>
            </w:tcBorders>
          </w:tcPr>
          <w:p w14:paraId="0DB489AC" w14:textId="0DDE9CAF" w:rsidR="00897C8C" w:rsidRDefault="00C51EE3">
            <w:pPr>
              <w:pStyle w:val="Tabletext"/>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100</w:t>
            </w:r>
          </w:p>
        </w:tc>
      </w:tr>
    </w:tbl>
    <w:p w14:paraId="79DE07FE" w14:textId="77777777" w:rsidR="00CC703E" w:rsidRDefault="00E37FDB">
      <w:pPr>
        <w:pStyle w:val="FigureTableNoteSource"/>
        <w:rPr>
          <w:lang w:eastAsia="ja-JP"/>
        </w:rPr>
      </w:pPr>
      <w:r>
        <w:rPr>
          <w:lang w:eastAsia="ja-JP"/>
        </w:rPr>
        <w:t>Source: Department of Agriculture and Water Resources</w:t>
      </w:r>
    </w:p>
    <w:p w14:paraId="55E59688" w14:textId="474EEAFB" w:rsidR="00CC703E" w:rsidRDefault="00E37FDB" w:rsidP="0088708C">
      <w:pPr>
        <w:spacing w:before="240" w:after="0"/>
      </w:pPr>
      <w:r>
        <w:t>Re-export of failed consignments was expensive for brokers/importers and required them to source alternative markets for their prawns, presumably at a cheaper price—</w:t>
      </w:r>
      <w:r w:rsidRPr="00CA60CF">
        <w:t>a significant</w:t>
      </w:r>
      <w:r>
        <w:t xml:space="preserve"> incentive for importers to divert or re-import failed consignments. The department’s measures for ensuring that re-export occurred were cumbersome and rarely carried out.</w:t>
      </w:r>
      <w:r w:rsidR="00A627BB">
        <w:t xml:space="preserve"> This was largely due to incompatibilities between the Integrated Cargo System (ICS</w:t>
      </w:r>
      <w:r w:rsidR="00A627BB" w:rsidRPr="00E37FDB">
        <w:t>),</w:t>
      </w:r>
      <w:r w:rsidR="00A627BB">
        <w:t xml:space="preserve"> managed by the </w:t>
      </w:r>
      <w:r w:rsidR="00A627BB" w:rsidRPr="00CD0007">
        <w:t>Australian Customs and Border Protection Service (Customs)</w:t>
      </w:r>
      <w:r w:rsidR="00A627BB">
        <w:t>, and the Agriculture Import Management System (AIMS</w:t>
      </w:r>
      <w:r w:rsidR="00A627BB" w:rsidRPr="00E37FDB">
        <w:t>)</w:t>
      </w:r>
      <w:r w:rsidR="00A627BB">
        <w:t xml:space="preserve">, managed by the </w:t>
      </w:r>
      <w:r w:rsidR="00A627BB" w:rsidRPr="00E37FDB">
        <w:rPr>
          <w:szCs w:val="24"/>
        </w:rPr>
        <w:t>Australian Government</w:t>
      </w:r>
      <w:r w:rsidR="00A627BB">
        <w:rPr>
          <w:szCs w:val="24"/>
        </w:rPr>
        <w:t xml:space="preserve"> </w:t>
      </w:r>
      <w:r w:rsidR="00A627BB">
        <w:t>Department of Agriculture, Fisheries and Forestry.</w:t>
      </w:r>
    </w:p>
    <w:p w14:paraId="63CCB19A" w14:textId="77777777" w:rsidR="00CC703E" w:rsidRPr="008937FF" w:rsidRDefault="00E37FDB" w:rsidP="008937FF">
      <w:pPr>
        <w:pStyle w:val="Heading3"/>
        <w:rPr>
          <w:rStyle w:val="Heading3Char"/>
          <w:rFonts w:eastAsia="Calibri"/>
          <w:b/>
          <w:bCs/>
        </w:rPr>
      </w:pPr>
      <w:bookmarkStart w:id="182" w:name="_Toc490040487"/>
      <w:bookmarkStart w:id="183" w:name="_Toc500508406"/>
      <w:r w:rsidRPr="008937FF">
        <w:rPr>
          <w:rStyle w:val="Heading3Char"/>
          <w:rFonts w:eastAsia="Calibri"/>
          <w:b/>
          <w:bCs/>
        </w:rPr>
        <w:lastRenderedPageBreak/>
        <w:t>Post-border controls</w:t>
      </w:r>
      <w:bookmarkEnd w:id="182"/>
      <w:bookmarkEnd w:id="183"/>
    </w:p>
    <w:p w14:paraId="3EC644C0" w14:textId="17F89BE2" w:rsidR="00CC703E" w:rsidRDefault="00E37FDB">
      <w:pPr>
        <w:rPr>
          <w:lang w:eastAsia="en-AU"/>
        </w:rPr>
      </w:pPr>
      <w:r>
        <w:rPr>
          <w:lang w:eastAsia="en-AU"/>
        </w:rPr>
        <w:t xml:space="preserve">All imported uncooked prawns and prawn products were required to have the </w:t>
      </w:r>
      <w:r w:rsidRPr="00780D3B">
        <w:rPr>
          <w:lang w:eastAsia="en-AU"/>
        </w:rPr>
        <w:t>words ‘For human consumption only—not to be used as bait or feed for aquatic animals’ o</w:t>
      </w:r>
      <w:r>
        <w:rPr>
          <w:lang w:eastAsia="en-AU"/>
        </w:rPr>
        <w:t>n each carton and plastic bag they were imported in. Inspectors were required to check a sample of each batch to ensure compliance. However, at a practical level, once a batch or consignment had been released from quarantine, the Australian Government had no further control over it. Any further action to enforce this provision would require state/territory government powers and be extremely difficult to implement.</w:t>
      </w:r>
    </w:p>
    <w:p w14:paraId="5748517D" w14:textId="4A734882" w:rsidR="00CC703E" w:rsidRDefault="00E37FDB">
      <w:pPr>
        <w:rPr>
          <w:lang w:eastAsia="en-AU"/>
        </w:rPr>
      </w:pPr>
      <w:r>
        <w:rPr>
          <w:lang w:eastAsia="en-AU"/>
        </w:rPr>
        <w:t>The labelling remained visible on retail frozen prawns that were still packaged, but any prawns that were thawed and presented for sale in supermarkets or fish shops did not carry this labelling. Consequently, most Australian</w:t>
      </w:r>
      <w:r w:rsidR="00DD1833">
        <w:rPr>
          <w:lang w:eastAsia="en-AU"/>
        </w:rPr>
        <w:t xml:space="preserve"> shopper</w:t>
      </w:r>
      <w:r>
        <w:rPr>
          <w:lang w:eastAsia="en-AU"/>
        </w:rPr>
        <w:t xml:space="preserve">s were unaware of the end-use requirement and recreational fishers reputedly used retail imported prawns as bait or berley because </w:t>
      </w:r>
      <w:r w:rsidR="00C46B2A">
        <w:rPr>
          <w:lang w:eastAsia="en-AU"/>
        </w:rPr>
        <w:t>they</w:t>
      </w:r>
      <w:r>
        <w:rPr>
          <w:lang w:eastAsia="en-AU"/>
        </w:rPr>
        <w:t xml:space="preserve"> w</w:t>
      </w:r>
      <w:r w:rsidR="00C51EE3">
        <w:rPr>
          <w:lang w:eastAsia="en-AU"/>
        </w:rPr>
        <w:t>ere</w:t>
      </w:r>
      <w:r>
        <w:rPr>
          <w:lang w:eastAsia="en-AU"/>
        </w:rPr>
        <w:t xml:space="preserve"> cheap and the prawns were intact.</w:t>
      </w:r>
    </w:p>
    <w:p w14:paraId="0C6B1D27" w14:textId="5562F430" w:rsidR="00CC703E" w:rsidRDefault="00E37FDB">
      <w:pPr>
        <w:rPr>
          <w:lang w:eastAsia="en-AU"/>
        </w:rPr>
      </w:pPr>
      <w:r>
        <w:rPr>
          <w:lang w:eastAsia="en-AU"/>
        </w:rPr>
        <w:t xml:space="preserve">One intent in requiring the end-use statement on each package was to prevent wholesale purchase of imported retail prawns by bait shops. </w:t>
      </w:r>
      <w:r w:rsidR="00C46B2A">
        <w:rPr>
          <w:lang w:eastAsia="en-AU"/>
        </w:rPr>
        <w:t>If bait shops sold imported uncooked prawns, there would be</w:t>
      </w:r>
      <w:r>
        <w:rPr>
          <w:lang w:eastAsia="en-AU"/>
        </w:rPr>
        <w:t xml:space="preserve"> a greater risk of exposing larger numbers of wild crustaceans to residual infection. No surveillance of bait shops was undertaken to ensure that they were not selling imported</w:t>
      </w:r>
      <w:r w:rsidR="00C46B2A">
        <w:rPr>
          <w:lang w:eastAsia="en-AU"/>
        </w:rPr>
        <w:t xml:space="preserve"> uncooked</w:t>
      </w:r>
      <w:r>
        <w:rPr>
          <w:lang w:eastAsia="en-AU"/>
        </w:rPr>
        <w:t xml:space="preserve"> prawns. </w:t>
      </w:r>
      <w:r w:rsidRPr="00BC2D4C">
        <w:rPr>
          <w:lang w:eastAsia="en-AU"/>
        </w:rPr>
        <w:t>L</w:t>
      </w:r>
      <w:r>
        <w:rPr>
          <w:lang w:eastAsia="en-AU"/>
        </w:rPr>
        <w:t>egal powers for action if such a practice were discovered were unclear or non-existent.</w:t>
      </w:r>
    </w:p>
    <w:p w14:paraId="044A147F" w14:textId="77777777" w:rsidR="00CC703E" w:rsidRDefault="00E37FDB" w:rsidP="008937FF">
      <w:pPr>
        <w:pStyle w:val="Heading2"/>
      </w:pPr>
      <w:bookmarkStart w:id="184" w:name="_Toc490040488"/>
      <w:bookmarkStart w:id="185" w:name="_Toc500508407"/>
      <w:r>
        <w:lastRenderedPageBreak/>
        <w:t>Non-compliance with prawn import conditions</w:t>
      </w:r>
      <w:bookmarkEnd w:id="184"/>
      <w:r>
        <w:t>, 2010 to 2016</w:t>
      </w:r>
      <w:bookmarkEnd w:id="185"/>
    </w:p>
    <w:p w14:paraId="0CE3E815" w14:textId="117A9852" w:rsidR="00CC703E" w:rsidRPr="008937FF" w:rsidRDefault="00E37FDB" w:rsidP="008937FF">
      <w:pPr>
        <w:pStyle w:val="Heading3"/>
        <w:rPr>
          <w:rStyle w:val="Heading3Char"/>
          <w:rFonts w:eastAsia="Calibri"/>
          <w:b/>
          <w:bCs/>
        </w:rPr>
      </w:pPr>
      <w:bookmarkStart w:id="186" w:name="_Toc490040489"/>
      <w:bookmarkStart w:id="187" w:name="_Toc500508408"/>
      <w:r w:rsidRPr="008937FF">
        <w:rPr>
          <w:rStyle w:val="Heading3Char"/>
          <w:rFonts w:eastAsia="Calibri"/>
          <w:b/>
          <w:bCs/>
        </w:rPr>
        <w:t>Mistaken release of WSSV-positive batch</w:t>
      </w:r>
      <w:r w:rsidR="00FD7BFE" w:rsidRPr="008937FF">
        <w:rPr>
          <w:rStyle w:val="Heading3Char"/>
          <w:rFonts w:eastAsia="Calibri"/>
          <w:b/>
          <w:bCs/>
        </w:rPr>
        <w:t>es</w:t>
      </w:r>
      <w:r w:rsidRPr="008937FF">
        <w:rPr>
          <w:rStyle w:val="Heading3Char"/>
          <w:rFonts w:eastAsia="Calibri"/>
          <w:b/>
          <w:bCs/>
        </w:rPr>
        <w:t>, 2010</w:t>
      </w:r>
      <w:bookmarkEnd w:id="186"/>
      <w:bookmarkEnd w:id="187"/>
    </w:p>
    <w:p w14:paraId="1E4B2F91" w14:textId="61D42EF7" w:rsidR="00CC703E" w:rsidRDefault="00E37FDB">
      <w:pPr>
        <w:tabs>
          <w:tab w:val="clear" w:pos="567"/>
        </w:tabs>
        <w:spacing w:after="0"/>
        <w:rPr>
          <w:lang w:eastAsia="ja-JP"/>
        </w:rPr>
      </w:pPr>
      <w:r>
        <w:rPr>
          <w:lang w:eastAsia="ja-JP"/>
        </w:rPr>
        <w:t>In July 2010 the department mistakenly released a consignment of raw peeled prawns intended for human consumption that had tested positive for WSSV. The Director of Biosecurity requested the Interim Inspector-General of Biosecurity (IIGB) to ascertain the causes and recommend practices to mitigate the risk of a recurrence.</w:t>
      </w:r>
    </w:p>
    <w:p w14:paraId="456CA185" w14:textId="54BE25F8" w:rsidR="00CC703E" w:rsidRDefault="00E37FDB" w:rsidP="00F62047">
      <w:pPr>
        <w:tabs>
          <w:tab w:val="clear" w:pos="567"/>
        </w:tabs>
        <w:spacing w:after="0"/>
        <w:rPr>
          <w:lang w:eastAsia="ja-JP"/>
        </w:rPr>
      </w:pPr>
      <w:r>
        <w:rPr>
          <w:lang w:eastAsia="ja-JP"/>
        </w:rPr>
        <w:t xml:space="preserve">In his review, the IIGB noted that the consignment contained </w:t>
      </w:r>
      <w:r w:rsidRPr="00F62047">
        <w:rPr>
          <w:lang w:eastAsia="ja-JP"/>
        </w:rPr>
        <w:t>frozen raw, peeled, deveined</w:t>
      </w:r>
      <w:r>
        <w:rPr>
          <w:lang w:eastAsia="ja-JP"/>
        </w:rPr>
        <w:t xml:space="preserve"> prawns with the tail on (3,500 kilograms) and off (5,000 kilograms). These two separate batches were released before the laboratory result had been received. He concluded:</w:t>
      </w:r>
    </w:p>
    <w:p w14:paraId="294B7043" w14:textId="22329FB1" w:rsidR="00CC703E" w:rsidRPr="00F62047" w:rsidRDefault="00E37FDB">
      <w:pPr>
        <w:pStyle w:val="Quote"/>
      </w:pPr>
      <w:r w:rsidRPr="00F62047">
        <w:t>Overall, the circumstances surrounding the release of the consignment of prawns examined as part of this review would suggest that the primary cause of the mistaken release was human error or accidental oversight by the officer involved.</w:t>
      </w:r>
    </w:p>
    <w:p w14:paraId="4E1E9108" w14:textId="0DFA828C" w:rsidR="00CC703E" w:rsidRPr="00F62047" w:rsidRDefault="00E37FDB">
      <w:pPr>
        <w:pStyle w:val="Quote"/>
      </w:pPr>
      <w:r w:rsidRPr="00F62047">
        <w:t>However, further work undertaken during the examination indicates that this error may not be isolated, and similar mistaken releases may have occurred in the past and may continue to occur in the future if improvements to the controls are not implemented</w:t>
      </w:r>
      <w:r w:rsidR="00CF5688">
        <w:rPr>
          <w:vertAlign w:val="superscript"/>
        </w:rPr>
        <w:t>13</w:t>
      </w:r>
      <w:r w:rsidR="00ED6BC1">
        <w:rPr>
          <w:vertAlign w:val="superscript"/>
        </w:rPr>
        <w:t>3</w:t>
      </w:r>
      <w:r w:rsidRPr="00F62047">
        <w:t>.</w:t>
      </w:r>
    </w:p>
    <w:p w14:paraId="05AEBFD1" w14:textId="77777777" w:rsidR="00CC703E" w:rsidRPr="00F62047" w:rsidRDefault="00E37FDB">
      <w:pPr>
        <w:pStyle w:val="Quote"/>
      </w:pPr>
      <w:r w:rsidRPr="00F62047">
        <w:t>Based on my assessment, there is an extremely low likelihood that an amount of infected prawns likely to introduce WSSV infection entered high-risk pathways from this consignment.</w:t>
      </w:r>
    </w:p>
    <w:p w14:paraId="1C017B96" w14:textId="5E139116" w:rsidR="00CC703E" w:rsidRPr="00F62047" w:rsidRDefault="00E37FDB">
      <w:pPr>
        <w:pStyle w:val="Quote"/>
      </w:pPr>
      <w:r w:rsidRPr="00F62047">
        <w:t>There is a negligible likelihood that WSSV would have established in Australia as a result of the release of this consignment of prawns. This finding is principally underpinned by the conclusion above that there is an extremely low likelihood that significant numbers of infected prawns from this consignment entered high-risk pathways</w:t>
      </w:r>
      <w:r w:rsidR="00CF5688">
        <w:rPr>
          <w:vertAlign w:val="superscript"/>
        </w:rPr>
        <w:t>13</w:t>
      </w:r>
      <w:r w:rsidR="00ED6BC1">
        <w:rPr>
          <w:vertAlign w:val="superscript"/>
        </w:rPr>
        <w:t>4</w:t>
      </w:r>
      <w:r w:rsidRPr="00F62047">
        <w:t>.</w:t>
      </w:r>
    </w:p>
    <w:p w14:paraId="7FEEE7FB" w14:textId="1063FCFF" w:rsidR="00CC703E" w:rsidRDefault="00E37FDB">
      <w:pPr>
        <w:spacing w:after="0"/>
      </w:pPr>
      <w:r>
        <w:t>The IIGB recommended various measures to improve the reporting of laboratory results. Records show that the department implemented all the recommendations apart from one, about improving IT infrastructure:</w:t>
      </w:r>
    </w:p>
    <w:p w14:paraId="0B4674C2" w14:textId="583C15A6" w:rsidR="00CC703E" w:rsidRDefault="00E37FDB">
      <w:pPr>
        <w:pStyle w:val="Quote"/>
      </w:pPr>
      <w:r>
        <w:rPr>
          <w:lang w:eastAsia="en-AU"/>
        </w:rPr>
        <w:t xml:space="preserve">The development of a system interface between the laboratory and AIMS to allow for testing results to be directly input into AIMS, which would reduce the risk of human error. We understand that a similar automated update process has been implemented for consignments sent for testing under the </w:t>
      </w:r>
      <w:r>
        <w:rPr>
          <w:i/>
          <w:lang w:eastAsia="en-AU"/>
        </w:rPr>
        <w:t>Imported Food Control Act 1992</w:t>
      </w:r>
      <w:r>
        <w:rPr>
          <w:lang w:eastAsia="en-AU"/>
        </w:rPr>
        <w:t xml:space="preserve"> and BSG [the department] should evaluate whether this automated process can be extended to prawn releases</w:t>
      </w:r>
      <w:r w:rsidR="00CF5688">
        <w:rPr>
          <w:vertAlign w:val="superscript"/>
          <w:lang w:eastAsia="en-AU"/>
        </w:rPr>
        <w:t>13</w:t>
      </w:r>
      <w:r w:rsidR="00ED6BC1">
        <w:rPr>
          <w:vertAlign w:val="superscript"/>
          <w:lang w:eastAsia="en-AU"/>
        </w:rPr>
        <w:t>4</w:t>
      </w:r>
      <w:r>
        <w:rPr>
          <w:lang w:eastAsia="en-AU"/>
        </w:rPr>
        <w:t>.</w:t>
      </w:r>
    </w:p>
    <w:p w14:paraId="28F9F199" w14:textId="5ECB6F37" w:rsidR="00CC703E" w:rsidRDefault="00E37FDB">
      <w:pPr>
        <w:spacing w:after="0"/>
      </w:pPr>
      <w:r>
        <w:t>This recommendation is being implemented as part of the department’s current major biosecurity IT reform program. The Biosecurity Integrated Information System (BIIS) should be rolled out by 2019. It will improve the department’s ability to collect, collate and analyse information and result in better and more timely decision-making</w:t>
      </w:r>
      <w:r w:rsidR="00877CE4">
        <w:rPr>
          <w:vertAlign w:val="superscript"/>
        </w:rPr>
        <w:t>86</w:t>
      </w:r>
      <w:r>
        <w:t>.</w:t>
      </w:r>
    </w:p>
    <w:p w14:paraId="17B63A20" w14:textId="53F5FB65" w:rsidR="00CC703E" w:rsidRDefault="00E37FDB">
      <w:pPr>
        <w:spacing w:after="0"/>
      </w:pPr>
      <w:r>
        <w:lastRenderedPageBreak/>
        <w:t>The IIGB’s findings regarding the negligible risk of WSSV establishment related to this particular incident only. However, submissions to this IGB review indicate that his report may have inadvertently led to a more general perception that risks of a WSD outbreak in Australia were much lower than they later proved to be.</w:t>
      </w:r>
    </w:p>
    <w:p w14:paraId="44E0924D" w14:textId="77777777" w:rsidR="00CC703E" w:rsidRPr="008937FF" w:rsidRDefault="00E37FDB" w:rsidP="008937FF">
      <w:pPr>
        <w:pStyle w:val="Heading3"/>
        <w:rPr>
          <w:rStyle w:val="Heading3Char"/>
          <w:rFonts w:eastAsia="Calibri"/>
          <w:b/>
          <w:bCs/>
        </w:rPr>
      </w:pPr>
      <w:bookmarkStart w:id="188" w:name="_Toc500508409"/>
      <w:bookmarkStart w:id="189" w:name="_Toc490040491"/>
      <w:r w:rsidRPr="008937FF">
        <w:rPr>
          <w:rStyle w:val="Heading3Char"/>
          <w:rFonts w:eastAsia="Calibri"/>
          <w:b/>
          <w:bCs/>
        </w:rPr>
        <w:t>AAHL detection of WSSV in retail prawns, 2013</w:t>
      </w:r>
      <w:bookmarkEnd w:id="188"/>
    </w:p>
    <w:p w14:paraId="7659620C" w14:textId="277DC580" w:rsidR="00CC703E" w:rsidRDefault="00E37FDB">
      <w:pPr>
        <w:spacing w:after="0"/>
      </w:pPr>
      <w:r>
        <w:t xml:space="preserve">On 17 May 2013 AAHL advised the department that the three batches of imported prawns it had purchased at three </w:t>
      </w:r>
      <w:r w:rsidR="00A5797E">
        <w:t>different Geelong</w:t>
      </w:r>
      <w:r>
        <w:t xml:space="preserve"> supermarkets had tested positive for WSSV. On 13 December 2013 AAHL provided a follow-up report to the department advising that it had conducted further experiments using inocula from the WSSV-positive prawns it had purchased from supermarkets. These experiments confirmed that infectious WSSV was present at relatively high levels in the prawns available at retail outlets</w:t>
      </w:r>
      <w:r w:rsidR="002818DA">
        <w:t xml:space="preserve"> in Geelong</w:t>
      </w:r>
      <w:r>
        <w:t>.</w:t>
      </w:r>
    </w:p>
    <w:p w14:paraId="5E134A89" w14:textId="142F0795" w:rsidR="00CC703E" w:rsidRDefault="00E37FDB">
      <w:pPr>
        <w:spacing w:after="0"/>
      </w:pPr>
      <w:r>
        <w:t xml:space="preserve">At that time, </w:t>
      </w:r>
      <w:r w:rsidRPr="00A5797E">
        <w:t>the AAHL Fish Diseases Laboratory was</w:t>
      </w:r>
      <w:r>
        <w:t xml:space="preserve"> collaborating with the department on a project to deliver a regional proficiency program for South-East Asian aquatic animal disease diagnostic laboratories. Imported prawns were thought to be the most convenient source of negative control material for the proficiency test, assuming that they would have already tested negative for WSSV in order to be allowed into Australia. The positive test results for WSSV were therefore completely unexpected.</w:t>
      </w:r>
    </w:p>
    <w:p w14:paraId="251F646E" w14:textId="02321443" w:rsidR="00CC703E" w:rsidRDefault="00E37FDB">
      <w:pPr>
        <w:spacing w:after="0"/>
        <w:rPr>
          <w:rStyle w:val="Heading3Char"/>
          <w:rFonts w:eastAsia="Calibri"/>
          <w:bCs w:val="0"/>
          <w:color w:val="auto"/>
          <w:szCs w:val="22"/>
        </w:rPr>
      </w:pPr>
      <w:r>
        <w:t xml:space="preserve">The department considered it unlikely that source batches would have passed the mandatory post-arrival batch testing program, and </w:t>
      </w:r>
      <w:r w:rsidR="001A7ABD">
        <w:t>hence</w:t>
      </w:r>
      <w:r>
        <w:t xml:space="preserve"> suspected that the prawns may have been imported as marinated prawns (which did not </w:t>
      </w:r>
      <w:r w:rsidR="001A7ABD">
        <w:t>need</w:t>
      </w:r>
      <w:r>
        <w:t xml:space="preserve"> testing) and had the marinade washed off.</w:t>
      </w:r>
      <w:r w:rsidR="000A49D9">
        <w:t xml:space="preserve"> It did not share this information with states and territories.</w:t>
      </w:r>
    </w:p>
    <w:p w14:paraId="405C90B3" w14:textId="4B1667C8" w:rsidR="00CC703E" w:rsidRPr="008937FF" w:rsidRDefault="00E37FDB" w:rsidP="008937FF">
      <w:pPr>
        <w:pStyle w:val="Heading3"/>
      </w:pPr>
      <w:bookmarkStart w:id="190" w:name="_Toc500508410"/>
      <w:r w:rsidRPr="008937FF">
        <w:rPr>
          <w:rStyle w:val="Heading3Char"/>
          <w:rFonts w:eastAsia="Calibri"/>
          <w:b/>
          <w:bCs/>
        </w:rPr>
        <w:t>Operation East Leichhardt investigation into marinated prawn imports</w:t>
      </w:r>
      <w:bookmarkEnd w:id="189"/>
      <w:r w:rsidRPr="008937FF">
        <w:rPr>
          <w:rStyle w:val="Heading3Char"/>
          <w:rFonts w:eastAsia="Calibri"/>
          <w:b/>
          <w:bCs/>
        </w:rPr>
        <w:t>, 2014</w:t>
      </w:r>
      <w:bookmarkEnd w:id="190"/>
    </w:p>
    <w:p w14:paraId="3A27FA78" w14:textId="0793B3A8" w:rsidR="00CC703E" w:rsidRDefault="00E37FDB">
      <w:pPr>
        <w:tabs>
          <w:tab w:val="clear" w:pos="567"/>
        </w:tabs>
        <w:spacing w:after="0"/>
      </w:pPr>
      <w:r>
        <w:t>From 2010 a category of ‘marinated prawns’ had been included in a wider category of ‘highly processed prawns’ that were exempt from the WSSV and YHV testing requirements for other uncooked prawns. This was on the assumption that, if they were sufficiently marinated, they would be sold and used for human consumption only and not used as bait.</w:t>
      </w:r>
    </w:p>
    <w:p w14:paraId="2AC0A676" w14:textId="485FE555" w:rsidR="00CC703E" w:rsidRDefault="00E37FDB" w:rsidP="008937FF">
      <w:r>
        <w:t xml:space="preserve">From 2012 the department received industry allegations that </w:t>
      </w:r>
      <w:r>
        <w:rPr>
          <w:lang w:eastAsia="ja-JP"/>
        </w:rPr>
        <w:t>some commercial parties were importing highly processed (marinated) prawns to avoid the requirement for virus testing and then washing off the marinade in order to sell the product as raw, peeled prawns.</w:t>
      </w:r>
    </w:p>
    <w:p w14:paraId="3BBEC0AE" w14:textId="1D6E5798" w:rsidR="00CC703E" w:rsidRDefault="00E37FDB">
      <w:pPr>
        <w:tabs>
          <w:tab w:val="clear" w:pos="567"/>
        </w:tabs>
        <w:spacing w:after="0"/>
        <w:rPr>
          <w:lang w:eastAsia="ja-JP"/>
        </w:rPr>
      </w:pPr>
      <w:r>
        <w:t xml:space="preserve">This led to the implementation of Operation East Leichhardt in 2014. </w:t>
      </w:r>
      <w:r>
        <w:rPr>
          <w:lang w:eastAsia="ja-JP"/>
        </w:rPr>
        <w:t>Investigators aimed to test whether particular importers of marinated prawns complied with import conditions. Central to the operation was the possibility that some importers were using the ‘highly processed prawns’ description for marinated prawns to bypass testing requirements.</w:t>
      </w:r>
    </w:p>
    <w:p w14:paraId="1FF29573" w14:textId="7C834CA5" w:rsidR="00CC703E" w:rsidRDefault="00E37FDB">
      <w:pPr>
        <w:tabs>
          <w:tab w:val="clear" w:pos="567"/>
        </w:tabs>
        <w:spacing w:after="0"/>
        <w:rPr>
          <w:lang w:eastAsia="ja-JP"/>
        </w:rPr>
      </w:pPr>
      <w:r>
        <w:rPr>
          <w:lang w:eastAsia="ja-JP"/>
        </w:rPr>
        <w:lastRenderedPageBreak/>
        <w:t xml:space="preserve">Investigators focused on ‘at border’ inspections to ensure that there were required amounts of marinade on the prawns. </w:t>
      </w:r>
      <w:r w:rsidR="001A7ABD">
        <w:t xml:space="preserve">Five </w:t>
      </w:r>
      <w:r>
        <w:t xml:space="preserve">of 7 targeted consignments failed inspection because the prawns were inadequately covered with marinade. These consignments were not tested for WSSV but all 5 containers (containing 57.9 tonnes of prawn products) were re-exported. The exported containers </w:t>
      </w:r>
      <w:r>
        <w:rPr>
          <w:lang w:eastAsia="ja-JP"/>
        </w:rPr>
        <w:t xml:space="preserve">were also profiled to mitigate against a future re‐import attempt. The profiling </w:t>
      </w:r>
      <w:r w:rsidR="001A7ABD">
        <w:rPr>
          <w:lang w:eastAsia="ja-JP"/>
        </w:rPr>
        <w:t xml:space="preserve">found no </w:t>
      </w:r>
      <w:r>
        <w:rPr>
          <w:lang w:eastAsia="ja-JP"/>
        </w:rPr>
        <w:t>attempts to re‐import the previously exported goods in the same shipping container.</w:t>
      </w:r>
    </w:p>
    <w:p w14:paraId="385C2622" w14:textId="062E6676" w:rsidR="00CC703E" w:rsidRDefault="00E37FDB">
      <w:pPr>
        <w:tabs>
          <w:tab w:val="clear" w:pos="567"/>
        </w:tabs>
        <w:spacing w:after="0"/>
      </w:pPr>
      <w:r>
        <w:rPr>
          <w:lang w:eastAsia="ja-JP"/>
        </w:rPr>
        <w:t xml:space="preserve">Apart from export container profiling, no extra surveillance measures or other regulatory sanctions arose from Operation East Leichhardt. </w:t>
      </w:r>
      <w:r>
        <w:t>No importers were prosecuted and no fundamental changes were made at that time to wider import conditions. However, the operation did lead to more investigations of the imported prawn trade.</w:t>
      </w:r>
    </w:p>
    <w:p w14:paraId="422FB986" w14:textId="54FA7C6B" w:rsidR="00CC703E" w:rsidRDefault="00E37FDB" w:rsidP="003D65FF">
      <w:pPr>
        <w:tabs>
          <w:tab w:val="clear" w:pos="567"/>
        </w:tabs>
        <w:spacing w:after="0"/>
        <w:rPr>
          <w:lang w:eastAsia="ja-JP"/>
        </w:rPr>
      </w:pPr>
      <w:r>
        <w:rPr>
          <w:lang w:eastAsia="ja-JP"/>
        </w:rPr>
        <w:t xml:space="preserve">Operation East Leichardt identified significant subjectivity by inspectors who were implementing </w:t>
      </w:r>
      <w:r w:rsidR="00963081">
        <w:rPr>
          <w:lang w:eastAsia="ja-JP"/>
        </w:rPr>
        <w:t xml:space="preserve">verification of </w:t>
      </w:r>
      <w:r>
        <w:rPr>
          <w:lang w:eastAsia="ja-JP"/>
        </w:rPr>
        <w:t>import requirements for highly processed prawns. Its final report recommended that the operational processes for determining what were ‘highly processed prawns’ should be reviewed. Nevertheless, the problem was seen as one of specific non-compliance by a few importers rather than a wider problem.</w:t>
      </w:r>
    </w:p>
    <w:p w14:paraId="2E43ED2B" w14:textId="77777777" w:rsidR="005223EB" w:rsidRPr="008937FF" w:rsidRDefault="005223EB" w:rsidP="008937FF">
      <w:pPr>
        <w:pStyle w:val="Heading3"/>
        <w:rPr>
          <w:rStyle w:val="Heading3Char"/>
          <w:rFonts w:eastAsia="Calibri"/>
          <w:b/>
          <w:bCs/>
        </w:rPr>
      </w:pPr>
      <w:bookmarkStart w:id="191" w:name="_Toc500508411"/>
      <w:r w:rsidRPr="008937FF">
        <w:rPr>
          <w:rStyle w:val="Heading3Char"/>
          <w:rFonts w:eastAsia="Calibri"/>
          <w:b/>
          <w:bCs/>
        </w:rPr>
        <w:t>Non-compliance detected at border assessment and inspection 2013–14 to 2015–16</w:t>
      </w:r>
      <w:bookmarkEnd w:id="191"/>
    </w:p>
    <w:p w14:paraId="7EEE436A" w14:textId="77777777" w:rsidR="005223EB" w:rsidRPr="005223EB" w:rsidRDefault="005223EB" w:rsidP="005223EB">
      <w:pPr>
        <w:spacing w:before="60" w:after="0"/>
      </w:pPr>
      <w:r w:rsidRPr="005223EB">
        <w:t xml:space="preserve">Emerging doubts about the imported prawn trade led the department to begin tabulating and examining in detail non-compliance with prawn import conditions which was detected by border assessors and inspectors. </w:t>
      </w:r>
    </w:p>
    <w:p w14:paraId="159D2D93" w14:textId="3AA107B8" w:rsidR="005223EB" w:rsidRPr="005223EB" w:rsidRDefault="005223EB" w:rsidP="005223EB">
      <w:pPr>
        <w:spacing w:before="60" w:after="0"/>
      </w:pPr>
      <w:r w:rsidRPr="005223EB">
        <w:t>Between 2013–14 and 2015–16 the department identified many cases of potential or actual non-compliance with prawn import conditions (</w:t>
      </w:r>
      <w:r w:rsidR="007561F9">
        <w:fldChar w:fldCharType="begin"/>
      </w:r>
      <w:r w:rsidR="007561F9">
        <w:instrText xml:space="preserve"> REF _Ref499323259 \h </w:instrText>
      </w:r>
      <w:r w:rsidR="007561F9">
        <w:fldChar w:fldCharType="separate"/>
      </w:r>
      <w:r w:rsidR="00121BC1">
        <w:t xml:space="preserve">Table </w:t>
      </w:r>
      <w:r w:rsidR="00121BC1">
        <w:rPr>
          <w:noProof/>
        </w:rPr>
        <w:t>8</w:t>
      </w:r>
      <w:r w:rsidR="007561F9">
        <w:fldChar w:fldCharType="end"/>
      </w:r>
      <w:r w:rsidRPr="005223EB">
        <w:t>). The failed consignments violated entry-level, document or inspection requirements</w:t>
      </w:r>
      <w:r w:rsidR="007A0010">
        <w:t>:</w:t>
      </w:r>
    </w:p>
    <w:p w14:paraId="49EA21D1" w14:textId="77777777" w:rsidR="005223EB" w:rsidRPr="005223EB" w:rsidRDefault="005223EB" w:rsidP="008937FF">
      <w:pPr>
        <w:pStyle w:val="ListBullet"/>
      </w:pPr>
      <w:r w:rsidRPr="005223EB">
        <w:rPr>
          <w:b/>
        </w:rPr>
        <w:t>Entry level</w:t>
      </w:r>
      <w:r w:rsidRPr="005223EB">
        <w:t>—the broker/importer did not comply with import requirements</w:t>
      </w:r>
    </w:p>
    <w:p w14:paraId="3620185B" w14:textId="686FFB26" w:rsidR="005223EB" w:rsidRPr="005223EB" w:rsidRDefault="005223EB" w:rsidP="008937FF">
      <w:pPr>
        <w:pStyle w:val="ListBullet"/>
      </w:pPr>
      <w:r w:rsidRPr="005223EB">
        <w:rPr>
          <w:b/>
        </w:rPr>
        <w:t>Document related</w:t>
      </w:r>
      <w:r w:rsidRPr="005223EB">
        <w:t>—accompanying documentation did not fulfil the department’s Minimum Documentary and Import Declaration Requirements Policy</w:t>
      </w:r>
      <w:r w:rsidR="00E63BDE">
        <w:rPr>
          <w:vertAlign w:val="superscript"/>
        </w:rPr>
        <w:t>13</w:t>
      </w:r>
      <w:r w:rsidR="00ED6BC1">
        <w:rPr>
          <w:vertAlign w:val="superscript"/>
        </w:rPr>
        <w:t>5</w:t>
      </w:r>
    </w:p>
    <w:p w14:paraId="08533533" w14:textId="210394A6" w:rsidR="005223EB" w:rsidRPr="005223EB" w:rsidRDefault="005223EB" w:rsidP="008937FF">
      <w:pPr>
        <w:pStyle w:val="ListBullet"/>
      </w:pPr>
      <w:r w:rsidRPr="005223EB">
        <w:rPr>
          <w:b/>
        </w:rPr>
        <w:t>Inspection related</w:t>
      </w:r>
      <w:r w:rsidRPr="005223EB">
        <w:t>—imported product did not meet mandatory import requirements</w:t>
      </w:r>
      <w:r w:rsidR="00FD7BFE">
        <w:t>, and</w:t>
      </w:r>
    </w:p>
    <w:p w14:paraId="7B2CACB5" w14:textId="77777777" w:rsidR="005223EB" w:rsidRPr="005223EB" w:rsidRDefault="005223EB" w:rsidP="008937FF">
      <w:pPr>
        <w:pStyle w:val="ListBullet"/>
      </w:pPr>
      <w:r w:rsidRPr="005223EB">
        <w:rPr>
          <w:b/>
        </w:rPr>
        <w:t>other</w:t>
      </w:r>
      <w:r w:rsidRPr="005223EB">
        <w:t>.</w:t>
      </w:r>
    </w:p>
    <w:p w14:paraId="30A36C0C" w14:textId="0874C4AE" w:rsidR="00750E24" w:rsidRPr="005223EB" w:rsidRDefault="00750E24" w:rsidP="00750E24">
      <w:pPr>
        <w:pStyle w:val="Caption"/>
        <w:rPr>
          <w:b w:val="0"/>
          <w:bCs w:val="0"/>
        </w:rPr>
      </w:pPr>
      <w:bookmarkStart w:id="192" w:name="_Ref499323259"/>
      <w:bookmarkStart w:id="193" w:name="_Toc500508485"/>
      <w:r>
        <w:t xml:space="preserve">Table </w:t>
      </w:r>
      <w:r w:rsidR="00F329C0">
        <w:fldChar w:fldCharType="begin"/>
      </w:r>
      <w:r w:rsidR="00F329C0">
        <w:instrText xml:space="preserve"> SEQ Table \* ARABIC </w:instrText>
      </w:r>
      <w:r w:rsidR="00F329C0">
        <w:fldChar w:fldCharType="separate"/>
      </w:r>
      <w:r w:rsidR="00121BC1">
        <w:rPr>
          <w:noProof/>
        </w:rPr>
        <w:t>8</w:t>
      </w:r>
      <w:r w:rsidR="00F329C0">
        <w:rPr>
          <w:noProof/>
        </w:rPr>
        <w:fldChar w:fldCharType="end"/>
      </w:r>
      <w:bookmarkEnd w:id="192"/>
      <w:r w:rsidRPr="00750E24">
        <w:t xml:space="preserve"> </w:t>
      </w:r>
      <w:r w:rsidRPr="005F2672">
        <w:t>Non-compliance with import conditions for prawn consignments, 2013–14 to 2015–16</w:t>
      </w:r>
      <w:bookmarkEnd w:id="193"/>
    </w:p>
    <w:tbl>
      <w:tblPr>
        <w:tblStyle w:val="GridTable1Light-Accent3"/>
        <w:tblW w:w="0" w:type="auto"/>
        <w:tblLayout w:type="fixed"/>
        <w:tblLook w:val="04A0" w:firstRow="1" w:lastRow="0" w:firstColumn="1" w:lastColumn="0" w:noHBand="0" w:noVBand="1"/>
      </w:tblPr>
      <w:tblGrid>
        <w:gridCol w:w="2405"/>
        <w:gridCol w:w="1205"/>
        <w:gridCol w:w="1205"/>
        <w:gridCol w:w="1205"/>
        <w:gridCol w:w="1205"/>
      </w:tblGrid>
      <w:tr w:rsidR="005223EB" w:rsidRPr="005223EB" w14:paraId="50BE1ABE" w14:textId="77777777" w:rsidTr="00ED7FB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tcBorders>
            <w:noWrap/>
          </w:tcPr>
          <w:p w14:paraId="6FE434FA" w14:textId="77777777" w:rsidR="005223EB" w:rsidRPr="005223EB" w:rsidRDefault="005223EB" w:rsidP="004A22E2">
            <w:pPr>
              <w:pStyle w:val="Tabletext"/>
            </w:pPr>
            <w:r w:rsidRPr="005223EB">
              <w:t>Nature of non-compliance</w:t>
            </w:r>
          </w:p>
        </w:tc>
        <w:tc>
          <w:tcPr>
            <w:tcW w:w="1205" w:type="dxa"/>
            <w:tcBorders>
              <w:top w:val="single" w:sz="4" w:space="0" w:color="auto"/>
            </w:tcBorders>
            <w:noWrap/>
          </w:tcPr>
          <w:p w14:paraId="20D145E5" w14:textId="77777777" w:rsidR="005223EB" w:rsidRPr="005223EB" w:rsidRDefault="005223EB" w:rsidP="004A22E2">
            <w:pPr>
              <w:pStyle w:val="Tabletext"/>
              <w:cnfStyle w:val="100000000000" w:firstRow="1" w:lastRow="0" w:firstColumn="0" w:lastColumn="0" w:oddVBand="0" w:evenVBand="0" w:oddHBand="0" w:evenHBand="0" w:firstRowFirstColumn="0" w:firstRowLastColumn="0" w:lastRowFirstColumn="0" w:lastRowLastColumn="0"/>
              <w:rPr>
                <w:bCs w:val="0"/>
              </w:rPr>
            </w:pPr>
            <w:r w:rsidRPr="005223EB">
              <w:t>2013–14</w:t>
            </w:r>
          </w:p>
        </w:tc>
        <w:tc>
          <w:tcPr>
            <w:tcW w:w="1205" w:type="dxa"/>
            <w:tcBorders>
              <w:top w:val="single" w:sz="4" w:space="0" w:color="auto"/>
            </w:tcBorders>
            <w:noWrap/>
          </w:tcPr>
          <w:p w14:paraId="17732B66" w14:textId="77777777" w:rsidR="005223EB" w:rsidRPr="005223EB" w:rsidRDefault="005223EB" w:rsidP="004A22E2">
            <w:pPr>
              <w:pStyle w:val="Tabletext"/>
              <w:cnfStyle w:val="100000000000" w:firstRow="1" w:lastRow="0" w:firstColumn="0" w:lastColumn="0" w:oddVBand="0" w:evenVBand="0" w:oddHBand="0" w:evenHBand="0" w:firstRowFirstColumn="0" w:firstRowLastColumn="0" w:lastRowFirstColumn="0" w:lastRowLastColumn="0"/>
              <w:rPr>
                <w:bCs w:val="0"/>
              </w:rPr>
            </w:pPr>
            <w:r w:rsidRPr="005223EB">
              <w:t>2014–15</w:t>
            </w:r>
          </w:p>
        </w:tc>
        <w:tc>
          <w:tcPr>
            <w:tcW w:w="1205" w:type="dxa"/>
            <w:tcBorders>
              <w:top w:val="single" w:sz="4" w:space="0" w:color="auto"/>
            </w:tcBorders>
            <w:noWrap/>
          </w:tcPr>
          <w:p w14:paraId="3854AD4A" w14:textId="77777777" w:rsidR="005223EB" w:rsidRPr="005223EB" w:rsidRDefault="005223EB" w:rsidP="004A22E2">
            <w:pPr>
              <w:pStyle w:val="Tabletext"/>
              <w:cnfStyle w:val="100000000000" w:firstRow="1" w:lastRow="0" w:firstColumn="0" w:lastColumn="0" w:oddVBand="0" w:evenVBand="0" w:oddHBand="0" w:evenHBand="0" w:firstRowFirstColumn="0" w:firstRowLastColumn="0" w:lastRowFirstColumn="0" w:lastRowLastColumn="0"/>
              <w:rPr>
                <w:bCs w:val="0"/>
              </w:rPr>
            </w:pPr>
            <w:r w:rsidRPr="005223EB">
              <w:t>2015–16</w:t>
            </w:r>
          </w:p>
        </w:tc>
        <w:tc>
          <w:tcPr>
            <w:tcW w:w="1205" w:type="dxa"/>
            <w:tcBorders>
              <w:top w:val="single" w:sz="4" w:space="0" w:color="auto"/>
            </w:tcBorders>
          </w:tcPr>
          <w:p w14:paraId="2388C36E" w14:textId="77777777" w:rsidR="005223EB" w:rsidRPr="005223EB" w:rsidRDefault="005223EB" w:rsidP="004A22E2">
            <w:pPr>
              <w:pStyle w:val="Tabletext"/>
              <w:cnfStyle w:val="100000000000" w:firstRow="1" w:lastRow="0" w:firstColumn="0" w:lastColumn="0" w:oddVBand="0" w:evenVBand="0" w:oddHBand="0" w:evenHBand="0" w:firstRowFirstColumn="0" w:firstRowLastColumn="0" w:lastRowFirstColumn="0" w:lastRowLastColumn="0"/>
              <w:rPr>
                <w:bCs w:val="0"/>
              </w:rPr>
            </w:pPr>
            <w:r w:rsidRPr="005223EB">
              <w:t>Total</w:t>
            </w:r>
          </w:p>
        </w:tc>
      </w:tr>
      <w:tr w:rsidR="005223EB" w:rsidRPr="005223EB" w14:paraId="56C9D2C8" w14:textId="77777777" w:rsidTr="00ED7FBA">
        <w:trPr>
          <w:trHeight w:val="300"/>
        </w:trPr>
        <w:tc>
          <w:tcPr>
            <w:cnfStyle w:val="001000000000" w:firstRow="0" w:lastRow="0" w:firstColumn="1" w:lastColumn="0" w:oddVBand="0" w:evenVBand="0" w:oddHBand="0" w:evenHBand="0" w:firstRowFirstColumn="0" w:firstRowLastColumn="0" w:lastRowFirstColumn="0" w:lastRowLastColumn="0"/>
            <w:tcW w:w="2405" w:type="dxa"/>
            <w:noWrap/>
          </w:tcPr>
          <w:p w14:paraId="2814C550" w14:textId="77777777" w:rsidR="005223EB" w:rsidRPr="005223EB" w:rsidRDefault="005223EB" w:rsidP="004A22E2">
            <w:pPr>
              <w:pStyle w:val="Tabletext"/>
              <w:rPr>
                <w:b w:val="0"/>
              </w:rPr>
            </w:pPr>
            <w:r w:rsidRPr="005223EB">
              <w:t>Entry level (broker)</w:t>
            </w:r>
          </w:p>
        </w:tc>
        <w:tc>
          <w:tcPr>
            <w:tcW w:w="1205" w:type="dxa"/>
            <w:noWrap/>
          </w:tcPr>
          <w:p w14:paraId="3FE2632E" w14:textId="77777777" w:rsidR="005223EB" w:rsidRPr="005223EB" w:rsidRDefault="005223EB" w:rsidP="004A22E2">
            <w:pPr>
              <w:pStyle w:val="Tabletext"/>
              <w:cnfStyle w:val="000000000000" w:firstRow="0" w:lastRow="0" w:firstColumn="0" w:lastColumn="0" w:oddVBand="0" w:evenVBand="0" w:oddHBand="0" w:evenHBand="0" w:firstRowFirstColumn="0" w:firstRowLastColumn="0" w:lastRowFirstColumn="0" w:lastRowLastColumn="0"/>
            </w:pPr>
            <w:r w:rsidRPr="005223EB">
              <w:t>136</w:t>
            </w:r>
          </w:p>
        </w:tc>
        <w:tc>
          <w:tcPr>
            <w:tcW w:w="1205" w:type="dxa"/>
            <w:noWrap/>
          </w:tcPr>
          <w:p w14:paraId="6B03C2BC" w14:textId="77777777" w:rsidR="005223EB" w:rsidRPr="005223EB" w:rsidRDefault="005223EB" w:rsidP="004A22E2">
            <w:pPr>
              <w:pStyle w:val="Tabletext"/>
              <w:cnfStyle w:val="000000000000" w:firstRow="0" w:lastRow="0" w:firstColumn="0" w:lastColumn="0" w:oddVBand="0" w:evenVBand="0" w:oddHBand="0" w:evenHBand="0" w:firstRowFirstColumn="0" w:firstRowLastColumn="0" w:lastRowFirstColumn="0" w:lastRowLastColumn="0"/>
            </w:pPr>
            <w:r w:rsidRPr="005223EB">
              <w:t>402</w:t>
            </w:r>
          </w:p>
        </w:tc>
        <w:tc>
          <w:tcPr>
            <w:tcW w:w="1205" w:type="dxa"/>
            <w:noWrap/>
          </w:tcPr>
          <w:p w14:paraId="0A529D23" w14:textId="77777777" w:rsidR="005223EB" w:rsidRPr="005223EB" w:rsidRDefault="005223EB" w:rsidP="004A22E2">
            <w:pPr>
              <w:pStyle w:val="Tabletext"/>
              <w:cnfStyle w:val="000000000000" w:firstRow="0" w:lastRow="0" w:firstColumn="0" w:lastColumn="0" w:oddVBand="0" w:evenVBand="0" w:oddHBand="0" w:evenHBand="0" w:firstRowFirstColumn="0" w:firstRowLastColumn="0" w:lastRowFirstColumn="0" w:lastRowLastColumn="0"/>
            </w:pPr>
            <w:r w:rsidRPr="005223EB">
              <w:t>329</w:t>
            </w:r>
          </w:p>
        </w:tc>
        <w:tc>
          <w:tcPr>
            <w:tcW w:w="1205" w:type="dxa"/>
          </w:tcPr>
          <w:p w14:paraId="1E62FE7D" w14:textId="4EB1E1A8" w:rsidR="005223EB" w:rsidRPr="005223EB" w:rsidRDefault="00B17BB8" w:rsidP="00B17BB8">
            <w:pPr>
              <w:pStyle w:val="Tabletext"/>
              <w:cnfStyle w:val="000000000000" w:firstRow="0" w:lastRow="0" w:firstColumn="0" w:lastColumn="0" w:oddVBand="0" w:evenVBand="0" w:oddHBand="0" w:evenHBand="0" w:firstRowFirstColumn="0" w:firstRowLastColumn="0" w:lastRowFirstColumn="0" w:lastRowLastColumn="0"/>
            </w:pPr>
            <w:r>
              <w:t>867</w:t>
            </w:r>
          </w:p>
        </w:tc>
      </w:tr>
      <w:tr w:rsidR="005223EB" w:rsidRPr="005223EB" w14:paraId="3BCA5FC9" w14:textId="77777777" w:rsidTr="00ED7FBA">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7A8268A" w14:textId="77777777" w:rsidR="005223EB" w:rsidRPr="005223EB" w:rsidRDefault="005223EB" w:rsidP="004A22E2">
            <w:pPr>
              <w:pStyle w:val="Tabletext"/>
              <w:rPr>
                <w:b w:val="0"/>
              </w:rPr>
            </w:pPr>
            <w:r w:rsidRPr="005223EB">
              <w:t>Document related</w:t>
            </w:r>
          </w:p>
        </w:tc>
        <w:tc>
          <w:tcPr>
            <w:tcW w:w="1205" w:type="dxa"/>
            <w:noWrap/>
            <w:hideMark/>
          </w:tcPr>
          <w:p w14:paraId="28DB347B" w14:textId="77777777" w:rsidR="005223EB" w:rsidRPr="005223EB" w:rsidRDefault="005223EB" w:rsidP="004A22E2">
            <w:pPr>
              <w:pStyle w:val="Tabletext"/>
              <w:cnfStyle w:val="000000000000" w:firstRow="0" w:lastRow="0" w:firstColumn="0" w:lastColumn="0" w:oddVBand="0" w:evenVBand="0" w:oddHBand="0" w:evenHBand="0" w:firstRowFirstColumn="0" w:firstRowLastColumn="0" w:lastRowFirstColumn="0" w:lastRowLastColumn="0"/>
            </w:pPr>
            <w:r w:rsidRPr="005223EB">
              <w:t>79</w:t>
            </w:r>
          </w:p>
        </w:tc>
        <w:tc>
          <w:tcPr>
            <w:tcW w:w="1205" w:type="dxa"/>
            <w:noWrap/>
            <w:hideMark/>
          </w:tcPr>
          <w:p w14:paraId="7C791CEF" w14:textId="77777777" w:rsidR="005223EB" w:rsidRPr="005223EB" w:rsidRDefault="005223EB" w:rsidP="004A22E2">
            <w:pPr>
              <w:pStyle w:val="Tabletext"/>
              <w:cnfStyle w:val="000000000000" w:firstRow="0" w:lastRow="0" w:firstColumn="0" w:lastColumn="0" w:oddVBand="0" w:evenVBand="0" w:oddHBand="0" w:evenHBand="0" w:firstRowFirstColumn="0" w:firstRowLastColumn="0" w:lastRowFirstColumn="0" w:lastRowLastColumn="0"/>
            </w:pPr>
            <w:r w:rsidRPr="005223EB">
              <w:t>350</w:t>
            </w:r>
          </w:p>
        </w:tc>
        <w:tc>
          <w:tcPr>
            <w:tcW w:w="1205" w:type="dxa"/>
            <w:noWrap/>
            <w:hideMark/>
          </w:tcPr>
          <w:p w14:paraId="4D57FD40" w14:textId="77777777" w:rsidR="005223EB" w:rsidRPr="005223EB" w:rsidRDefault="005223EB" w:rsidP="004A22E2">
            <w:pPr>
              <w:pStyle w:val="Tabletext"/>
              <w:cnfStyle w:val="000000000000" w:firstRow="0" w:lastRow="0" w:firstColumn="0" w:lastColumn="0" w:oddVBand="0" w:evenVBand="0" w:oddHBand="0" w:evenHBand="0" w:firstRowFirstColumn="0" w:firstRowLastColumn="0" w:lastRowFirstColumn="0" w:lastRowLastColumn="0"/>
            </w:pPr>
            <w:r w:rsidRPr="005223EB">
              <w:t>233</w:t>
            </w:r>
          </w:p>
        </w:tc>
        <w:tc>
          <w:tcPr>
            <w:tcW w:w="1205" w:type="dxa"/>
          </w:tcPr>
          <w:p w14:paraId="439B66FA" w14:textId="77777777" w:rsidR="005223EB" w:rsidRPr="005223EB" w:rsidRDefault="005223EB" w:rsidP="004A22E2">
            <w:pPr>
              <w:pStyle w:val="Tabletext"/>
              <w:cnfStyle w:val="000000000000" w:firstRow="0" w:lastRow="0" w:firstColumn="0" w:lastColumn="0" w:oddVBand="0" w:evenVBand="0" w:oddHBand="0" w:evenHBand="0" w:firstRowFirstColumn="0" w:firstRowLastColumn="0" w:lastRowFirstColumn="0" w:lastRowLastColumn="0"/>
            </w:pPr>
            <w:r w:rsidRPr="005223EB">
              <w:t>662</w:t>
            </w:r>
          </w:p>
        </w:tc>
      </w:tr>
      <w:tr w:rsidR="005223EB" w:rsidRPr="005223EB" w14:paraId="7F83D910" w14:textId="77777777" w:rsidTr="00ED7FBA">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DC96920" w14:textId="77777777" w:rsidR="005223EB" w:rsidRPr="005223EB" w:rsidRDefault="005223EB" w:rsidP="004A22E2">
            <w:pPr>
              <w:pStyle w:val="Tabletext"/>
              <w:rPr>
                <w:b w:val="0"/>
              </w:rPr>
            </w:pPr>
            <w:r w:rsidRPr="005223EB">
              <w:t>Inspection related</w:t>
            </w:r>
          </w:p>
        </w:tc>
        <w:tc>
          <w:tcPr>
            <w:tcW w:w="1205" w:type="dxa"/>
            <w:noWrap/>
            <w:hideMark/>
          </w:tcPr>
          <w:p w14:paraId="12D2D8EE" w14:textId="77777777" w:rsidR="005223EB" w:rsidRPr="005223EB" w:rsidRDefault="005223EB" w:rsidP="004A22E2">
            <w:pPr>
              <w:pStyle w:val="Tabletext"/>
              <w:cnfStyle w:val="000000000000" w:firstRow="0" w:lastRow="0" w:firstColumn="0" w:lastColumn="0" w:oddVBand="0" w:evenVBand="0" w:oddHBand="0" w:evenHBand="0" w:firstRowFirstColumn="0" w:firstRowLastColumn="0" w:lastRowFirstColumn="0" w:lastRowLastColumn="0"/>
            </w:pPr>
            <w:r w:rsidRPr="005223EB">
              <w:t>95</w:t>
            </w:r>
          </w:p>
        </w:tc>
        <w:tc>
          <w:tcPr>
            <w:tcW w:w="1205" w:type="dxa"/>
            <w:noWrap/>
            <w:hideMark/>
          </w:tcPr>
          <w:p w14:paraId="3DD8CFF1" w14:textId="77777777" w:rsidR="005223EB" w:rsidRPr="005223EB" w:rsidRDefault="005223EB" w:rsidP="004A22E2">
            <w:pPr>
              <w:pStyle w:val="Tabletext"/>
              <w:cnfStyle w:val="000000000000" w:firstRow="0" w:lastRow="0" w:firstColumn="0" w:lastColumn="0" w:oddVBand="0" w:evenVBand="0" w:oddHBand="0" w:evenHBand="0" w:firstRowFirstColumn="0" w:firstRowLastColumn="0" w:lastRowFirstColumn="0" w:lastRowLastColumn="0"/>
            </w:pPr>
            <w:r w:rsidRPr="005223EB">
              <w:t>147</w:t>
            </w:r>
          </w:p>
        </w:tc>
        <w:tc>
          <w:tcPr>
            <w:tcW w:w="1205" w:type="dxa"/>
            <w:noWrap/>
            <w:hideMark/>
          </w:tcPr>
          <w:p w14:paraId="41AE3435" w14:textId="77777777" w:rsidR="005223EB" w:rsidRPr="005223EB" w:rsidRDefault="005223EB" w:rsidP="004A22E2">
            <w:pPr>
              <w:pStyle w:val="Tabletext"/>
              <w:cnfStyle w:val="000000000000" w:firstRow="0" w:lastRow="0" w:firstColumn="0" w:lastColumn="0" w:oddVBand="0" w:evenVBand="0" w:oddHBand="0" w:evenHBand="0" w:firstRowFirstColumn="0" w:firstRowLastColumn="0" w:lastRowFirstColumn="0" w:lastRowLastColumn="0"/>
            </w:pPr>
            <w:r w:rsidRPr="005223EB">
              <w:t>197</w:t>
            </w:r>
          </w:p>
        </w:tc>
        <w:tc>
          <w:tcPr>
            <w:tcW w:w="1205" w:type="dxa"/>
          </w:tcPr>
          <w:p w14:paraId="53159F0F" w14:textId="77777777" w:rsidR="005223EB" w:rsidRPr="005223EB" w:rsidRDefault="005223EB" w:rsidP="004A22E2">
            <w:pPr>
              <w:pStyle w:val="Tabletext"/>
              <w:cnfStyle w:val="000000000000" w:firstRow="0" w:lastRow="0" w:firstColumn="0" w:lastColumn="0" w:oddVBand="0" w:evenVBand="0" w:oddHBand="0" w:evenHBand="0" w:firstRowFirstColumn="0" w:firstRowLastColumn="0" w:lastRowFirstColumn="0" w:lastRowLastColumn="0"/>
            </w:pPr>
            <w:r w:rsidRPr="005223EB">
              <w:t>439</w:t>
            </w:r>
          </w:p>
        </w:tc>
      </w:tr>
      <w:tr w:rsidR="005223EB" w:rsidRPr="005223EB" w14:paraId="2084C4B4" w14:textId="77777777" w:rsidTr="00ED7FBA">
        <w:trPr>
          <w:trHeight w:val="300"/>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02B3A1F" w14:textId="77777777" w:rsidR="005223EB" w:rsidRPr="005223EB" w:rsidRDefault="005223EB" w:rsidP="004A22E2">
            <w:pPr>
              <w:pStyle w:val="Tabletext"/>
            </w:pPr>
            <w:r w:rsidRPr="005223EB">
              <w:t>Other</w:t>
            </w:r>
          </w:p>
        </w:tc>
        <w:tc>
          <w:tcPr>
            <w:tcW w:w="1205" w:type="dxa"/>
            <w:noWrap/>
            <w:hideMark/>
          </w:tcPr>
          <w:p w14:paraId="15615BC1" w14:textId="77777777" w:rsidR="005223EB" w:rsidRPr="005223EB" w:rsidRDefault="005223EB" w:rsidP="004A22E2">
            <w:pPr>
              <w:pStyle w:val="Tabletext"/>
              <w:cnfStyle w:val="000000000000" w:firstRow="0" w:lastRow="0" w:firstColumn="0" w:lastColumn="0" w:oddVBand="0" w:evenVBand="0" w:oddHBand="0" w:evenHBand="0" w:firstRowFirstColumn="0" w:firstRowLastColumn="0" w:lastRowFirstColumn="0" w:lastRowLastColumn="0"/>
            </w:pPr>
            <w:r w:rsidRPr="005223EB">
              <w:t>10</w:t>
            </w:r>
          </w:p>
        </w:tc>
        <w:tc>
          <w:tcPr>
            <w:tcW w:w="1205" w:type="dxa"/>
            <w:noWrap/>
            <w:hideMark/>
          </w:tcPr>
          <w:p w14:paraId="5309C033" w14:textId="77777777" w:rsidR="005223EB" w:rsidRPr="005223EB" w:rsidRDefault="005223EB" w:rsidP="004A22E2">
            <w:pPr>
              <w:pStyle w:val="Tabletext"/>
              <w:cnfStyle w:val="000000000000" w:firstRow="0" w:lastRow="0" w:firstColumn="0" w:lastColumn="0" w:oddVBand="0" w:evenVBand="0" w:oddHBand="0" w:evenHBand="0" w:firstRowFirstColumn="0" w:firstRowLastColumn="0" w:lastRowFirstColumn="0" w:lastRowLastColumn="0"/>
            </w:pPr>
            <w:r w:rsidRPr="005223EB">
              <w:t>32</w:t>
            </w:r>
          </w:p>
        </w:tc>
        <w:tc>
          <w:tcPr>
            <w:tcW w:w="1205" w:type="dxa"/>
            <w:noWrap/>
            <w:hideMark/>
          </w:tcPr>
          <w:p w14:paraId="381F3881" w14:textId="77777777" w:rsidR="005223EB" w:rsidRPr="005223EB" w:rsidRDefault="005223EB" w:rsidP="004A22E2">
            <w:pPr>
              <w:pStyle w:val="Tabletext"/>
              <w:cnfStyle w:val="000000000000" w:firstRow="0" w:lastRow="0" w:firstColumn="0" w:lastColumn="0" w:oddVBand="0" w:evenVBand="0" w:oddHBand="0" w:evenHBand="0" w:firstRowFirstColumn="0" w:firstRowLastColumn="0" w:lastRowFirstColumn="0" w:lastRowLastColumn="0"/>
            </w:pPr>
            <w:r w:rsidRPr="005223EB">
              <w:t>38</w:t>
            </w:r>
          </w:p>
        </w:tc>
        <w:tc>
          <w:tcPr>
            <w:tcW w:w="1205" w:type="dxa"/>
          </w:tcPr>
          <w:p w14:paraId="20C77FF6" w14:textId="77777777" w:rsidR="005223EB" w:rsidRPr="005223EB" w:rsidRDefault="005223EB" w:rsidP="004A22E2">
            <w:pPr>
              <w:pStyle w:val="Tabletext"/>
              <w:cnfStyle w:val="000000000000" w:firstRow="0" w:lastRow="0" w:firstColumn="0" w:lastColumn="0" w:oddVBand="0" w:evenVBand="0" w:oddHBand="0" w:evenHBand="0" w:firstRowFirstColumn="0" w:firstRowLastColumn="0" w:lastRowFirstColumn="0" w:lastRowLastColumn="0"/>
            </w:pPr>
            <w:r w:rsidRPr="005223EB">
              <w:t>80</w:t>
            </w:r>
          </w:p>
        </w:tc>
      </w:tr>
      <w:tr w:rsidR="005223EB" w:rsidRPr="005223EB" w14:paraId="675CFB17" w14:textId="77777777" w:rsidTr="00ED7FBA">
        <w:trPr>
          <w:trHeight w:val="300"/>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auto"/>
            </w:tcBorders>
            <w:noWrap/>
          </w:tcPr>
          <w:p w14:paraId="207AFA0B" w14:textId="77777777" w:rsidR="005223EB" w:rsidRPr="005223EB" w:rsidRDefault="005223EB" w:rsidP="004A22E2">
            <w:pPr>
              <w:pStyle w:val="Tabletext"/>
            </w:pPr>
            <w:r w:rsidRPr="005223EB">
              <w:t>Total</w:t>
            </w:r>
          </w:p>
        </w:tc>
        <w:tc>
          <w:tcPr>
            <w:tcW w:w="1205" w:type="dxa"/>
            <w:tcBorders>
              <w:bottom w:val="single" w:sz="4" w:space="0" w:color="auto"/>
            </w:tcBorders>
            <w:noWrap/>
          </w:tcPr>
          <w:p w14:paraId="28D74ADE" w14:textId="77777777" w:rsidR="005223EB" w:rsidRPr="005223EB" w:rsidRDefault="005223EB" w:rsidP="004A22E2">
            <w:pPr>
              <w:pStyle w:val="Tabletext"/>
              <w:cnfStyle w:val="000000000000" w:firstRow="0" w:lastRow="0" w:firstColumn="0" w:lastColumn="0" w:oddVBand="0" w:evenVBand="0" w:oddHBand="0" w:evenHBand="0" w:firstRowFirstColumn="0" w:firstRowLastColumn="0" w:lastRowFirstColumn="0" w:lastRowLastColumn="0"/>
            </w:pPr>
            <w:r w:rsidRPr="005223EB">
              <w:t>320</w:t>
            </w:r>
          </w:p>
        </w:tc>
        <w:tc>
          <w:tcPr>
            <w:tcW w:w="1205" w:type="dxa"/>
            <w:tcBorders>
              <w:bottom w:val="single" w:sz="4" w:space="0" w:color="auto"/>
            </w:tcBorders>
            <w:noWrap/>
          </w:tcPr>
          <w:p w14:paraId="665FFC70" w14:textId="77777777" w:rsidR="005223EB" w:rsidRPr="005223EB" w:rsidRDefault="005223EB" w:rsidP="004A22E2">
            <w:pPr>
              <w:pStyle w:val="Tabletext"/>
              <w:cnfStyle w:val="000000000000" w:firstRow="0" w:lastRow="0" w:firstColumn="0" w:lastColumn="0" w:oddVBand="0" w:evenVBand="0" w:oddHBand="0" w:evenHBand="0" w:firstRowFirstColumn="0" w:firstRowLastColumn="0" w:lastRowFirstColumn="0" w:lastRowLastColumn="0"/>
            </w:pPr>
            <w:r w:rsidRPr="005223EB">
              <w:t>931</w:t>
            </w:r>
          </w:p>
        </w:tc>
        <w:tc>
          <w:tcPr>
            <w:tcW w:w="1205" w:type="dxa"/>
            <w:tcBorders>
              <w:bottom w:val="single" w:sz="4" w:space="0" w:color="auto"/>
            </w:tcBorders>
            <w:noWrap/>
          </w:tcPr>
          <w:p w14:paraId="0B645412" w14:textId="77777777" w:rsidR="005223EB" w:rsidRPr="005223EB" w:rsidRDefault="005223EB" w:rsidP="004A22E2">
            <w:pPr>
              <w:pStyle w:val="Tabletext"/>
              <w:cnfStyle w:val="000000000000" w:firstRow="0" w:lastRow="0" w:firstColumn="0" w:lastColumn="0" w:oddVBand="0" w:evenVBand="0" w:oddHBand="0" w:evenHBand="0" w:firstRowFirstColumn="0" w:firstRowLastColumn="0" w:lastRowFirstColumn="0" w:lastRowLastColumn="0"/>
            </w:pPr>
            <w:r w:rsidRPr="005223EB">
              <w:t>797</w:t>
            </w:r>
          </w:p>
        </w:tc>
        <w:tc>
          <w:tcPr>
            <w:tcW w:w="1205" w:type="dxa"/>
            <w:tcBorders>
              <w:bottom w:val="single" w:sz="4" w:space="0" w:color="auto"/>
            </w:tcBorders>
          </w:tcPr>
          <w:p w14:paraId="22F9E1ED" w14:textId="77777777" w:rsidR="005223EB" w:rsidRPr="005223EB" w:rsidRDefault="005223EB" w:rsidP="004A22E2">
            <w:pPr>
              <w:pStyle w:val="Tabletext"/>
              <w:cnfStyle w:val="000000000000" w:firstRow="0" w:lastRow="0" w:firstColumn="0" w:lastColumn="0" w:oddVBand="0" w:evenVBand="0" w:oddHBand="0" w:evenHBand="0" w:firstRowFirstColumn="0" w:firstRowLastColumn="0" w:lastRowFirstColumn="0" w:lastRowLastColumn="0"/>
            </w:pPr>
            <w:r w:rsidRPr="005223EB">
              <w:t>2,048</w:t>
            </w:r>
          </w:p>
        </w:tc>
      </w:tr>
    </w:tbl>
    <w:p w14:paraId="751991D2" w14:textId="14E3C345" w:rsidR="005223EB" w:rsidRPr="005223EB" w:rsidRDefault="005223EB" w:rsidP="004A22E2">
      <w:pPr>
        <w:pStyle w:val="FigureTableNoteSource"/>
      </w:pPr>
      <w:r w:rsidRPr="005223EB">
        <w:lastRenderedPageBreak/>
        <w:t xml:space="preserve">Source: Department of Agriculture and Water </w:t>
      </w:r>
      <w:r w:rsidR="00D03CBC" w:rsidRPr="005223EB">
        <w:t>Resources</w:t>
      </w:r>
    </w:p>
    <w:p w14:paraId="70FC17C7" w14:textId="0F914BB2" w:rsidR="005223EB" w:rsidRPr="005223EB" w:rsidRDefault="005223EB" w:rsidP="00F300F2">
      <w:pPr>
        <w:tabs>
          <w:tab w:val="clear" w:pos="567"/>
        </w:tabs>
        <w:spacing w:before="360" w:after="0"/>
      </w:pPr>
      <w:r w:rsidRPr="005223EB">
        <w:t>The 2,048 instances of non-compliance occurred in a total of 2,712 prawn consignments directed for inspection (</w:t>
      </w:r>
      <w:r w:rsidR="00F300F2">
        <w:fldChar w:fldCharType="begin"/>
      </w:r>
      <w:r w:rsidR="00F300F2">
        <w:instrText xml:space="preserve"> REF _Ref499323259 \h </w:instrText>
      </w:r>
      <w:r w:rsidR="00F300F2">
        <w:fldChar w:fldCharType="separate"/>
      </w:r>
      <w:r w:rsidR="00121BC1">
        <w:t xml:space="preserve">Table </w:t>
      </w:r>
      <w:r w:rsidR="00121BC1">
        <w:rPr>
          <w:noProof/>
        </w:rPr>
        <w:t>8</w:t>
      </w:r>
      <w:r w:rsidR="00F300F2">
        <w:fldChar w:fldCharType="end"/>
      </w:r>
      <w:r w:rsidRPr="005223EB">
        <w:t>), but some consignments may have had multiple faults.</w:t>
      </w:r>
    </w:p>
    <w:p w14:paraId="4E2850E3" w14:textId="26589E00" w:rsidR="005223EB" w:rsidRPr="005223EB" w:rsidRDefault="005223EB" w:rsidP="00BF4748">
      <w:pPr>
        <w:spacing w:after="0"/>
      </w:pPr>
      <w:r w:rsidRPr="005223EB">
        <w:t xml:space="preserve">Minor errors were remedied on the spot and re-export was ordered for consignments with more serious non-compliance. Some importers were later detected trying to re-import </w:t>
      </w:r>
      <w:r w:rsidR="001A7ABD">
        <w:t>some</w:t>
      </w:r>
      <w:r w:rsidRPr="005223EB">
        <w:t xml:space="preserve"> failed consignments.</w:t>
      </w:r>
    </w:p>
    <w:p w14:paraId="57018F0C" w14:textId="77777777" w:rsidR="00487583" w:rsidRDefault="00487583">
      <w:pPr>
        <w:tabs>
          <w:tab w:val="clear" w:pos="567"/>
        </w:tabs>
        <w:spacing w:before="0" w:after="0"/>
        <w:rPr>
          <w:rStyle w:val="Heading3Char"/>
          <w:rFonts w:eastAsia="Calibri"/>
          <w:lang w:eastAsia="en-AU"/>
        </w:rPr>
      </w:pPr>
      <w:bookmarkStart w:id="194" w:name="_Toc490040492"/>
      <w:bookmarkStart w:id="195" w:name="_Toc500508412"/>
      <w:r>
        <w:rPr>
          <w:rStyle w:val="Heading3Char"/>
          <w:rFonts w:eastAsia="Calibri"/>
          <w:b w:val="0"/>
          <w:bCs w:val="0"/>
        </w:rPr>
        <w:br w:type="page"/>
      </w:r>
    </w:p>
    <w:p w14:paraId="3BED14FC" w14:textId="7BFA93B5" w:rsidR="00CC703E" w:rsidRPr="008937FF" w:rsidRDefault="00E37FDB" w:rsidP="008937FF">
      <w:pPr>
        <w:pStyle w:val="Heading3"/>
        <w:rPr>
          <w:rStyle w:val="Heading3Char"/>
          <w:rFonts w:eastAsia="Calibri"/>
          <w:b/>
          <w:bCs/>
        </w:rPr>
      </w:pPr>
      <w:r w:rsidRPr="008937FF">
        <w:rPr>
          <w:rStyle w:val="Heading3Char"/>
          <w:rFonts w:eastAsia="Calibri"/>
          <w:b/>
          <w:bCs/>
        </w:rPr>
        <w:lastRenderedPageBreak/>
        <w:t>Operation Cattai investigation into systematic importer non-compliance</w:t>
      </w:r>
      <w:bookmarkEnd w:id="142"/>
      <w:bookmarkEnd w:id="143"/>
      <w:bookmarkEnd w:id="144"/>
      <w:bookmarkEnd w:id="145"/>
      <w:bookmarkEnd w:id="146"/>
      <w:bookmarkEnd w:id="147"/>
      <w:bookmarkEnd w:id="148"/>
      <w:bookmarkEnd w:id="149"/>
      <w:bookmarkEnd w:id="150"/>
      <w:bookmarkEnd w:id="151"/>
      <w:bookmarkEnd w:id="152"/>
      <w:bookmarkEnd w:id="194"/>
      <w:r w:rsidRPr="008937FF">
        <w:rPr>
          <w:rStyle w:val="Heading3Char"/>
          <w:rFonts w:eastAsia="Calibri"/>
          <w:b/>
          <w:bCs/>
        </w:rPr>
        <w:t>, 2016</w:t>
      </w:r>
      <w:bookmarkEnd w:id="195"/>
    </w:p>
    <w:p w14:paraId="114AD015" w14:textId="77777777" w:rsidR="00CC703E" w:rsidRDefault="00E37FDB" w:rsidP="008937FF">
      <w:pPr>
        <w:pStyle w:val="Heading4"/>
      </w:pPr>
      <w:r>
        <w:t>Reasons for Cattai</w:t>
      </w:r>
    </w:p>
    <w:p w14:paraId="7E1D6282" w14:textId="6AB0C04C" w:rsidR="00CC703E" w:rsidRDefault="00E37FDB">
      <w:pPr>
        <w:spacing w:after="0"/>
        <w:rPr>
          <w:szCs w:val="24"/>
        </w:rPr>
      </w:pPr>
      <w:r>
        <w:rPr>
          <w:szCs w:val="24"/>
        </w:rPr>
        <w:t>After a long planning phase</w:t>
      </w:r>
      <w:r w:rsidR="005223EB">
        <w:rPr>
          <w:szCs w:val="24"/>
        </w:rPr>
        <w:t xml:space="preserve"> and</w:t>
      </w:r>
      <w:r>
        <w:rPr>
          <w:szCs w:val="24"/>
        </w:rPr>
        <w:t xml:space="preserve"> </w:t>
      </w:r>
      <w:r w:rsidR="005223EB">
        <w:rPr>
          <w:szCs w:val="24"/>
        </w:rPr>
        <w:t xml:space="preserve">due to its increasing concern about evidence of lack of compliance with prawn import requirements, </w:t>
      </w:r>
      <w:r>
        <w:rPr>
          <w:szCs w:val="24"/>
        </w:rPr>
        <w:t>the department commenced Operation Cattai on 16 March 2016</w:t>
      </w:r>
      <w:r w:rsidR="00ED6BC1">
        <w:rPr>
          <w:szCs w:val="24"/>
          <w:vertAlign w:val="superscript"/>
        </w:rPr>
        <w:t>136</w:t>
      </w:r>
      <w:r>
        <w:rPr>
          <w:szCs w:val="24"/>
        </w:rPr>
        <w:t>. In late 2014 this issue had not ranked as highly as others for aggressive investigation. However, by 2015 the department had further investigated previously non-compliant importers, including those identified in Operation East Leichhardt and in later compliance investigations. This had led to suspicions that some importers were deliberately and regularly avoiding departmental border controls such as imported prawn testing. Consequently, the prawn import investigation was upgraded from an assessment to a targeted campaign. The focus was still on individual non-compliance, with investigators aiming to:</w:t>
      </w:r>
    </w:p>
    <w:p w14:paraId="48590DDC" w14:textId="027722E8" w:rsidR="00CC703E" w:rsidRDefault="00E37FDB" w:rsidP="008937FF">
      <w:pPr>
        <w:pStyle w:val="ListBullet"/>
      </w:pPr>
      <w:r>
        <w:t>identify importers deliberately avoiding prawn import controls</w:t>
      </w:r>
      <w:r w:rsidR="00FD47E5">
        <w:t>, and</w:t>
      </w:r>
    </w:p>
    <w:p w14:paraId="1B759BD9" w14:textId="5BB9A8B0" w:rsidR="00CC703E" w:rsidRDefault="00E37FDB" w:rsidP="008937FF">
      <w:pPr>
        <w:pStyle w:val="ListBullet"/>
      </w:pPr>
      <w:r>
        <w:t>take action to address and deter this behaviour to reduce the level of risk of prawn imports.</w:t>
      </w:r>
    </w:p>
    <w:p w14:paraId="09E88F07" w14:textId="47BE9C46" w:rsidR="00CC703E" w:rsidRDefault="00E37FDB" w:rsidP="00FD47E5">
      <w:r>
        <w:t>Implementation of Operation Cattai consisted of three phases.</w:t>
      </w:r>
    </w:p>
    <w:p w14:paraId="39C3C60D" w14:textId="618B31C5" w:rsidR="00CC703E" w:rsidRDefault="00E37FDB" w:rsidP="00FD47E5">
      <w:pPr>
        <w:pStyle w:val="Heading4"/>
      </w:pPr>
      <w:r>
        <w:t>Phase 1</w:t>
      </w:r>
      <w:r>
        <w:rPr>
          <w:lang w:val="en-AU"/>
        </w:rPr>
        <w:t xml:space="preserve"> </w:t>
      </w:r>
      <w:r>
        <w:t>Retail purchase and testing of imported uncooked prawns</w:t>
      </w:r>
      <w:r>
        <w:rPr>
          <w:lang w:val="en-AU"/>
        </w:rPr>
        <w:t xml:space="preserve">, </w:t>
      </w:r>
      <w:r>
        <w:t>May to June 2016</w:t>
      </w:r>
    </w:p>
    <w:p w14:paraId="2691B7A4" w14:textId="4D697507" w:rsidR="00CC703E" w:rsidRDefault="00E37FDB">
      <w:pPr>
        <w:tabs>
          <w:tab w:val="clear" w:pos="567"/>
        </w:tabs>
        <w:spacing w:after="0"/>
        <w:rPr>
          <w:szCs w:val="24"/>
        </w:rPr>
      </w:pPr>
      <w:r>
        <w:rPr>
          <w:szCs w:val="24"/>
        </w:rPr>
        <w:t>Department staff bought uncooked prawns from a total of 30 retail and wholesale outlets across the cities of Brisbane (7), Sydney (13) and Melbourne (10), targeting the products of importers who were suspected of avoiding departmental prawn import controls. When tested at EMAI</w:t>
      </w:r>
      <w:r w:rsidR="00FD7BFE">
        <w:rPr>
          <w:szCs w:val="24"/>
        </w:rPr>
        <w:t xml:space="preserve"> and retested at AAHL</w:t>
      </w:r>
      <w:r>
        <w:rPr>
          <w:szCs w:val="24"/>
        </w:rPr>
        <w:t xml:space="preserve"> in June 2016, 54 of the 63 samples (86 per cent), including 7 out of the 8 marinated products (88 per cent), tested positive for WSSV. None tested positive for YHV.</w:t>
      </w:r>
    </w:p>
    <w:p w14:paraId="3F3EDD07" w14:textId="4B81AAFC" w:rsidR="00CC703E" w:rsidRDefault="00E37FDB">
      <w:pPr>
        <w:tabs>
          <w:tab w:val="clear" w:pos="567"/>
        </w:tabs>
        <w:spacing w:after="0"/>
        <w:rPr>
          <w:szCs w:val="24"/>
        </w:rPr>
      </w:pPr>
      <w:r>
        <w:rPr>
          <w:szCs w:val="24"/>
        </w:rPr>
        <w:t xml:space="preserve">Goods that did not meet import conditions were also identified, including prawns imported with shells intact and incorrect species identification. Prawn species testing at </w:t>
      </w:r>
      <w:r w:rsidRPr="00BF4748">
        <w:rPr>
          <w:szCs w:val="24"/>
        </w:rPr>
        <w:t>AgriGen B</w:t>
      </w:r>
      <w:r w:rsidR="00BF4748">
        <w:rPr>
          <w:szCs w:val="24"/>
        </w:rPr>
        <w:t xml:space="preserve">iotech </w:t>
      </w:r>
      <w:r w:rsidR="00FD7BFE">
        <w:rPr>
          <w:szCs w:val="24"/>
        </w:rPr>
        <w:t>c</w:t>
      </w:r>
      <w:r>
        <w:rPr>
          <w:szCs w:val="24"/>
        </w:rPr>
        <w:t>onfirmed that 60 of the 63 samples were vannamei prawns (which are found in Asia) and the remaining 3 were tiger prawns (likely to be Australian). Five products had incorrect species information on the packaging and a further 23 contained no species information at all.</w:t>
      </w:r>
    </w:p>
    <w:p w14:paraId="69B23633" w14:textId="58D12528" w:rsidR="00CC703E" w:rsidRDefault="00E37FDB">
      <w:pPr>
        <w:tabs>
          <w:tab w:val="clear" w:pos="567"/>
        </w:tabs>
        <w:spacing w:after="0"/>
        <w:rPr>
          <w:szCs w:val="24"/>
        </w:rPr>
      </w:pPr>
      <w:r>
        <w:rPr>
          <w:szCs w:val="24"/>
        </w:rPr>
        <w:t xml:space="preserve">Phase 1 testing and review of screening laboratory tests from 2014–2016 found </w:t>
      </w:r>
      <w:r w:rsidR="00D03CBC">
        <w:rPr>
          <w:szCs w:val="24"/>
        </w:rPr>
        <w:t xml:space="preserve">differences </w:t>
      </w:r>
      <w:r>
        <w:rPr>
          <w:szCs w:val="24"/>
        </w:rPr>
        <w:t>in results for WSSV testing between the lab</w:t>
      </w:r>
      <w:r w:rsidR="00D03CBC">
        <w:rPr>
          <w:szCs w:val="24"/>
        </w:rPr>
        <w:t>oratorie</w:t>
      </w:r>
      <w:r>
        <w:rPr>
          <w:szCs w:val="24"/>
        </w:rPr>
        <w:t>s</w:t>
      </w:r>
      <w:r w:rsidR="00D03CBC">
        <w:rPr>
          <w:szCs w:val="24"/>
        </w:rPr>
        <w:t xml:space="preserve"> approved by the department</w:t>
      </w:r>
      <w:r>
        <w:rPr>
          <w:szCs w:val="24"/>
        </w:rPr>
        <w:t>. This informed the design of phase 2 viral testing protocols.</w:t>
      </w:r>
    </w:p>
    <w:p w14:paraId="74D62880" w14:textId="6061C90B" w:rsidR="00CC703E" w:rsidRDefault="00E37FDB" w:rsidP="00FD47E5">
      <w:pPr>
        <w:pStyle w:val="Heading4"/>
      </w:pPr>
      <w:r>
        <w:t>Phase 2</w:t>
      </w:r>
      <w:r>
        <w:rPr>
          <w:lang w:val="en-AU"/>
        </w:rPr>
        <w:t xml:space="preserve"> </w:t>
      </w:r>
      <w:r>
        <w:rPr>
          <w:lang w:eastAsia="en-AU"/>
        </w:rPr>
        <w:t xml:space="preserve">Seals-intact inspection, sampling and testing of </w:t>
      </w:r>
      <w:r>
        <w:t>targeted imported uncooked prawn consignments before their release from biosecurity control</w:t>
      </w:r>
      <w:r>
        <w:rPr>
          <w:lang w:val="en-AU"/>
        </w:rPr>
        <w:t>,</w:t>
      </w:r>
      <w:r>
        <w:t xml:space="preserve"> August to December 2016</w:t>
      </w:r>
    </w:p>
    <w:p w14:paraId="56DCBEDE" w14:textId="6A8B5BF3" w:rsidR="00CC703E" w:rsidRDefault="00E37FDB">
      <w:pPr>
        <w:tabs>
          <w:tab w:val="clear" w:pos="567"/>
        </w:tabs>
        <w:spacing w:after="0"/>
      </w:pPr>
      <w:r>
        <w:lastRenderedPageBreak/>
        <w:t xml:space="preserve">During this phase, </w:t>
      </w:r>
      <w:r w:rsidR="00A5797E">
        <w:t xml:space="preserve">targeted </w:t>
      </w:r>
      <w:r>
        <w:t xml:space="preserve">shipments containing prawns imported by </w:t>
      </w:r>
      <w:r w:rsidR="00D03CBC">
        <w:t xml:space="preserve">particular </w:t>
      </w:r>
      <w:r>
        <w:t>importers were required to undergo a seals-intact inspection before being unloaded from the container into a freezer.</w:t>
      </w:r>
    </w:p>
    <w:p w14:paraId="6D933AF7" w14:textId="1A8E1309" w:rsidR="00CC703E" w:rsidRDefault="00E37FDB">
      <w:pPr>
        <w:tabs>
          <w:tab w:val="clear" w:pos="567"/>
        </w:tabs>
        <w:spacing w:after="0"/>
      </w:pPr>
      <w:r>
        <w:t xml:space="preserve">This </w:t>
      </w:r>
      <w:r>
        <w:rPr>
          <w:szCs w:val="24"/>
        </w:rPr>
        <w:t>targeting</w:t>
      </w:r>
      <w:r>
        <w:t xml:space="preserve"> required different sections of the department to conduct extra and more rigorous assessment of each of the 248 consignments of raw peeled prawns</w:t>
      </w:r>
      <w:r w:rsidR="00A5797E">
        <w:t xml:space="preserve"> which arrived during Phase</w:t>
      </w:r>
      <w:r w:rsidR="00487583" w:rsidRPr="00487583">
        <w:t> </w:t>
      </w:r>
      <w:r w:rsidR="00A5797E">
        <w:t>2</w:t>
      </w:r>
      <w:r>
        <w:t>. The department permitted 183 consignments to continue through the normal ‘business as usual’ unpack inspection process</w:t>
      </w:r>
      <w:r w:rsidR="008433C8">
        <w:t xml:space="preserve"> </w:t>
      </w:r>
      <w:r>
        <w:t>but with updated</w:t>
      </w:r>
      <w:r w:rsidR="00A5797E">
        <w:t>, more stringent</w:t>
      </w:r>
      <w:r>
        <w:t xml:space="preserve"> work instructions for inspection, and sampling for testing</w:t>
      </w:r>
      <w:r w:rsidR="00641BA5">
        <w:rPr>
          <w:vertAlign w:val="superscript"/>
        </w:rPr>
        <w:t>13</w:t>
      </w:r>
      <w:r w:rsidR="00466A7F">
        <w:rPr>
          <w:vertAlign w:val="superscript"/>
        </w:rPr>
        <w:t>7</w:t>
      </w:r>
      <w:r>
        <w:t>.</w:t>
      </w:r>
    </w:p>
    <w:p w14:paraId="4449FA49" w14:textId="629FCF44" w:rsidR="00CC703E" w:rsidRDefault="00E37FDB">
      <w:pPr>
        <w:tabs>
          <w:tab w:val="clear" w:pos="567"/>
        </w:tabs>
        <w:spacing w:after="0"/>
      </w:pPr>
      <w:r>
        <w:t>The department directed 77 </w:t>
      </w:r>
      <w:r w:rsidR="00A5797E">
        <w:t xml:space="preserve">targeted </w:t>
      </w:r>
      <w:r>
        <w:t>consignments for secure seals-intact inspections. This involved biosecurity officers breaking the seals on the recently imported containers and inspecting and sampling the cartons of prawns as they were being unloaded from the container. Of the 77 consignments, 54 contained raw peeled prawns and the remaining 23 contained other types of seafood.</w:t>
      </w:r>
    </w:p>
    <w:p w14:paraId="3B09569D" w14:textId="192AB7BC" w:rsidR="00CC703E" w:rsidRDefault="00E37FDB">
      <w:pPr>
        <w:spacing w:after="0"/>
        <w:rPr>
          <w:szCs w:val="24"/>
        </w:rPr>
      </w:pPr>
      <w:r>
        <w:rPr>
          <w:szCs w:val="24"/>
        </w:rPr>
        <w:t xml:space="preserve">Phase 2 incorporated a revised approach to viral testing: screening laboratories were required to supply raw data to the department for technical review prior to results being reported, and AAHL conducted confirmatory testing for WSSV presence. Of the 54 raw prawn consignments, 31 </w:t>
      </w:r>
      <w:r>
        <w:t>(</w:t>
      </w:r>
      <w:r>
        <w:rPr>
          <w:szCs w:val="24"/>
        </w:rPr>
        <w:t>57 per cent</w:t>
      </w:r>
      <w:r>
        <w:t xml:space="preserve">) </w:t>
      </w:r>
      <w:r>
        <w:rPr>
          <w:szCs w:val="24"/>
        </w:rPr>
        <w:t>failed WSSV virus testing and were directed for re-export.</w:t>
      </w:r>
      <w:r w:rsidR="00F018E1">
        <w:rPr>
          <w:szCs w:val="24"/>
        </w:rPr>
        <w:t xml:space="preserve"> </w:t>
      </w:r>
      <w:r>
        <w:rPr>
          <w:szCs w:val="24"/>
        </w:rPr>
        <w:t xml:space="preserve">By contrast, of 160 ‘business as usual’ prawn inspections performed, only 24 (15 per cent) </w:t>
      </w:r>
      <w:r w:rsidR="00F018E1">
        <w:rPr>
          <w:szCs w:val="24"/>
        </w:rPr>
        <w:t>tested</w:t>
      </w:r>
      <w:r>
        <w:rPr>
          <w:szCs w:val="24"/>
        </w:rPr>
        <w:t xml:space="preserve"> WSSV </w:t>
      </w:r>
      <w:r w:rsidR="00F018E1">
        <w:rPr>
          <w:szCs w:val="24"/>
        </w:rPr>
        <w:t>positive</w:t>
      </w:r>
      <w:r>
        <w:rPr>
          <w:szCs w:val="24"/>
        </w:rPr>
        <w:t>.</w:t>
      </w:r>
    </w:p>
    <w:p w14:paraId="235AFCF6" w14:textId="5BD5120A" w:rsidR="00C4122D" w:rsidRDefault="00C4122D" w:rsidP="00C4122D">
      <w:pPr>
        <w:tabs>
          <w:tab w:val="clear" w:pos="567"/>
        </w:tabs>
        <w:spacing w:after="0"/>
        <w:rPr>
          <w:lang w:eastAsia="ja-JP"/>
        </w:rPr>
      </w:pPr>
      <w:r>
        <w:rPr>
          <w:lang w:eastAsia="ja-JP"/>
        </w:rPr>
        <w:t>The rise in detections of WSSV-positive batches from August 2016 onwards was obtained by targeting a number of importing entities. By November 2016, a decline in positive results was noted, when a number of these targeted entities ceased to import. However, some other entities that were not the subject of investigations significantly increased their imports. Testing of those imports, which were still secured, returned high rates of positive test results.</w:t>
      </w:r>
    </w:p>
    <w:p w14:paraId="704C9A3A" w14:textId="5B7294D1" w:rsidR="00CC703E" w:rsidRDefault="00E37FDB">
      <w:pPr>
        <w:spacing w:after="0"/>
        <w:rPr>
          <w:szCs w:val="24"/>
        </w:rPr>
      </w:pPr>
      <w:r>
        <w:rPr>
          <w:szCs w:val="24"/>
        </w:rPr>
        <w:t>Phase 2 detected a highly non-compliant imported raw</w:t>
      </w:r>
      <w:r w:rsidRPr="00666E26">
        <w:rPr>
          <w:szCs w:val="24"/>
        </w:rPr>
        <w:t>,</w:t>
      </w:r>
      <w:r>
        <w:rPr>
          <w:szCs w:val="24"/>
        </w:rPr>
        <w:t xml:space="preserve"> peeled prawn trade (</w:t>
      </w:r>
      <w:r w:rsidR="009E613E">
        <w:rPr>
          <w:szCs w:val="24"/>
        </w:rPr>
        <w:fldChar w:fldCharType="begin"/>
      </w:r>
      <w:r w:rsidR="009E613E">
        <w:rPr>
          <w:szCs w:val="24"/>
        </w:rPr>
        <w:instrText xml:space="preserve"> REF _Ref499323357 \h </w:instrText>
      </w:r>
      <w:r w:rsidR="009E613E">
        <w:rPr>
          <w:szCs w:val="24"/>
        </w:rPr>
      </w:r>
      <w:r w:rsidR="009E613E">
        <w:rPr>
          <w:szCs w:val="24"/>
        </w:rPr>
        <w:fldChar w:fldCharType="separate"/>
      </w:r>
      <w:r w:rsidR="00121BC1">
        <w:t xml:space="preserve">Table </w:t>
      </w:r>
      <w:r w:rsidR="00121BC1">
        <w:rPr>
          <w:noProof/>
        </w:rPr>
        <w:t>9</w:t>
      </w:r>
      <w:r w:rsidR="009E613E">
        <w:rPr>
          <w:szCs w:val="24"/>
        </w:rPr>
        <w:fldChar w:fldCharType="end"/>
      </w:r>
      <w:r>
        <w:rPr>
          <w:szCs w:val="24"/>
        </w:rPr>
        <w:t xml:space="preserve">). </w:t>
      </w:r>
      <w:r w:rsidR="00EB3EF3">
        <w:rPr>
          <w:szCs w:val="24"/>
        </w:rPr>
        <w:t>Of</w:t>
      </w:r>
      <w:r w:rsidR="00477128">
        <w:rPr>
          <w:szCs w:val="24"/>
        </w:rPr>
        <w:t xml:space="preserve"> 66 consignments inspected, only 23</w:t>
      </w:r>
      <w:r>
        <w:rPr>
          <w:szCs w:val="24"/>
        </w:rPr>
        <w:t xml:space="preserve"> were fully compliant, </w:t>
      </w:r>
      <w:r w:rsidR="00477128">
        <w:rPr>
          <w:szCs w:val="24"/>
        </w:rPr>
        <w:t>while in 43 (65 per cent) one or more</w:t>
      </w:r>
      <w:r>
        <w:rPr>
          <w:szCs w:val="24"/>
        </w:rPr>
        <w:t xml:space="preserve"> non-conformities </w:t>
      </w:r>
      <w:r w:rsidR="00477128">
        <w:rPr>
          <w:szCs w:val="24"/>
        </w:rPr>
        <w:t>were detected</w:t>
      </w:r>
      <w:r>
        <w:rPr>
          <w:szCs w:val="24"/>
        </w:rPr>
        <w:t>.</w:t>
      </w:r>
    </w:p>
    <w:p w14:paraId="0FAAF937" w14:textId="2D27688E" w:rsidR="00750E24" w:rsidRDefault="00750E24" w:rsidP="00487583">
      <w:pPr>
        <w:pStyle w:val="Caption"/>
        <w:spacing w:before="300" w:after="60"/>
        <w:rPr>
          <w:szCs w:val="24"/>
        </w:rPr>
      </w:pPr>
      <w:bookmarkStart w:id="196" w:name="_Ref499323357"/>
      <w:bookmarkStart w:id="197" w:name="_Toc500508486"/>
      <w:r>
        <w:t xml:space="preserve">Table </w:t>
      </w:r>
      <w:r w:rsidR="00F329C0">
        <w:fldChar w:fldCharType="begin"/>
      </w:r>
      <w:r w:rsidR="00F329C0">
        <w:instrText xml:space="preserve"> SEQ Table \* ARABIC </w:instrText>
      </w:r>
      <w:r w:rsidR="00F329C0">
        <w:fldChar w:fldCharType="separate"/>
      </w:r>
      <w:r w:rsidR="00121BC1">
        <w:rPr>
          <w:noProof/>
        </w:rPr>
        <w:t>9</w:t>
      </w:r>
      <w:r w:rsidR="00F329C0">
        <w:rPr>
          <w:noProof/>
        </w:rPr>
        <w:fldChar w:fldCharType="end"/>
      </w:r>
      <w:bookmarkEnd w:id="196"/>
      <w:r w:rsidRPr="00750E24">
        <w:t xml:space="preserve"> </w:t>
      </w:r>
      <w:r>
        <w:t xml:space="preserve">Operation Cattai </w:t>
      </w:r>
      <w:r w:rsidRPr="00997EAC">
        <w:t>phase</w:t>
      </w:r>
      <w:r>
        <w:t xml:space="preserve"> 2, summary of observed importer non-compliant behaviour, </w:t>
      </w:r>
      <w:r w:rsidRPr="008433C8">
        <w:t>August</w:t>
      </w:r>
      <w:r w:rsidRPr="00247A7E">
        <w:t>–</w:t>
      </w:r>
      <w:r w:rsidRPr="008433C8">
        <w:t>December 2016</w:t>
      </w:r>
      <w:bookmarkEnd w:id="19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2495"/>
      </w:tblGrid>
      <w:tr w:rsidR="00CC703E" w14:paraId="53D9FAB2" w14:textId="77777777" w:rsidTr="00997EAC">
        <w:tc>
          <w:tcPr>
            <w:tcW w:w="6521" w:type="dxa"/>
          </w:tcPr>
          <w:p w14:paraId="475B0587" w14:textId="77777777" w:rsidR="00CC703E" w:rsidRDefault="00E37FDB" w:rsidP="00487583">
            <w:pPr>
              <w:pStyle w:val="Tableheading"/>
              <w:spacing w:before="50" w:after="50"/>
            </w:pPr>
            <w:r>
              <w:t>Behaviour</w:t>
            </w:r>
          </w:p>
        </w:tc>
        <w:tc>
          <w:tcPr>
            <w:tcW w:w="2495" w:type="dxa"/>
          </w:tcPr>
          <w:p w14:paraId="09EFE968" w14:textId="4A7CF5B0" w:rsidR="00CC703E" w:rsidRDefault="00E37FDB" w:rsidP="00487583">
            <w:pPr>
              <w:pStyle w:val="Tableheading"/>
              <w:spacing w:before="50" w:after="50"/>
              <w:jc w:val="right"/>
            </w:pPr>
            <w:r w:rsidRPr="00997EAC">
              <w:t>C</w:t>
            </w:r>
            <w:r>
              <w:t>onsignments where behaviour detected (no.)</w:t>
            </w:r>
          </w:p>
        </w:tc>
      </w:tr>
      <w:tr w:rsidR="00CC703E" w14:paraId="5774749F" w14:textId="77777777" w:rsidTr="00997EAC">
        <w:tc>
          <w:tcPr>
            <w:tcW w:w="6521" w:type="dxa"/>
          </w:tcPr>
          <w:p w14:paraId="6C73562E" w14:textId="77777777" w:rsidR="00CC703E" w:rsidRDefault="00E37FDB" w:rsidP="00487583">
            <w:pPr>
              <w:pStyle w:val="TableText0"/>
              <w:spacing w:before="50" w:after="50"/>
              <w:rPr>
                <w:rFonts w:asciiTheme="minorHAnsi" w:hAnsiTheme="minorHAnsi"/>
              </w:rPr>
            </w:pPr>
            <w:r>
              <w:rPr>
                <w:rFonts w:asciiTheme="minorHAnsi" w:hAnsiTheme="minorHAnsi"/>
              </w:rPr>
              <w:t>Undeclared batches of uncooked peeled prawns</w:t>
            </w:r>
          </w:p>
        </w:tc>
        <w:tc>
          <w:tcPr>
            <w:tcW w:w="2495" w:type="dxa"/>
          </w:tcPr>
          <w:p w14:paraId="1FBE028C" w14:textId="77777777" w:rsidR="00CC703E" w:rsidRDefault="00E37FDB" w:rsidP="00487583">
            <w:pPr>
              <w:pStyle w:val="TableText0"/>
              <w:spacing w:before="50" w:after="50"/>
              <w:jc w:val="right"/>
              <w:rPr>
                <w:rFonts w:asciiTheme="minorHAnsi" w:hAnsiTheme="minorHAnsi"/>
              </w:rPr>
            </w:pPr>
            <w:r>
              <w:rPr>
                <w:rFonts w:asciiTheme="minorHAnsi" w:hAnsiTheme="minorHAnsi"/>
              </w:rPr>
              <w:t>24</w:t>
            </w:r>
          </w:p>
        </w:tc>
      </w:tr>
      <w:tr w:rsidR="00CC703E" w14:paraId="20BBD689" w14:textId="77777777" w:rsidTr="00997EAC">
        <w:tc>
          <w:tcPr>
            <w:tcW w:w="6521" w:type="dxa"/>
          </w:tcPr>
          <w:p w14:paraId="29AAE7B5" w14:textId="77777777" w:rsidR="00CC703E" w:rsidRDefault="00E37FDB" w:rsidP="00487583">
            <w:pPr>
              <w:pStyle w:val="TableText0"/>
              <w:spacing w:before="50" w:after="50"/>
              <w:rPr>
                <w:rFonts w:asciiTheme="minorHAnsi" w:hAnsiTheme="minorHAnsi"/>
              </w:rPr>
            </w:pPr>
            <w:r>
              <w:rPr>
                <w:rFonts w:asciiTheme="minorHAnsi" w:hAnsiTheme="minorHAnsi"/>
              </w:rPr>
              <w:t>Carton marking (non strapping)</w:t>
            </w:r>
          </w:p>
        </w:tc>
        <w:tc>
          <w:tcPr>
            <w:tcW w:w="2495" w:type="dxa"/>
          </w:tcPr>
          <w:p w14:paraId="1C87CC78" w14:textId="77777777" w:rsidR="00CC703E" w:rsidRDefault="00E37FDB" w:rsidP="00487583">
            <w:pPr>
              <w:pStyle w:val="TableText0"/>
              <w:spacing w:before="50" w:after="50"/>
              <w:jc w:val="right"/>
              <w:rPr>
                <w:rFonts w:asciiTheme="minorHAnsi" w:hAnsiTheme="minorHAnsi"/>
              </w:rPr>
            </w:pPr>
            <w:r>
              <w:rPr>
                <w:rFonts w:asciiTheme="minorHAnsi" w:hAnsiTheme="minorHAnsi"/>
              </w:rPr>
              <w:t>22</w:t>
            </w:r>
          </w:p>
        </w:tc>
      </w:tr>
      <w:tr w:rsidR="00CC703E" w14:paraId="60F031F9" w14:textId="77777777" w:rsidTr="00997EAC">
        <w:tc>
          <w:tcPr>
            <w:tcW w:w="6521" w:type="dxa"/>
          </w:tcPr>
          <w:p w14:paraId="61220F6C" w14:textId="77777777" w:rsidR="00CC703E" w:rsidRDefault="00E37FDB" w:rsidP="00487583">
            <w:pPr>
              <w:pStyle w:val="TableText0"/>
              <w:spacing w:before="50" w:after="50"/>
              <w:rPr>
                <w:rFonts w:asciiTheme="minorHAnsi" w:hAnsiTheme="minorHAnsi"/>
              </w:rPr>
            </w:pPr>
            <w:r>
              <w:rPr>
                <w:rFonts w:asciiTheme="minorHAnsi" w:hAnsiTheme="minorHAnsi"/>
              </w:rPr>
              <w:t>Additional packaging</w:t>
            </w:r>
          </w:p>
        </w:tc>
        <w:tc>
          <w:tcPr>
            <w:tcW w:w="2495" w:type="dxa"/>
          </w:tcPr>
          <w:p w14:paraId="72B69146" w14:textId="77777777" w:rsidR="00CC703E" w:rsidRDefault="00E37FDB" w:rsidP="00487583">
            <w:pPr>
              <w:pStyle w:val="TableText0"/>
              <w:spacing w:before="50" w:after="50"/>
              <w:jc w:val="right"/>
              <w:rPr>
                <w:rFonts w:asciiTheme="minorHAnsi" w:hAnsiTheme="minorHAnsi"/>
              </w:rPr>
            </w:pPr>
            <w:r>
              <w:rPr>
                <w:rFonts w:asciiTheme="minorHAnsi" w:hAnsiTheme="minorHAnsi"/>
              </w:rPr>
              <w:t>10</w:t>
            </w:r>
          </w:p>
        </w:tc>
      </w:tr>
      <w:tr w:rsidR="00CC703E" w14:paraId="492FBE87" w14:textId="77777777" w:rsidTr="00997EAC">
        <w:tc>
          <w:tcPr>
            <w:tcW w:w="6521" w:type="dxa"/>
          </w:tcPr>
          <w:p w14:paraId="79BA0DEC" w14:textId="77777777" w:rsidR="00CC703E" w:rsidRDefault="00E37FDB" w:rsidP="00487583">
            <w:pPr>
              <w:pStyle w:val="TableText0"/>
              <w:spacing w:before="50" w:after="50"/>
              <w:rPr>
                <w:rFonts w:asciiTheme="minorHAnsi" w:hAnsiTheme="minorHAnsi"/>
              </w:rPr>
            </w:pPr>
            <w:r>
              <w:rPr>
                <w:rFonts w:asciiTheme="minorHAnsi" w:hAnsiTheme="minorHAnsi"/>
              </w:rPr>
              <w:t>Carton marking using strapping/taping</w:t>
            </w:r>
          </w:p>
        </w:tc>
        <w:tc>
          <w:tcPr>
            <w:tcW w:w="2495" w:type="dxa"/>
          </w:tcPr>
          <w:p w14:paraId="71B50939" w14:textId="77777777" w:rsidR="00CC703E" w:rsidRDefault="00E37FDB" w:rsidP="00487583">
            <w:pPr>
              <w:pStyle w:val="TableText0"/>
              <w:spacing w:before="50" w:after="50"/>
              <w:jc w:val="right"/>
              <w:rPr>
                <w:rFonts w:asciiTheme="minorHAnsi" w:hAnsiTheme="minorHAnsi"/>
              </w:rPr>
            </w:pPr>
            <w:r>
              <w:rPr>
                <w:rFonts w:asciiTheme="minorHAnsi" w:hAnsiTheme="minorHAnsi"/>
              </w:rPr>
              <w:t>8</w:t>
            </w:r>
          </w:p>
        </w:tc>
      </w:tr>
      <w:tr w:rsidR="00CC703E" w14:paraId="1EA0C0CA" w14:textId="77777777" w:rsidTr="00997EAC">
        <w:tc>
          <w:tcPr>
            <w:tcW w:w="6521" w:type="dxa"/>
          </w:tcPr>
          <w:p w14:paraId="47AD0D65" w14:textId="77777777" w:rsidR="00CC703E" w:rsidRDefault="00E37FDB" w:rsidP="00487583">
            <w:pPr>
              <w:pStyle w:val="TableText0"/>
              <w:spacing w:before="50" w:after="50"/>
              <w:rPr>
                <w:rFonts w:asciiTheme="minorHAnsi" w:hAnsiTheme="minorHAnsi"/>
              </w:rPr>
            </w:pPr>
            <w:r>
              <w:rPr>
                <w:rFonts w:asciiTheme="minorHAnsi" w:hAnsiTheme="minorHAnsi"/>
              </w:rPr>
              <w:t>Undeclared goods</w:t>
            </w:r>
          </w:p>
          <w:p w14:paraId="54E7B90D" w14:textId="36EA37B5" w:rsidR="00CC703E" w:rsidRDefault="00E37FDB" w:rsidP="00487583">
            <w:pPr>
              <w:pStyle w:val="TableText0"/>
              <w:numPr>
                <w:ilvl w:val="0"/>
                <w:numId w:val="41"/>
              </w:numPr>
              <w:spacing w:before="50" w:after="50"/>
              <w:rPr>
                <w:rFonts w:asciiTheme="minorHAnsi" w:hAnsiTheme="minorHAnsi"/>
                <w:lang w:eastAsia="en-AU"/>
              </w:rPr>
            </w:pPr>
            <w:r>
              <w:rPr>
                <w:rFonts w:asciiTheme="minorHAnsi" w:hAnsiTheme="minorHAnsi"/>
              </w:rPr>
              <w:t>4</w:t>
            </w:r>
            <w:r>
              <w:rPr>
                <w:rFonts w:asciiTheme="minorHAnsi" w:hAnsiTheme="minorHAnsi"/>
                <w:lang w:eastAsia="en-AU"/>
              </w:rPr>
              <w:t xml:space="preserve"> consignments with sample cartons</w:t>
            </w:r>
          </w:p>
          <w:p w14:paraId="58B30E00" w14:textId="2578012D" w:rsidR="00CC703E" w:rsidRDefault="00E37FDB" w:rsidP="00487583">
            <w:pPr>
              <w:pStyle w:val="TableText0"/>
              <w:numPr>
                <w:ilvl w:val="0"/>
                <w:numId w:val="41"/>
              </w:numPr>
              <w:spacing w:before="50" w:after="50"/>
              <w:rPr>
                <w:rFonts w:asciiTheme="minorHAnsi" w:hAnsiTheme="minorHAnsi"/>
              </w:rPr>
            </w:pPr>
            <w:r>
              <w:rPr>
                <w:rFonts w:asciiTheme="minorHAnsi" w:hAnsiTheme="minorHAnsi"/>
                <w:lang w:eastAsia="en-AU"/>
              </w:rPr>
              <w:t>2 consignments with commercial amounts (154 cartons of cooked prawns and 240 cartons of marinated prawns</w:t>
            </w:r>
          </w:p>
        </w:tc>
        <w:tc>
          <w:tcPr>
            <w:tcW w:w="2495" w:type="dxa"/>
          </w:tcPr>
          <w:p w14:paraId="682CED84" w14:textId="77777777" w:rsidR="00CC703E" w:rsidRDefault="00E37FDB" w:rsidP="00487583">
            <w:pPr>
              <w:pStyle w:val="TableText0"/>
              <w:spacing w:before="50" w:after="50"/>
              <w:jc w:val="right"/>
              <w:rPr>
                <w:rFonts w:asciiTheme="minorHAnsi" w:hAnsiTheme="minorHAnsi"/>
              </w:rPr>
            </w:pPr>
            <w:r>
              <w:rPr>
                <w:rFonts w:asciiTheme="minorHAnsi" w:hAnsiTheme="minorHAnsi"/>
              </w:rPr>
              <w:t>6</w:t>
            </w:r>
          </w:p>
        </w:tc>
      </w:tr>
      <w:tr w:rsidR="00CC703E" w14:paraId="026989CA" w14:textId="77777777" w:rsidTr="00997EAC">
        <w:tc>
          <w:tcPr>
            <w:tcW w:w="6521" w:type="dxa"/>
          </w:tcPr>
          <w:p w14:paraId="1810C513" w14:textId="77777777" w:rsidR="00CC703E" w:rsidRDefault="00E37FDB" w:rsidP="00487583">
            <w:pPr>
              <w:pStyle w:val="TableText0"/>
              <w:spacing w:before="50" w:after="50"/>
              <w:rPr>
                <w:rFonts w:asciiTheme="minorHAnsi" w:hAnsiTheme="minorHAnsi"/>
              </w:rPr>
            </w:pPr>
            <w:r>
              <w:rPr>
                <w:rFonts w:asciiTheme="minorHAnsi" w:hAnsiTheme="minorHAnsi"/>
              </w:rPr>
              <w:t>Disregarding secure seals-intact direction</w:t>
            </w:r>
          </w:p>
        </w:tc>
        <w:tc>
          <w:tcPr>
            <w:tcW w:w="2495" w:type="dxa"/>
          </w:tcPr>
          <w:p w14:paraId="56652C83" w14:textId="77777777" w:rsidR="00CC703E" w:rsidRDefault="00E37FDB" w:rsidP="00487583">
            <w:pPr>
              <w:pStyle w:val="TableText0"/>
              <w:spacing w:before="50" w:after="50"/>
              <w:jc w:val="right"/>
              <w:rPr>
                <w:rFonts w:asciiTheme="minorHAnsi" w:hAnsiTheme="minorHAnsi"/>
              </w:rPr>
            </w:pPr>
            <w:r>
              <w:rPr>
                <w:rFonts w:asciiTheme="minorHAnsi" w:hAnsiTheme="minorHAnsi"/>
              </w:rPr>
              <w:t>4</w:t>
            </w:r>
          </w:p>
        </w:tc>
      </w:tr>
      <w:tr w:rsidR="00CC703E" w14:paraId="073D596F" w14:textId="77777777" w:rsidTr="00997EAC">
        <w:tc>
          <w:tcPr>
            <w:tcW w:w="6521" w:type="dxa"/>
          </w:tcPr>
          <w:p w14:paraId="25D7C8F3" w14:textId="77777777" w:rsidR="00CC703E" w:rsidRDefault="00E37FDB" w:rsidP="00487583">
            <w:pPr>
              <w:pStyle w:val="TableText0"/>
              <w:spacing w:before="50" w:after="50"/>
              <w:rPr>
                <w:rFonts w:asciiTheme="minorHAnsi" w:hAnsiTheme="minorHAnsi"/>
              </w:rPr>
            </w:pPr>
            <w:r>
              <w:rPr>
                <w:rFonts w:asciiTheme="minorHAnsi" w:hAnsiTheme="minorHAnsi"/>
                <w:lang w:eastAsia="en-AU"/>
              </w:rPr>
              <w:t>Product re-labelling</w:t>
            </w:r>
          </w:p>
        </w:tc>
        <w:tc>
          <w:tcPr>
            <w:tcW w:w="2495" w:type="dxa"/>
          </w:tcPr>
          <w:p w14:paraId="6244DF74" w14:textId="77777777" w:rsidR="00CC703E" w:rsidRDefault="00E37FDB" w:rsidP="00487583">
            <w:pPr>
              <w:pStyle w:val="TableText0"/>
              <w:spacing w:before="50" w:after="50"/>
              <w:jc w:val="right"/>
              <w:rPr>
                <w:rFonts w:asciiTheme="minorHAnsi" w:hAnsiTheme="minorHAnsi"/>
              </w:rPr>
            </w:pPr>
            <w:r>
              <w:rPr>
                <w:rFonts w:asciiTheme="minorHAnsi" w:hAnsiTheme="minorHAnsi"/>
                <w:lang w:eastAsia="en-AU"/>
              </w:rPr>
              <w:t>3</w:t>
            </w:r>
          </w:p>
        </w:tc>
      </w:tr>
      <w:tr w:rsidR="00CC703E" w14:paraId="0CAF2615" w14:textId="77777777" w:rsidTr="00997EAC">
        <w:tc>
          <w:tcPr>
            <w:tcW w:w="6521" w:type="dxa"/>
          </w:tcPr>
          <w:p w14:paraId="579CA734" w14:textId="77777777" w:rsidR="00CC703E" w:rsidRDefault="00E37FDB" w:rsidP="00487583">
            <w:pPr>
              <w:pStyle w:val="TableText0"/>
              <w:spacing w:before="50" w:after="50"/>
              <w:rPr>
                <w:rFonts w:asciiTheme="minorHAnsi" w:hAnsiTheme="minorHAnsi"/>
              </w:rPr>
            </w:pPr>
            <w:r>
              <w:rPr>
                <w:rFonts w:asciiTheme="minorHAnsi" w:hAnsiTheme="minorHAnsi"/>
                <w:lang w:eastAsia="en-AU"/>
              </w:rPr>
              <w:t>Incorrect/missing documentation</w:t>
            </w:r>
          </w:p>
        </w:tc>
        <w:tc>
          <w:tcPr>
            <w:tcW w:w="2495" w:type="dxa"/>
          </w:tcPr>
          <w:p w14:paraId="2FC7525A" w14:textId="77777777" w:rsidR="00CC703E" w:rsidRDefault="00E37FDB" w:rsidP="00487583">
            <w:pPr>
              <w:pStyle w:val="TableText0"/>
              <w:spacing w:before="50" w:after="50"/>
              <w:jc w:val="right"/>
              <w:rPr>
                <w:rFonts w:asciiTheme="minorHAnsi" w:hAnsiTheme="minorHAnsi"/>
              </w:rPr>
            </w:pPr>
            <w:r>
              <w:rPr>
                <w:rFonts w:asciiTheme="minorHAnsi" w:hAnsiTheme="minorHAnsi"/>
                <w:lang w:eastAsia="en-AU"/>
              </w:rPr>
              <w:t>3</w:t>
            </w:r>
          </w:p>
        </w:tc>
      </w:tr>
      <w:tr w:rsidR="00CC703E" w14:paraId="17FE1549" w14:textId="77777777" w:rsidTr="00997EAC">
        <w:tc>
          <w:tcPr>
            <w:tcW w:w="6521" w:type="dxa"/>
          </w:tcPr>
          <w:p w14:paraId="3654AFDF" w14:textId="77777777" w:rsidR="00CC703E" w:rsidRDefault="00E37FDB" w:rsidP="00487583">
            <w:pPr>
              <w:pStyle w:val="TableText0"/>
              <w:spacing w:before="50" w:after="50"/>
              <w:rPr>
                <w:rFonts w:asciiTheme="minorHAnsi" w:hAnsiTheme="minorHAnsi"/>
              </w:rPr>
            </w:pPr>
            <w:r>
              <w:rPr>
                <w:rFonts w:asciiTheme="minorHAnsi" w:hAnsiTheme="minorHAnsi"/>
                <w:lang w:eastAsia="en-AU"/>
              </w:rPr>
              <w:t>Suspected consignment substitution</w:t>
            </w:r>
          </w:p>
        </w:tc>
        <w:tc>
          <w:tcPr>
            <w:tcW w:w="2495" w:type="dxa"/>
          </w:tcPr>
          <w:p w14:paraId="69EBD959" w14:textId="77777777" w:rsidR="00CC703E" w:rsidRDefault="00E37FDB" w:rsidP="00487583">
            <w:pPr>
              <w:pStyle w:val="TableText0"/>
              <w:spacing w:before="50" w:after="50"/>
              <w:jc w:val="right"/>
              <w:rPr>
                <w:rFonts w:asciiTheme="minorHAnsi" w:hAnsiTheme="minorHAnsi"/>
              </w:rPr>
            </w:pPr>
            <w:r>
              <w:rPr>
                <w:rFonts w:asciiTheme="minorHAnsi" w:hAnsiTheme="minorHAnsi"/>
                <w:lang w:eastAsia="en-AU"/>
              </w:rPr>
              <w:t>2</w:t>
            </w:r>
          </w:p>
        </w:tc>
      </w:tr>
      <w:tr w:rsidR="00CC703E" w14:paraId="5A89110E" w14:textId="77777777" w:rsidTr="00997EAC">
        <w:tc>
          <w:tcPr>
            <w:tcW w:w="6521" w:type="dxa"/>
          </w:tcPr>
          <w:p w14:paraId="09833EDB" w14:textId="77777777" w:rsidR="00CC703E" w:rsidRDefault="00E37FDB" w:rsidP="00487583">
            <w:pPr>
              <w:pStyle w:val="TableText0"/>
              <w:spacing w:before="50" w:after="50"/>
              <w:rPr>
                <w:rFonts w:asciiTheme="minorHAnsi" w:hAnsiTheme="minorHAnsi"/>
              </w:rPr>
            </w:pPr>
            <w:r>
              <w:rPr>
                <w:rFonts w:asciiTheme="minorHAnsi" w:hAnsiTheme="minorHAnsi"/>
                <w:lang w:eastAsia="en-AU"/>
              </w:rPr>
              <w:t>Incorrect country of origin labelling on goods</w:t>
            </w:r>
          </w:p>
        </w:tc>
        <w:tc>
          <w:tcPr>
            <w:tcW w:w="2495" w:type="dxa"/>
          </w:tcPr>
          <w:p w14:paraId="0B0F06EB" w14:textId="77777777" w:rsidR="00CC703E" w:rsidRDefault="00E37FDB" w:rsidP="00487583">
            <w:pPr>
              <w:pStyle w:val="TableText0"/>
              <w:spacing w:before="50" w:after="50"/>
              <w:jc w:val="right"/>
              <w:rPr>
                <w:rFonts w:asciiTheme="minorHAnsi" w:hAnsiTheme="minorHAnsi"/>
              </w:rPr>
            </w:pPr>
            <w:r>
              <w:rPr>
                <w:rFonts w:asciiTheme="minorHAnsi" w:hAnsiTheme="minorHAnsi"/>
                <w:lang w:eastAsia="en-AU"/>
              </w:rPr>
              <w:t>2</w:t>
            </w:r>
          </w:p>
        </w:tc>
      </w:tr>
      <w:tr w:rsidR="00CC703E" w14:paraId="061EAAC1" w14:textId="77777777" w:rsidTr="00997EAC">
        <w:tc>
          <w:tcPr>
            <w:tcW w:w="6521" w:type="dxa"/>
          </w:tcPr>
          <w:p w14:paraId="57601BF4" w14:textId="77777777" w:rsidR="00CC703E" w:rsidRDefault="00E37FDB" w:rsidP="00487583">
            <w:pPr>
              <w:pStyle w:val="TableText0"/>
              <w:spacing w:before="50" w:after="50"/>
              <w:rPr>
                <w:rFonts w:asciiTheme="minorHAnsi" w:hAnsiTheme="minorHAnsi"/>
              </w:rPr>
            </w:pPr>
            <w:r>
              <w:rPr>
                <w:rFonts w:asciiTheme="minorHAnsi" w:hAnsiTheme="minorHAnsi"/>
                <w:lang w:eastAsia="en-AU"/>
              </w:rPr>
              <w:lastRenderedPageBreak/>
              <w:t>Possible re-import of prawns previously exported after a positive viral test</w:t>
            </w:r>
          </w:p>
        </w:tc>
        <w:tc>
          <w:tcPr>
            <w:tcW w:w="2495" w:type="dxa"/>
          </w:tcPr>
          <w:p w14:paraId="1D1D3FA0" w14:textId="77777777" w:rsidR="00CC703E" w:rsidRDefault="00E37FDB" w:rsidP="00487583">
            <w:pPr>
              <w:pStyle w:val="TableText0"/>
              <w:spacing w:before="50" w:after="50"/>
              <w:jc w:val="right"/>
              <w:rPr>
                <w:rFonts w:asciiTheme="minorHAnsi" w:hAnsiTheme="minorHAnsi"/>
              </w:rPr>
            </w:pPr>
            <w:r>
              <w:rPr>
                <w:rFonts w:asciiTheme="minorHAnsi" w:hAnsiTheme="minorHAnsi"/>
                <w:lang w:eastAsia="en-AU"/>
              </w:rPr>
              <w:t>1</w:t>
            </w:r>
          </w:p>
        </w:tc>
      </w:tr>
      <w:tr w:rsidR="00CC703E" w14:paraId="3BB5B560" w14:textId="77777777" w:rsidTr="00997EAC">
        <w:tc>
          <w:tcPr>
            <w:tcW w:w="6521" w:type="dxa"/>
          </w:tcPr>
          <w:p w14:paraId="6189687B" w14:textId="77777777" w:rsidR="00CC703E" w:rsidRDefault="00E37FDB" w:rsidP="00487583">
            <w:pPr>
              <w:pStyle w:val="TableText0"/>
              <w:spacing w:before="50" w:after="50"/>
              <w:rPr>
                <w:rFonts w:asciiTheme="minorHAnsi" w:hAnsiTheme="minorHAnsi"/>
              </w:rPr>
            </w:pPr>
            <w:r>
              <w:rPr>
                <w:rFonts w:asciiTheme="minorHAnsi" w:hAnsiTheme="minorHAnsi"/>
                <w:lang w:eastAsia="en-AU"/>
              </w:rPr>
              <w:t>Mismatch between importer lodging declaration and importer listed on cartons</w:t>
            </w:r>
          </w:p>
        </w:tc>
        <w:tc>
          <w:tcPr>
            <w:tcW w:w="2495" w:type="dxa"/>
          </w:tcPr>
          <w:p w14:paraId="6F7A23A0" w14:textId="77777777" w:rsidR="00CC703E" w:rsidRDefault="00E37FDB" w:rsidP="00487583">
            <w:pPr>
              <w:pStyle w:val="TableText0"/>
              <w:spacing w:before="50" w:after="50"/>
              <w:jc w:val="right"/>
              <w:rPr>
                <w:rFonts w:asciiTheme="minorHAnsi" w:hAnsiTheme="minorHAnsi"/>
              </w:rPr>
            </w:pPr>
            <w:r>
              <w:rPr>
                <w:rFonts w:asciiTheme="minorHAnsi" w:hAnsiTheme="minorHAnsi"/>
                <w:lang w:eastAsia="en-AU"/>
              </w:rPr>
              <w:t>1</w:t>
            </w:r>
          </w:p>
        </w:tc>
      </w:tr>
      <w:tr w:rsidR="00CC703E" w14:paraId="2BDEA715" w14:textId="77777777" w:rsidTr="00997EAC">
        <w:tc>
          <w:tcPr>
            <w:tcW w:w="6521" w:type="dxa"/>
          </w:tcPr>
          <w:p w14:paraId="44FBEE47" w14:textId="77777777" w:rsidR="00CC703E" w:rsidRDefault="00E37FDB" w:rsidP="00487583">
            <w:pPr>
              <w:pStyle w:val="TableText0"/>
              <w:spacing w:before="50" w:after="50"/>
              <w:rPr>
                <w:rFonts w:asciiTheme="minorHAnsi" w:hAnsiTheme="minorHAnsi"/>
              </w:rPr>
            </w:pPr>
            <w:r>
              <w:rPr>
                <w:rFonts w:asciiTheme="minorHAnsi" w:hAnsiTheme="minorHAnsi"/>
                <w:lang w:eastAsia="en-AU"/>
              </w:rPr>
              <w:t>Documentation not matching import permit</w:t>
            </w:r>
          </w:p>
        </w:tc>
        <w:tc>
          <w:tcPr>
            <w:tcW w:w="2495" w:type="dxa"/>
          </w:tcPr>
          <w:p w14:paraId="0FF101CC" w14:textId="77777777" w:rsidR="00CC703E" w:rsidRDefault="00E37FDB" w:rsidP="00487583">
            <w:pPr>
              <w:pStyle w:val="TableText0"/>
              <w:spacing w:before="50" w:after="50"/>
              <w:jc w:val="right"/>
              <w:rPr>
                <w:rFonts w:asciiTheme="minorHAnsi" w:hAnsiTheme="minorHAnsi"/>
              </w:rPr>
            </w:pPr>
            <w:r>
              <w:rPr>
                <w:rFonts w:asciiTheme="minorHAnsi" w:hAnsiTheme="minorHAnsi"/>
                <w:lang w:eastAsia="en-AU"/>
              </w:rPr>
              <w:t>1</w:t>
            </w:r>
          </w:p>
        </w:tc>
      </w:tr>
      <w:tr w:rsidR="00CC703E" w14:paraId="701064B1" w14:textId="77777777" w:rsidTr="00997EAC">
        <w:tc>
          <w:tcPr>
            <w:tcW w:w="6521" w:type="dxa"/>
          </w:tcPr>
          <w:p w14:paraId="17BC9E68" w14:textId="77777777" w:rsidR="00CC703E" w:rsidRDefault="00E37FDB" w:rsidP="00487583">
            <w:pPr>
              <w:pStyle w:val="TableText0"/>
              <w:spacing w:before="50" w:after="50"/>
              <w:rPr>
                <w:rFonts w:asciiTheme="minorHAnsi" w:hAnsiTheme="minorHAnsi"/>
                <w:lang w:eastAsia="en-AU"/>
              </w:rPr>
            </w:pPr>
            <w:r>
              <w:rPr>
                <w:rFonts w:asciiTheme="minorHAnsi" w:hAnsiTheme="minorHAnsi"/>
                <w:lang w:eastAsia="en-AU"/>
              </w:rPr>
              <w:t>Total number of behaviours (66 consignments)</w:t>
            </w:r>
          </w:p>
        </w:tc>
        <w:tc>
          <w:tcPr>
            <w:tcW w:w="2495" w:type="dxa"/>
          </w:tcPr>
          <w:p w14:paraId="3A15C416" w14:textId="16D768A3" w:rsidR="00CC703E" w:rsidRDefault="00E37FDB" w:rsidP="00487583">
            <w:pPr>
              <w:pStyle w:val="TableText0"/>
              <w:spacing w:before="50" w:after="50"/>
              <w:jc w:val="right"/>
              <w:rPr>
                <w:rFonts w:asciiTheme="minorHAnsi" w:hAnsiTheme="minorHAnsi"/>
                <w:lang w:eastAsia="en-AU"/>
              </w:rPr>
            </w:pPr>
            <w:r>
              <w:rPr>
                <w:rFonts w:asciiTheme="minorHAnsi" w:hAnsiTheme="minorHAnsi"/>
                <w:lang w:eastAsia="en-AU"/>
              </w:rPr>
              <w:t>8</w:t>
            </w:r>
            <w:r w:rsidR="003372B8">
              <w:rPr>
                <w:rFonts w:asciiTheme="minorHAnsi" w:hAnsiTheme="minorHAnsi"/>
                <w:lang w:eastAsia="en-AU"/>
              </w:rPr>
              <w:t>7</w:t>
            </w:r>
          </w:p>
        </w:tc>
      </w:tr>
    </w:tbl>
    <w:p w14:paraId="3FF3DF4D" w14:textId="55C3F1A3" w:rsidR="00CC703E" w:rsidRDefault="00E37FDB" w:rsidP="00827C41">
      <w:pPr>
        <w:pStyle w:val="FigureTableNoteSource"/>
        <w:spacing w:before="60" w:line="240" w:lineRule="auto"/>
        <w:contextualSpacing w:val="0"/>
        <w:rPr>
          <w:lang w:eastAsia="ja-JP"/>
        </w:rPr>
      </w:pPr>
      <w:r>
        <w:rPr>
          <w:lang w:eastAsia="ja-JP"/>
        </w:rPr>
        <w:t>Source: Department of Agriculture and Water Resources</w:t>
      </w:r>
      <w:r w:rsidR="00DF1C8D">
        <w:rPr>
          <w:vertAlign w:val="superscript"/>
          <w:lang w:eastAsia="ja-JP"/>
        </w:rPr>
        <w:t>13</w:t>
      </w:r>
      <w:r w:rsidR="00466A7F">
        <w:rPr>
          <w:vertAlign w:val="superscript"/>
          <w:lang w:eastAsia="ja-JP"/>
        </w:rPr>
        <w:t>8</w:t>
      </w:r>
      <w:r w:rsidR="0079536A">
        <w:rPr>
          <w:vertAlign w:val="superscript"/>
          <w:lang w:eastAsia="ja-JP"/>
        </w:rPr>
        <w:t xml:space="preserve"> (p. 26)</w:t>
      </w:r>
    </w:p>
    <w:p w14:paraId="09CA5056" w14:textId="5919E0A4" w:rsidR="00CC703E" w:rsidRDefault="00E37FDB">
      <w:pPr>
        <w:spacing w:before="240" w:after="0"/>
      </w:pPr>
      <w:r>
        <w:t xml:space="preserve">The investigation concluded that six of the nine targeted importers were </w:t>
      </w:r>
      <w:r w:rsidR="00D03CBC">
        <w:t xml:space="preserve">incorrectly </w:t>
      </w:r>
      <w:r>
        <w:t>presenting goods for inspection and foiling the random sampling envisaged in the import conditions. As a result, many batches likely to be WSSV positive were not being tested. In some instances importers substituted product, presenting Australian prawns as imported prawns to ensure a negative testing result for the consignment.</w:t>
      </w:r>
    </w:p>
    <w:p w14:paraId="3178B209" w14:textId="50CBD908" w:rsidR="00CC703E" w:rsidRDefault="00E37FDB">
      <w:pPr>
        <w:spacing w:after="0"/>
        <w:rPr>
          <w:szCs w:val="24"/>
        </w:rPr>
      </w:pPr>
      <w:r>
        <w:t xml:space="preserve">Operation Cattai led to a much higher batch failure rate than </w:t>
      </w:r>
      <w:r w:rsidR="00C07BB4">
        <w:t>‘</w:t>
      </w:r>
      <w:r>
        <w:t>business</w:t>
      </w:r>
      <w:r w:rsidR="00C07BB4">
        <w:t xml:space="preserve"> </w:t>
      </w:r>
      <w:r>
        <w:t>as</w:t>
      </w:r>
      <w:r w:rsidR="00C07BB4">
        <w:t xml:space="preserve"> </w:t>
      </w:r>
      <w:r>
        <w:t>usual</w:t>
      </w:r>
      <w:r w:rsidR="00C07BB4">
        <w:t>’</w:t>
      </w:r>
      <w:r>
        <w:t xml:space="preserve"> inspection and testing. As a result, </w:t>
      </w:r>
      <w:r w:rsidR="00477128">
        <w:t>512 tonnes</w:t>
      </w:r>
      <w:r>
        <w:t xml:space="preserve"> of uncooked infected prawns were listed for re-export </w:t>
      </w:r>
      <w:r>
        <w:rPr>
          <w:szCs w:val="24"/>
        </w:rPr>
        <w:t xml:space="preserve">by late 2016. Verification of re-export in 2017 was difficult, but investigators identified </w:t>
      </w:r>
      <w:r w:rsidR="001B4209">
        <w:rPr>
          <w:szCs w:val="24"/>
        </w:rPr>
        <w:t xml:space="preserve">some </w:t>
      </w:r>
      <w:r>
        <w:rPr>
          <w:szCs w:val="24"/>
        </w:rPr>
        <w:t xml:space="preserve">cases </w:t>
      </w:r>
      <w:r w:rsidR="001B4209">
        <w:rPr>
          <w:szCs w:val="24"/>
        </w:rPr>
        <w:t xml:space="preserve">where compliance with re-export orders could not be verified, </w:t>
      </w:r>
      <w:r>
        <w:rPr>
          <w:szCs w:val="24"/>
        </w:rPr>
        <w:t xml:space="preserve">and one case of confirmed re-import. It is possible that some of this failed product may have been </w:t>
      </w:r>
      <w:r w:rsidR="00D03CBC">
        <w:rPr>
          <w:szCs w:val="24"/>
        </w:rPr>
        <w:t xml:space="preserve">impermissibly </w:t>
      </w:r>
      <w:r>
        <w:rPr>
          <w:szCs w:val="24"/>
        </w:rPr>
        <w:t>diverted into the retail market, leading to wider availability of cheaper infected product</w:t>
      </w:r>
      <w:r w:rsidR="001B4209">
        <w:rPr>
          <w:szCs w:val="24"/>
        </w:rPr>
        <w:t xml:space="preserve"> in late 2016</w:t>
      </w:r>
      <w:r>
        <w:rPr>
          <w:szCs w:val="24"/>
        </w:rPr>
        <w:t>.</w:t>
      </w:r>
    </w:p>
    <w:p w14:paraId="7E52BEFC" w14:textId="0A9240AD" w:rsidR="00CC703E" w:rsidRDefault="00E37FDB" w:rsidP="00997EAC">
      <w:pPr>
        <w:pStyle w:val="Heading4"/>
      </w:pPr>
      <w:r>
        <w:t>Phase 3</w:t>
      </w:r>
      <w:r>
        <w:rPr>
          <w:lang w:val="en-AU"/>
        </w:rPr>
        <w:t xml:space="preserve"> </w:t>
      </w:r>
      <w:r>
        <w:t xml:space="preserve">Monitoring importer manipulation of ‘highly processed prawns’ criteria </w:t>
      </w:r>
      <w:r>
        <w:rPr>
          <w:lang w:val="en-AU"/>
        </w:rPr>
        <w:t xml:space="preserve">to </w:t>
      </w:r>
      <w:r>
        <w:t>avoid prawn testin</w:t>
      </w:r>
      <w:r w:rsidR="00C07BB4">
        <w:rPr>
          <w:lang w:val="en-AU"/>
        </w:rPr>
        <w:t>g,</w:t>
      </w:r>
      <w:r>
        <w:t xml:space="preserve"> August to December 2016</w:t>
      </w:r>
    </w:p>
    <w:p w14:paraId="4775C0D5" w14:textId="34BCEE1D" w:rsidR="00CC703E" w:rsidRDefault="00E37FDB">
      <w:pPr>
        <w:spacing w:after="0"/>
        <w:rPr>
          <w:szCs w:val="24"/>
        </w:rPr>
      </w:pPr>
      <w:r>
        <w:rPr>
          <w:szCs w:val="24"/>
          <w:lang w:eastAsia="en-AU"/>
        </w:rPr>
        <w:t xml:space="preserve">During this phase, investigators aimed to define how importers were using the marinated prawn category and possible post-border marinade washing to avoid biosecurity viral testing. </w:t>
      </w:r>
      <w:r>
        <w:rPr>
          <w:szCs w:val="24"/>
        </w:rPr>
        <w:t xml:space="preserve">It ran concurrently with phases 1 and 2 </w:t>
      </w:r>
      <w:r w:rsidR="00A5797E">
        <w:rPr>
          <w:szCs w:val="24"/>
        </w:rPr>
        <w:t xml:space="preserve">and was intended to continue into 2017, </w:t>
      </w:r>
      <w:r>
        <w:rPr>
          <w:szCs w:val="24"/>
        </w:rPr>
        <w:t>but could not be completed as planned once the import suspension was implemented.</w:t>
      </w:r>
    </w:p>
    <w:p w14:paraId="172D8481" w14:textId="5D34E4BF" w:rsidR="001B4209" w:rsidRPr="00BF4748" w:rsidRDefault="001B4209" w:rsidP="0087638C">
      <w:pPr>
        <w:pStyle w:val="Heading4"/>
      </w:pPr>
      <w:r w:rsidRPr="00BF4748">
        <w:t>Overall outcomes of Operation Cattai</w:t>
      </w:r>
    </w:p>
    <w:p w14:paraId="0B738BD1" w14:textId="4378B927" w:rsidR="00CC703E" w:rsidRDefault="00E37FDB">
      <w:pPr>
        <w:spacing w:after="0"/>
      </w:pPr>
      <w:r>
        <w:t xml:space="preserve">Operation Cattai found an unexpectedly high level of WSSV in retail imported prawns. It also found </w:t>
      </w:r>
      <w:r w:rsidR="00AE557C">
        <w:t xml:space="preserve">that </w:t>
      </w:r>
      <w:r w:rsidR="00665CED">
        <w:t xml:space="preserve">by late 2016 </w:t>
      </w:r>
      <w:r>
        <w:t>six major importers were involved in systematic non-compliance with uncooked prawn import conditions. These importers had handled a total of 46.7 per cent of uncooked prawn imports during 2016.</w:t>
      </w:r>
    </w:p>
    <w:p w14:paraId="6AC77BA2" w14:textId="37F1E5B3" w:rsidR="00CC703E" w:rsidRDefault="00E37FDB">
      <w:pPr>
        <w:spacing w:after="0"/>
      </w:pPr>
      <w:r>
        <w:t xml:space="preserve">The findings led to </w:t>
      </w:r>
      <w:r w:rsidR="00FB4C83" w:rsidRPr="00FB4C83">
        <w:t xml:space="preserve">the revocation of 17 import permits and </w:t>
      </w:r>
      <w:r w:rsidR="005C7675">
        <w:t>one</w:t>
      </w:r>
      <w:r w:rsidR="00FB4C83">
        <w:t xml:space="preserve"> approve</w:t>
      </w:r>
      <w:r w:rsidR="005C7675">
        <w:t>d</w:t>
      </w:r>
      <w:r w:rsidR="00FB4C83">
        <w:t xml:space="preserve"> arrangement</w:t>
      </w:r>
      <w:r w:rsidR="00FB4C83" w:rsidRPr="00FB4C83">
        <w:t xml:space="preserve"> </w:t>
      </w:r>
      <w:r w:rsidR="005C7675">
        <w:t xml:space="preserve">premises </w:t>
      </w:r>
      <w:r w:rsidR="00FB4C83">
        <w:t>(</w:t>
      </w:r>
      <w:r w:rsidR="00AF785E">
        <w:t xml:space="preserve">a </w:t>
      </w:r>
      <w:r w:rsidR="00FB4C83">
        <w:t>cold store</w:t>
      </w:r>
      <w:r w:rsidR="00BD5624">
        <w:t xml:space="preserve"> </w:t>
      </w:r>
      <w:r w:rsidR="00FB4C83">
        <w:t xml:space="preserve">handling imported prawns). </w:t>
      </w:r>
      <w:r w:rsidRPr="00493EEB">
        <w:t>The findings also</w:t>
      </w:r>
      <w:r>
        <w:t xml:space="preserve"> indicated a need for a strengthened ‘fit and proper person’ test</w:t>
      </w:r>
      <w:r w:rsidR="00A963C6">
        <w:t xml:space="preserve"> </w:t>
      </w:r>
      <w:r>
        <w:t xml:space="preserve">to be implemented when future import permits were issued. However, revocation of </w:t>
      </w:r>
      <w:r w:rsidR="00963081">
        <w:t xml:space="preserve">the </w:t>
      </w:r>
      <w:r>
        <w:t>approved arrangement w</w:t>
      </w:r>
      <w:r w:rsidR="00963081">
        <w:t>as</w:t>
      </w:r>
      <w:r>
        <w:t xml:space="preserve"> extremely cumbersome and time-consuming to impose.</w:t>
      </w:r>
    </w:p>
    <w:p w14:paraId="01DEE43A" w14:textId="3ABF416C" w:rsidR="00CC703E" w:rsidRDefault="00E37FDB" w:rsidP="00493EEB">
      <w:pPr>
        <w:spacing w:after="0"/>
      </w:pPr>
      <w:r>
        <w:t xml:space="preserve">By </w:t>
      </w:r>
      <w:r w:rsidR="00EA1374">
        <w:t>October</w:t>
      </w:r>
      <w:r>
        <w:t xml:space="preserve"> 2017 the department’s Enforcement section had conducted 12 investigations into 10 entities involved in prawn importations. Seven of the investigations related to significant matters that required intervention by Enforcement</w:t>
      </w:r>
      <w:r w:rsidRPr="00493EEB">
        <w:t xml:space="preserve"> staff</w:t>
      </w:r>
      <w:r>
        <w:t>:</w:t>
      </w:r>
    </w:p>
    <w:p w14:paraId="5EE6279C" w14:textId="3FE60F71" w:rsidR="00CC703E" w:rsidRDefault="00E37FDB" w:rsidP="008937FF">
      <w:pPr>
        <w:pStyle w:val="ListBullet"/>
      </w:pPr>
      <w:r>
        <w:t>one matter was before the courts</w:t>
      </w:r>
      <w:r w:rsidR="00B359FE">
        <w:t>,</w:t>
      </w:r>
    </w:p>
    <w:p w14:paraId="3E8A81C3" w14:textId="77EB2F60" w:rsidR="00CC703E" w:rsidRDefault="00E37FDB" w:rsidP="008937FF">
      <w:pPr>
        <w:pStyle w:val="ListBullet"/>
      </w:pPr>
      <w:r>
        <w:lastRenderedPageBreak/>
        <w:t xml:space="preserve">a </w:t>
      </w:r>
      <w:r w:rsidRPr="00493EEB">
        <w:t>b</w:t>
      </w:r>
      <w:r>
        <w:t xml:space="preserve">rief of </w:t>
      </w:r>
      <w:r w:rsidRPr="00493EEB">
        <w:t>e</w:t>
      </w:r>
      <w:r>
        <w:t>vidence was being prepared for another investigation to be adjudicated for referral to the C</w:t>
      </w:r>
      <w:r w:rsidRPr="00493EEB">
        <w:t>ommonwealth Director of Public Prosec</w:t>
      </w:r>
      <w:r>
        <w:t>u</w:t>
      </w:r>
      <w:r w:rsidRPr="00493EEB">
        <w:t>tions</w:t>
      </w:r>
      <w:r w:rsidR="00B359FE">
        <w:t>,</w:t>
      </w:r>
    </w:p>
    <w:p w14:paraId="62A0EA82" w14:textId="1485611A" w:rsidR="00CC703E" w:rsidRDefault="00E37FDB" w:rsidP="008937FF">
      <w:pPr>
        <w:pStyle w:val="ListBullet"/>
      </w:pPr>
      <w:r>
        <w:t>one matter was ongoing</w:t>
      </w:r>
      <w:r w:rsidR="00B359FE">
        <w:t>,</w:t>
      </w:r>
    </w:p>
    <w:p w14:paraId="525160CE" w14:textId="5BEAD339" w:rsidR="00CC703E" w:rsidRDefault="00E37FDB" w:rsidP="008937FF">
      <w:pPr>
        <w:pStyle w:val="ListBullet"/>
      </w:pPr>
      <w:r>
        <w:t xml:space="preserve">five investigations had been finalised by issuing </w:t>
      </w:r>
      <w:r w:rsidRPr="00493EEB">
        <w:t>l</w:t>
      </w:r>
      <w:r>
        <w:t xml:space="preserve">etters of </w:t>
      </w:r>
      <w:r w:rsidRPr="00493EEB">
        <w:t>w</w:t>
      </w:r>
      <w:r>
        <w:t xml:space="preserve">arning or </w:t>
      </w:r>
      <w:r w:rsidRPr="00493EEB">
        <w:t>l</w:t>
      </w:r>
      <w:r>
        <w:t xml:space="preserve">etters of </w:t>
      </w:r>
      <w:r w:rsidRPr="00493EEB">
        <w:t>a</w:t>
      </w:r>
      <w:r>
        <w:t>dvice</w:t>
      </w:r>
      <w:r w:rsidR="00B359FE">
        <w:t>, and</w:t>
      </w:r>
    </w:p>
    <w:p w14:paraId="16FBA80A" w14:textId="4ABA8B9D" w:rsidR="00CC703E" w:rsidRDefault="00E37FDB" w:rsidP="008937FF">
      <w:pPr>
        <w:pStyle w:val="ListBullet"/>
      </w:pPr>
      <w:r>
        <w:t xml:space="preserve">four investigations had been closed with ‘No further Enforcement action’. The department could not advance these matters because no offence had been detected. However, in some cases, the department took administrative </w:t>
      </w:r>
      <w:r w:rsidR="00D03CBC">
        <w:t>action</w:t>
      </w:r>
      <w:r>
        <w:t>.</w:t>
      </w:r>
    </w:p>
    <w:p w14:paraId="0759655B" w14:textId="5B7FD3F4" w:rsidR="004D05F6" w:rsidRDefault="004D05F6" w:rsidP="0012200D">
      <w:pPr>
        <w:pStyle w:val="ListBullet"/>
        <w:numPr>
          <w:ilvl w:val="0"/>
          <w:numId w:val="0"/>
        </w:numPr>
      </w:pPr>
      <w:r w:rsidRPr="004D05F6">
        <w:t>By November 2017, after follow-up investigations, the department was taking action against nine importers who had handled about 70 per cent of uncooked prawn imports during 2016. This level of non-compliance is likely to have resulted in significant volumes of uncooked WSSV positive prawns entering Australia.</w:t>
      </w:r>
    </w:p>
    <w:p w14:paraId="4F6A3C02" w14:textId="616A12A1" w:rsidR="00CC703E" w:rsidRDefault="00E37FDB" w:rsidP="008937FF">
      <w:pPr>
        <w:pStyle w:val="Heading2"/>
      </w:pPr>
      <w:bookmarkStart w:id="198" w:name="_Toc490040493"/>
      <w:bookmarkStart w:id="199" w:name="_Toc500508413"/>
      <w:r>
        <w:lastRenderedPageBreak/>
        <w:t>Lessons from Operation Cattai</w:t>
      </w:r>
      <w:bookmarkEnd w:id="198"/>
      <w:bookmarkEnd w:id="199"/>
    </w:p>
    <w:p w14:paraId="398CF14B" w14:textId="0963EF41" w:rsidR="00CC703E" w:rsidRDefault="00E37FDB">
      <w:pPr>
        <w:tabs>
          <w:tab w:val="clear" w:pos="567"/>
        </w:tabs>
        <w:spacing w:before="240" w:after="0"/>
      </w:pPr>
      <w:bookmarkStart w:id="200" w:name="_Toc490040494"/>
      <w:r>
        <w:t xml:space="preserve">At the time, Operation Cattai (2016) was the biggest and most complex compliance campaign the department had ever undertaken. Not only did it reveal non-compliant importer behaviour, it also identified problems with the prawn import controls and internal operations of the department. For example, the import conditions prescribed in the </w:t>
      </w:r>
      <w:r w:rsidR="0084759A">
        <w:t xml:space="preserve">2009 </w:t>
      </w:r>
      <w:r>
        <w:t>IRA were complex, unrealistic and impractical to administer. No single branch in the department had responsibility for implementation—different branches administered different parts of the conditions—so no-one had the whole picture. The department had also experienced significant organisational change and resource pressures since the IRA had been implemented.</w:t>
      </w:r>
    </w:p>
    <w:p w14:paraId="6F11988B" w14:textId="01CFB23B" w:rsidR="00CC703E" w:rsidRDefault="00E37FDB" w:rsidP="00BF4748">
      <w:pPr>
        <w:spacing w:after="0"/>
      </w:pPr>
      <w:r>
        <w:t xml:space="preserve">In contrast to the specific temporary measures implemented during Operation Cattai, the department’s routine procedures were ineffective for managing the biosecurity risks of imported prawns at the border. </w:t>
      </w:r>
      <w:r w:rsidR="003C77C8">
        <w:t>Operation</w:t>
      </w:r>
      <w:r>
        <w:t xml:space="preserve"> </w:t>
      </w:r>
      <w:r w:rsidR="003C77C8">
        <w:t xml:space="preserve">Cattai implementation </w:t>
      </w:r>
      <w:r>
        <w:t>needed:</w:t>
      </w:r>
    </w:p>
    <w:p w14:paraId="11160595" w14:textId="1CE95A6E" w:rsidR="00CC703E" w:rsidRDefault="00E37FDB" w:rsidP="008937FF">
      <w:pPr>
        <w:pStyle w:val="ListBullet"/>
      </w:pPr>
      <w:r>
        <w:t xml:space="preserve">considerable extra assessment </w:t>
      </w:r>
      <w:r w:rsidR="003C77C8">
        <w:t xml:space="preserve">of import documents to detect potential </w:t>
      </w:r>
      <w:r>
        <w:t>importer non-compliance</w:t>
      </w:r>
      <w:r w:rsidR="00955289">
        <w:t>,</w:t>
      </w:r>
    </w:p>
    <w:p w14:paraId="14E0ECFD" w14:textId="3F3EE662" w:rsidR="00CC703E" w:rsidRDefault="00E37FDB" w:rsidP="008937FF">
      <w:pPr>
        <w:pStyle w:val="ListBullet"/>
      </w:pPr>
      <w:r>
        <w:t>better targeting of prawn consignments for extra inspection</w:t>
      </w:r>
      <w:r w:rsidR="00955289">
        <w:t>,</w:t>
      </w:r>
    </w:p>
    <w:p w14:paraId="13F060CF" w14:textId="6B190ED2" w:rsidR="00CC703E" w:rsidRDefault="00E37FDB" w:rsidP="008937FF">
      <w:pPr>
        <w:pStyle w:val="ListBullet"/>
        <w:rPr>
          <w:szCs w:val="24"/>
        </w:rPr>
      </w:pPr>
      <w:r>
        <w:rPr>
          <w:szCs w:val="24"/>
        </w:rPr>
        <w:t>extra inspector training</w:t>
      </w:r>
      <w:r w:rsidR="00955289">
        <w:rPr>
          <w:szCs w:val="24"/>
        </w:rPr>
        <w:t>,</w:t>
      </w:r>
    </w:p>
    <w:p w14:paraId="07BE8FD6" w14:textId="26A4D8A3" w:rsidR="00CC703E" w:rsidRDefault="00E37FDB" w:rsidP="008937FF">
      <w:pPr>
        <w:pStyle w:val="ListBullet"/>
        <w:rPr>
          <w:szCs w:val="24"/>
        </w:rPr>
      </w:pPr>
      <w:r>
        <w:rPr>
          <w:szCs w:val="24"/>
        </w:rPr>
        <w:t>revised work instructions</w:t>
      </w:r>
      <w:r w:rsidR="0084759A">
        <w:rPr>
          <w:szCs w:val="24"/>
        </w:rPr>
        <w:t>, and</w:t>
      </w:r>
    </w:p>
    <w:p w14:paraId="34A0C5C8" w14:textId="798A3012" w:rsidR="00CC703E" w:rsidRDefault="003C77C8" w:rsidP="008937FF">
      <w:pPr>
        <w:pStyle w:val="ListBullet"/>
        <w:rPr>
          <w:szCs w:val="24"/>
        </w:rPr>
      </w:pPr>
      <w:r>
        <w:rPr>
          <w:szCs w:val="24"/>
        </w:rPr>
        <w:t xml:space="preserve">better </w:t>
      </w:r>
      <w:r w:rsidR="00E37FDB">
        <w:rPr>
          <w:szCs w:val="24"/>
        </w:rPr>
        <w:t>personal protective equipment</w:t>
      </w:r>
      <w:r>
        <w:rPr>
          <w:szCs w:val="24"/>
        </w:rPr>
        <w:t xml:space="preserve"> for work in freezers</w:t>
      </w:r>
      <w:r w:rsidR="00E37FDB">
        <w:rPr>
          <w:szCs w:val="24"/>
        </w:rPr>
        <w:t>.</w:t>
      </w:r>
    </w:p>
    <w:p w14:paraId="16D0569C" w14:textId="1535D7D8" w:rsidR="00CC703E" w:rsidRDefault="00E37FDB">
      <w:pPr>
        <w:spacing w:before="240" w:after="0"/>
        <w:rPr>
          <w:szCs w:val="24"/>
        </w:rPr>
      </w:pPr>
      <w:r>
        <w:rPr>
          <w:szCs w:val="24"/>
        </w:rPr>
        <w:t xml:space="preserve">Considerable extra resources had to be applied to carry out seals-intact inspections as part of Operation Cattai. Diversion of newly trained inspectors to meet targeted prawn consignments strained resources in several ports, especially Melbourne, and displaced some other biosecurity operations. Information </w:t>
      </w:r>
      <w:r>
        <w:t>management</w:t>
      </w:r>
      <w:r w:rsidRPr="000A6E2E">
        <w:t xml:space="preserve"> </w:t>
      </w:r>
      <w:r>
        <w:t>issues</w:t>
      </w:r>
      <w:r>
        <w:rPr>
          <w:szCs w:val="24"/>
        </w:rPr>
        <w:t xml:space="preserve"> associated with the scale and complexity of the operation, and a lack of shared network drives for officers across different divisions, complicated information sharing and control. </w:t>
      </w:r>
      <w:r>
        <w:t>This partly accounted for the longer</w:t>
      </w:r>
      <w:r w:rsidRPr="000A6E2E">
        <w:t xml:space="preserve"> </w:t>
      </w:r>
      <w:r>
        <w:t>than</w:t>
      </w:r>
      <w:r w:rsidRPr="000A6E2E">
        <w:t xml:space="preserve"> </w:t>
      </w:r>
      <w:r>
        <w:t>expected planning time, which delayed the start of Operation Cattai by several months. But some clear lessons emerged.</w:t>
      </w:r>
    </w:p>
    <w:p w14:paraId="5197670D" w14:textId="77777777" w:rsidR="00CC703E" w:rsidRPr="008937FF" w:rsidRDefault="00E37FDB" w:rsidP="008937FF">
      <w:pPr>
        <w:pStyle w:val="Heading3"/>
        <w:rPr>
          <w:rStyle w:val="Heading3Char"/>
          <w:rFonts w:eastAsia="Calibri"/>
          <w:b/>
          <w:bCs/>
        </w:rPr>
      </w:pPr>
      <w:bookmarkStart w:id="201" w:name="_Toc500508414"/>
      <w:r w:rsidRPr="008937FF">
        <w:rPr>
          <w:rStyle w:val="Heading3Char"/>
          <w:rFonts w:eastAsia="Calibri"/>
          <w:b/>
          <w:bCs/>
        </w:rPr>
        <w:t>Too much trust in importers to do the right thing</w:t>
      </w:r>
      <w:bookmarkEnd w:id="201"/>
    </w:p>
    <w:p w14:paraId="38594965" w14:textId="678987FF" w:rsidR="00CC703E" w:rsidRDefault="00E37FDB">
      <w:pPr>
        <w:tabs>
          <w:tab w:val="clear" w:pos="567"/>
        </w:tabs>
        <w:spacing w:after="0"/>
        <w:rPr>
          <w:szCs w:val="24"/>
        </w:rPr>
      </w:pPr>
      <w:r>
        <w:rPr>
          <w:szCs w:val="24"/>
        </w:rPr>
        <w:t>The department demonstrated a remarkable level of naivety about the potential for importers to wilfully circumvent import conditions for any class of prawns that required viral testing.</w:t>
      </w:r>
    </w:p>
    <w:p w14:paraId="54618234" w14:textId="492F8B5C" w:rsidR="00CC703E" w:rsidRDefault="00E37FDB">
      <w:pPr>
        <w:tabs>
          <w:tab w:val="clear" w:pos="567"/>
        </w:tabs>
        <w:spacing w:after="0"/>
        <w:rPr>
          <w:szCs w:val="24"/>
        </w:rPr>
      </w:pPr>
      <w:r>
        <w:rPr>
          <w:szCs w:val="24"/>
        </w:rPr>
        <w:t>The import conditions enabled importers to control the presentation of prawn consignments for inspection, sampling and testing. For example:</w:t>
      </w:r>
    </w:p>
    <w:p w14:paraId="3BCCEEEA" w14:textId="3B5A8A99" w:rsidR="00CC703E" w:rsidRDefault="00E37FDB" w:rsidP="008937FF">
      <w:pPr>
        <w:pStyle w:val="ListBullet"/>
      </w:pPr>
      <w:r w:rsidRPr="000A6E2E">
        <w:t xml:space="preserve">the </w:t>
      </w:r>
      <w:r>
        <w:t>complexity of the tariff codes</w:t>
      </w:r>
      <w:r w:rsidRPr="000A6E2E">
        <w:t>, the</w:t>
      </w:r>
      <w:r>
        <w:t xml:space="preserve"> nature of the documentation provided</w:t>
      </w:r>
      <w:r>
        <w:rPr>
          <w:b/>
        </w:rPr>
        <w:t xml:space="preserve"> </w:t>
      </w:r>
      <w:r>
        <w:t>and goods descriptions made assessment of the correct direction difficult</w:t>
      </w:r>
      <w:r w:rsidR="00955289">
        <w:t>,</w:t>
      </w:r>
    </w:p>
    <w:p w14:paraId="3FF661AC" w14:textId="5C6BE1F3" w:rsidR="00CC703E" w:rsidRDefault="00E37FDB" w:rsidP="008937FF">
      <w:pPr>
        <w:pStyle w:val="ListBullet"/>
      </w:pPr>
      <w:r>
        <w:t xml:space="preserve">the department did not require that inspections take place within a specified time after arrival of the goods; delays between cargo discharge and inspection </w:t>
      </w:r>
      <w:r>
        <w:lastRenderedPageBreak/>
        <w:t xml:space="preserve">booking averaged four weeks and sometimes much longer, </w:t>
      </w:r>
      <w:r w:rsidR="008A5C59">
        <w:t>allowing for different contents of</w:t>
      </w:r>
      <w:r>
        <w:t xml:space="preserve"> consignments </w:t>
      </w:r>
      <w:r w:rsidR="008A5C59">
        <w:t>to be presented for</w:t>
      </w:r>
      <w:r>
        <w:t xml:space="preserve"> inspection</w:t>
      </w:r>
      <w:r w:rsidR="003C77C8">
        <w:t>, and</w:t>
      </w:r>
    </w:p>
    <w:p w14:paraId="6A0DD514" w14:textId="31C804A4" w:rsidR="00CC703E" w:rsidRDefault="00E37FDB" w:rsidP="008937FF">
      <w:pPr>
        <w:pStyle w:val="ListBullet"/>
      </w:pPr>
      <w:r>
        <w:t>the requirement for unpack rather than seals-intact inspections allow</w:t>
      </w:r>
      <w:r w:rsidRPr="000A6E2E">
        <w:t>ed</w:t>
      </w:r>
      <w:r>
        <w:t xml:space="preserve"> importers to unload containers into freezers </w:t>
      </w:r>
      <w:r w:rsidRPr="000A6E2E">
        <w:t xml:space="preserve">before </w:t>
      </w:r>
      <w:r>
        <w:t>request</w:t>
      </w:r>
      <w:r w:rsidRPr="000A6E2E">
        <w:t>ing</w:t>
      </w:r>
      <w:r>
        <w:t xml:space="preserve"> an inspection of one or several mingled consignments as determined by them</w:t>
      </w:r>
      <w:r w:rsidRPr="000A6E2E">
        <w:t>;</w:t>
      </w:r>
      <w:r>
        <w:t xml:space="preserve"> this</w:t>
      </w:r>
      <w:r w:rsidRPr="000A6E2E">
        <w:t xml:space="preserve"> </w:t>
      </w:r>
      <w:r w:rsidR="008A5C59">
        <w:t>would allow</w:t>
      </w:r>
      <w:r w:rsidRPr="000A6E2E">
        <w:t xml:space="preserve"> product</w:t>
      </w:r>
      <w:r>
        <w:t xml:space="preserve"> </w:t>
      </w:r>
      <w:r w:rsidR="008A5C59">
        <w:t xml:space="preserve">to be presented </w:t>
      </w:r>
      <w:r>
        <w:t>for inspection that</w:t>
      </w:r>
      <w:r w:rsidRPr="000A6E2E">
        <w:t xml:space="preserve"> was</w:t>
      </w:r>
      <w:r>
        <w:t xml:space="preserve"> likely to test negative for WSSV.</w:t>
      </w:r>
    </w:p>
    <w:p w14:paraId="2FB4590D" w14:textId="2184A8ED" w:rsidR="00CC703E" w:rsidRDefault="00196FF9">
      <w:pPr>
        <w:tabs>
          <w:tab w:val="clear" w:pos="567"/>
        </w:tabs>
        <w:spacing w:after="0"/>
        <w:rPr>
          <w:szCs w:val="24"/>
        </w:rPr>
      </w:pPr>
      <w:r>
        <w:rPr>
          <w:szCs w:val="24"/>
        </w:rPr>
        <w:t>T</w:t>
      </w:r>
      <w:r w:rsidR="00E37FDB" w:rsidRPr="000A6E2E">
        <w:rPr>
          <w:szCs w:val="24"/>
        </w:rPr>
        <w:t xml:space="preserve">he </w:t>
      </w:r>
      <w:r w:rsidRPr="000A6E2E">
        <w:rPr>
          <w:szCs w:val="24"/>
        </w:rPr>
        <w:t>department’s</w:t>
      </w:r>
      <w:r>
        <w:rPr>
          <w:szCs w:val="24"/>
        </w:rPr>
        <w:t xml:space="preserve"> overall </w:t>
      </w:r>
      <w:r w:rsidR="00E37FDB" w:rsidRPr="000A6E2E">
        <w:rPr>
          <w:szCs w:val="24"/>
        </w:rPr>
        <w:t xml:space="preserve">attitude towards importers </w:t>
      </w:r>
      <w:r>
        <w:rPr>
          <w:szCs w:val="24"/>
        </w:rPr>
        <w:t>was to consider them</w:t>
      </w:r>
      <w:r w:rsidR="00E37FDB">
        <w:rPr>
          <w:szCs w:val="24"/>
        </w:rPr>
        <w:t xml:space="preserve"> as client</w:t>
      </w:r>
      <w:r w:rsidR="00E37FDB" w:rsidRPr="000A6E2E">
        <w:rPr>
          <w:szCs w:val="24"/>
        </w:rPr>
        <w:t>s. This meant that inspectors, in order to facilitate trade, completed</w:t>
      </w:r>
      <w:r w:rsidR="00E37FDB">
        <w:rPr>
          <w:szCs w:val="24"/>
        </w:rPr>
        <w:t xml:space="preserve"> prescribed inspection measures </w:t>
      </w:r>
      <w:r w:rsidR="00B736D9">
        <w:rPr>
          <w:szCs w:val="24"/>
        </w:rPr>
        <w:t xml:space="preserve">at QAPs </w:t>
      </w:r>
      <w:r w:rsidR="00E37FDB">
        <w:rPr>
          <w:szCs w:val="24"/>
        </w:rPr>
        <w:t>as quickly as possible once an inspection was booked. Field officers are more exposed than most of the department’s workforce to the regulator versus facilitator role tension. Before Cattai phase 2, inspectors may have been unclear about which approach was more important and valued: performing a quick inspection (facilitation) versus a detailed sample collection (regulation).</w:t>
      </w:r>
    </w:p>
    <w:p w14:paraId="34C91A12" w14:textId="54934439" w:rsidR="00CC703E" w:rsidRDefault="00E37FDB">
      <w:pPr>
        <w:tabs>
          <w:tab w:val="clear" w:pos="567"/>
        </w:tabs>
        <w:spacing w:after="0"/>
        <w:rPr>
          <w:rStyle w:val="Heading3Char"/>
          <w:rFonts w:eastAsia="Calibri"/>
        </w:rPr>
      </w:pPr>
      <w:r>
        <w:rPr>
          <w:szCs w:val="24"/>
        </w:rPr>
        <w:t xml:space="preserve">As phase 2 of Operation Cattai progressed (August to December 2016), inspectors undertaking prawn inspection and sampling increased their understanding and non-compliance detection capability. Inspectors were briefed regularly on various non-compliance measures as they arose and given inspection summaries </w:t>
      </w:r>
      <w:r w:rsidR="004854DF">
        <w:rPr>
          <w:szCs w:val="24"/>
        </w:rPr>
        <w:t>of</w:t>
      </w:r>
      <w:r w:rsidR="00196FF9">
        <w:rPr>
          <w:szCs w:val="24"/>
        </w:rPr>
        <w:t xml:space="preserve"> </w:t>
      </w:r>
      <w:r>
        <w:rPr>
          <w:szCs w:val="24"/>
        </w:rPr>
        <w:t>those behaviours and explain</w:t>
      </w:r>
      <w:r w:rsidR="004854DF">
        <w:rPr>
          <w:szCs w:val="24"/>
        </w:rPr>
        <w:t>ed</w:t>
      </w:r>
      <w:r>
        <w:rPr>
          <w:szCs w:val="24"/>
        </w:rPr>
        <w:t xml:space="preserve"> how to identify them.</w:t>
      </w:r>
    </w:p>
    <w:p w14:paraId="21F9EFEB" w14:textId="77777777" w:rsidR="00CC703E" w:rsidRPr="008937FF" w:rsidRDefault="00E37FDB" w:rsidP="008937FF">
      <w:pPr>
        <w:pStyle w:val="Heading3"/>
        <w:rPr>
          <w:rStyle w:val="Heading3Char"/>
          <w:rFonts w:eastAsia="Calibri"/>
          <w:b/>
          <w:bCs/>
        </w:rPr>
      </w:pPr>
      <w:bookmarkStart w:id="202" w:name="_Toc500508415"/>
      <w:r w:rsidRPr="008937FF">
        <w:rPr>
          <w:rStyle w:val="Heading3Char"/>
          <w:rFonts w:eastAsia="Calibri"/>
          <w:b/>
          <w:bCs/>
        </w:rPr>
        <w:t>Weak assessment and inspection procedures</w:t>
      </w:r>
      <w:bookmarkEnd w:id="202"/>
    </w:p>
    <w:p w14:paraId="48CDCAA6" w14:textId="77777777" w:rsidR="00F84A8D" w:rsidRPr="00F84A8D" w:rsidRDefault="002A3367" w:rsidP="00F84A8D">
      <w:pPr>
        <w:tabs>
          <w:tab w:val="clear" w:pos="567"/>
        </w:tabs>
        <w:spacing w:after="0"/>
        <w:rPr>
          <w:rFonts w:cs="Calibri"/>
          <w:szCs w:val="24"/>
          <w:lang w:eastAsia="en-AU"/>
        </w:rPr>
      </w:pPr>
      <w:r w:rsidRPr="00F84A8D">
        <w:rPr>
          <w:rFonts w:cs="Calibri"/>
          <w:szCs w:val="24"/>
          <w:lang w:eastAsia="en-AU"/>
        </w:rPr>
        <w:t>Operation Cattai found that inspection and sampling of prawn consignments was not being carried out in the manner envisaged in the IRA due to a range of technical and practical issues.</w:t>
      </w:r>
    </w:p>
    <w:p w14:paraId="0C75D9E0" w14:textId="47B26DEA" w:rsidR="00CC703E" w:rsidRDefault="00E37FDB" w:rsidP="008937FF">
      <w:pPr>
        <w:pStyle w:val="Heading4"/>
      </w:pPr>
      <w:r>
        <w:t xml:space="preserve">Extra assessment of import declarations </w:t>
      </w:r>
      <w:r w:rsidR="00D65387">
        <w:rPr>
          <w:lang w:val="en-AU"/>
        </w:rPr>
        <w:t xml:space="preserve">was needed </w:t>
      </w:r>
    </w:p>
    <w:p w14:paraId="20340F23" w14:textId="756E7600" w:rsidR="00CC703E" w:rsidRDefault="00E37FDB">
      <w:pPr>
        <w:tabs>
          <w:tab w:val="clear" w:pos="567"/>
        </w:tabs>
        <w:spacing w:after="0"/>
        <w:rPr>
          <w:rFonts w:cs="Calibri"/>
          <w:szCs w:val="24"/>
          <w:lang w:eastAsia="en-AU"/>
        </w:rPr>
      </w:pPr>
      <w:r>
        <w:rPr>
          <w:rFonts w:cs="Calibri"/>
          <w:szCs w:val="24"/>
          <w:lang w:eastAsia="en-AU"/>
        </w:rPr>
        <w:t xml:space="preserve">The department’s routine assessment processes for documents accompanying prawn imports needed to be strengthened. </w:t>
      </w:r>
      <w:r w:rsidR="00D65387">
        <w:rPr>
          <w:rFonts w:cs="Calibri"/>
          <w:szCs w:val="24"/>
          <w:lang w:eastAsia="en-AU"/>
        </w:rPr>
        <w:t>During Operation Cattai, s</w:t>
      </w:r>
      <w:r>
        <w:rPr>
          <w:rFonts w:cs="Calibri"/>
          <w:szCs w:val="24"/>
          <w:lang w:eastAsia="en-AU"/>
        </w:rPr>
        <w:t xml:space="preserve">pecially trained assessors compared the </w:t>
      </w:r>
      <w:r>
        <w:rPr>
          <w:szCs w:val="24"/>
        </w:rPr>
        <w:t>highly variable tariff coding with the importer</w:t>
      </w:r>
      <w:r w:rsidR="00377C3E">
        <w:rPr>
          <w:szCs w:val="24"/>
        </w:rPr>
        <w:t>’</w:t>
      </w:r>
      <w:r>
        <w:rPr>
          <w:szCs w:val="24"/>
        </w:rPr>
        <w:t>s complex description of the goods to determine</w:t>
      </w:r>
      <w:r>
        <w:rPr>
          <w:rFonts w:cs="Calibri"/>
          <w:szCs w:val="24"/>
          <w:lang w:eastAsia="en-AU"/>
        </w:rPr>
        <w:t xml:space="preserve"> any directions for onshore inspection/treatments required by the import permit. This primary assessment took about 15 minutes longer per consignment than </w:t>
      </w:r>
      <w:r w:rsidR="002A3367">
        <w:rPr>
          <w:rFonts w:cs="Calibri"/>
          <w:szCs w:val="24"/>
          <w:lang w:eastAsia="en-AU"/>
        </w:rPr>
        <w:t>previous</w:t>
      </w:r>
      <w:r>
        <w:rPr>
          <w:rFonts w:cs="Calibri"/>
          <w:szCs w:val="24"/>
          <w:lang w:eastAsia="en-AU"/>
        </w:rPr>
        <w:t xml:space="preserve"> assessment</w:t>
      </w:r>
      <w:r w:rsidR="002A3367">
        <w:rPr>
          <w:rFonts w:cs="Calibri"/>
          <w:szCs w:val="24"/>
          <w:lang w:eastAsia="en-AU"/>
        </w:rPr>
        <w:t>s</w:t>
      </w:r>
      <w:r>
        <w:rPr>
          <w:rFonts w:cs="Calibri"/>
          <w:szCs w:val="24"/>
          <w:lang w:eastAsia="en-AU"/>
        </w:rPr>
        <w:t>.</w:t>
      </w:r>
    </w:p>
    <w:p w14:paraId="0835845D" w14:textId="6BC3C2EB" w:rsidR="00CC703E" w:rsidRDefault="00E37FDB">
      <w:pPr>
        <w:tabs>
          <w:tab w:val="clear" w:pos="567"/>
        </w:tabs>
        <w:spacing w:after="0"/>
        <w:rPr>
          <w:rFonts w:cs="Calibri"/>
          <w:szCs w:val="24"/>
          <w:lang w:eastAsia="en-AU"/>
        </w:rPr>
      </w:pPr>
      <w:r>
        <w:t>Because</w:t>
      </w:r>
      <w:r>
        <w:rPr>
          <w:rFonts w:cs="Calibri"/>
          <w:szCs w:val="24"/>
          <w:lang w:eastAsia="en-AU"/>
        </w:rPr>
        <w:t xml:space="preserve"> Operation Cattai was targeting suspect importers, whose identity was sensitive and confidential, a second manual check was made by Compliance staff to identify any raw peeled prawn consignments that were being presented by these entities.</w:t>
      </w:r>
    </w:p>
    <w:p w14:paraId="5A713FDC" w14:textId="23C5AF4D" w:rsidR="00CC703E" w:rsidRDefault="00E37FDB" w:rsidP="008937FF">
      <w:pPr>
        <w:pStyle w:val="Heading4"/>
      </w:pPr>
      <w:r>
        <w:t>Difficulty in defining a batch or identifying prawn species</w:t>
      </w:r>
    </w:p>
    <w:p w14:paraId="45ABD1E8" w14:textId="068CD1D3" w:rsidR="00CC703E" w:rsidRDefault="00E37FDB">
      <w:pPr>
        <w:spacing w:after="0"/>
        <w:rPr>
          <w:szCs w:val="24"/>
        </w:rPr>
      </w:pPr>
      <w:r>
        <w:t xml:space="preserve">The inspector verified the goods by matching the paperwork supplied, confirming the number of batches in the shipment and verifying that the number of boxes in the consignment and the sizing categories met the commercial documentation. </w:t>
      </w:r>
      <w:r>
        <w:rPr>
          <w:szCs w:val="24"/>
        </w:rPr>
        <w:t xml:space="preserve">Definitions of batch varied and were difficult for inspectors to verify. It was impossible for border inspectors to verify that a declared batch had come from a single </w:t>
      </w:r>
      <w:r>
        <w:rPr>
          <w:szCs w:val="24"/>
        </w:rPr>
        <w:lastRenderedPageBreak/>
        <w:t>pond harvested on a single day—even though the integrity of the sampling procedure relied on this.</w:t>
      </w:r>
    </w:p>
    <w:p w14:paraId="6BA09C34" w14:textId="1BAECECF" w:rsidR="00CC703E" w:rsidRDefault="00E37FDB">
      <w:pPr>
        <w:spacing w:after="0"/>
      </w:pPr>
      <w:r>
        <w:t>In practice, one or several entire containers of frozen uncooked prawns (with up to 20 tonnes of prawns per 40-foot container) were often declared as a single batch. There were incentives to declare a consignment as a single batch—every extra batch that needed sampling and testing incurred a significant extra cost and the risk of batch failure and consequent re-export would be even more costly.</w:t>
      </w:r>
    </w:p>
    <w:p w14:paraId="0B955873" w14:textId="489A79FB" w:rsidR="00CC703E" w:rsidRDefault="00E37FDB">
      <w:pPr>
        <w:rPr>
          <w:szCs w:val="24"/>
        </w:rPr>
      </w:pPr>
      <w:r>
        <w:t xml:space="preserve">The onus was on the inspector to check sufficient cartons for clues to verify whether consignments consisted of more than one batch. </w:t>
      </w:r>
      <w:r>
        <w:rPr>
          <w:szCs w:val="24"/>
        </w:rPr>
        <w:t xml:space="preserve">The instructional material relating to batch identification and sampling had been written from an overseas production perspective rather than a border field inspection perspective. Clues to help inspectors </w:t>
      </w:r>
      <w:r w:rsidR="0028244E">
        <w:rPr>
          <w:szCs w:val="24"/>
        </w:rPr>
        <w:t xml:space="preserve">identify different batches </w:t>
      </w:r>
      <w:r>
        <w:rPr>
          <w:szCs w:val="24"/>
        </w:rPr>
        <w:t>(</w:t>
      </w:r>
      <w:r w:rsidRPr="004854DF">
        <w:rPr>
          <w:szCs w:val="24"/>
        </w:rPr>
        <w:t xml:space="preserve">incorporating </w:t>
      </w:r>
      <w:r w:rsidR="0028244E">
        <w:rPr>
          <w:szCs w:val="24"/>
        </w:rPr>
        <w:t>labelling</w:t>
      </w:r>
      <w:r w:rsidRPr="004854DF">
        <w:rPr>
          <w:szCs w:val="24"/>
        </w:rPr>
        <w:t xml:space="preserve"> </w:t>
      </w:r>
      <w:r w:rsidRPr="0028244E">
        <w:rPr>
          <w:szCs w:val="24"/>
        </w:rPr>
        <w:t>applied</w:t>
      </w:r>
      <w:r w:rsidRPr="00426E37">
        <w:rPr>
          <w:szCs w:val="24"/>
        </w:rPr>
        <w:t xml:space="preserve"> to cartons</w:t>
      </w:r>
      <w:r w:rsidR="0028244E">
        <w:rPr>
          <w:szCs w:val="24"/>
        </w:rPr>
        <w:t xml:space="preserve"> before export</w:t>
      </w:r>
      <w:r w:rsidR="004854DF">
        <w:rPr>
          <w:szCs w:val="24"/>
        </w:rPr>
        <w:t>)</w:t>
      </w:r>
      <w:r>
        <w:rPr>
          <w:szCs w:val="24"/>
        </w:rPr>
        <w:t xml:space="preserve"> had been added into different work instructions and instructional material over time. Clues included checking for different production dates, lot numbers, processing plants or pond numbers, different processing runs, different species or country of origin and whether the prawns had been farmed or wild-caught.</w:t>
      </w:r>
    </w:p>
    <w:p w14:paraId="7B6EFA6E" w14:textId="783F4C94" w:rsidR="00CC703E" w:rsidRDefault="00E37FDB">
      <w:pPr>
        <w:tabs>
          <w:tab w:val="clear" w:pos="567"/>
        </w:tabs>
        <w:spacing w:before="60" w:after="0"/>
        <w:rPr>
          <w:szCs w:val="24"/>
        </w:rPr>
      </w:pPr>
      <w:r w:rsidRPr="006810A8">
        <w:rPr>
          <w:szCs w:val="24"/>
        </w:rPr>
        <w:t xml:space="preserve">During Cattai phase 2, </w:t>
      </w:r>
      <w:r>
        <w:rPr>
          <w:szCs w:val="24"/>
        </w:rPr>
        <w:t>new instructions</w:t>
      </w:r>
      <w:r w:rsidRPr="006810A8">
        <w:rPr>
          <w:szCs w:val="24"/>
        </w:rPr>
        <w:t xml:space="preserve"> with</w:t>
      </w:r>
      <w:r>
        <w:rPr>
          <w:szCs w:val="24"/>
        </w:rPr>
        <w:t xml:space="preserve"> a more detailed definition of a ‘batch’ </w:t>
      </w:r>
      <w:r w:rsidRPr="006810A8">
        <w:rPr>
          <w:szCs w:val="24"/>
        </w:rPr>
        <w:t xml:space="preserve">enabled inspectors to </w:t>
      </w:r>
      <w:r>
        <w:rPr>
          <w:szCs w:val="24"/>
        </w:rPr>
        <w:t xml:space="preserve">identify </w:t>
      </w:r>
      <w:r w:rsidRPr="006810A8">
        <w:rPr>
          <w:szCs w:val="24"/>
        </w:rPr>
        <w:t xml:space="preserve">the </w:t>
      </w:r>
      <w:r>
        <w:rPr>
          <w:szCs w:val="24"/>
        </w:rPr>
        <w:t>increas</w:t>
      </w:r>
      <w:r w:rsidRPr="006810A8">
        <w:rPr>
          <w:szCs w:val="24"/>
        </w:rPr>
        <w:t>ing</w:t>
      </w:r>
      <w:r>
        <w:rPr>
          <w:szCs w:val="24"/>
        </w:rPr>
        <w:t xml:space="preserve"> numbers of undeclared prawn batches. This indicated that</w:t>
      </w:r>
      <w:r w:rsidRPr="006810A8">
        <w:rPr>
          <w:szCs w:val="24"/>
        </w:rPr>
        <w:t xml:space="preserve"> most </w:t>
      </w:r>
      <w:r>
        <w:rPr>
          <w:szCs w:val="24"/>
        </w:rPr>
        <w:t xml:space="preserve">consignments </w:t>
      </w:r>
      <w:r w:rsidRPr="006810A8">
        <w:rPr>
          <w:szCs w:val="24"/>
        </w:rPr>
        <w:t xml:space="preserve">assessed </w:t>
      </w:r>
      <w:r>
        <w:rPr>
          <w:szCs w:val="24"/>
        </w:rPr>
        <w:t>before the introduction of the new instructions</w:t>
      </w:r>
      <w:r w:rsidRPr="006810A8">
        <w:rPr>
          <w:szCs w:val="24"/>
        </w:rPr>
        <w:t xml:space="preserve"> </w:t>
      </w:r>
      <w:r>
        <w:rPr>
          <w:szCs w:val="24"/>
        </w:rPr>
        <w:t>were</w:t>
      </w:r>
      <w:r w:rsidRPr="006810A8">
        <w:rPr>
          <w:szCs w:val="24"/>
        </w:rPr>
        <w:t xml:space="preserve"> unlikely to have been sampled sufficiently </w:t>
      </w:r>
      <w:r>
        <w:rPr>
          <w:szCs w:val="24"/>
        </w:rPr>
        <w:t>to demonstrat</w:t>
      </w:r>
      <w:r w:rsidRPr="006810A8">
        <w:rPr>
          <w:szCs w:val="24"/>
        </w:rPr>
        <w:t>e</w:t>
      </w:r>
      <w:r>
        <w:rPr>
          <w:szCs w:val="24"/>
        </w:rPr>
        <w:t xml:space="preserve"> with 95 per cent confidence that they contained less than </w:t>
      </w:r>
      <w:r w:rsidRPr="006810A8">
        <w:rPr>
          <w:szCs w:val="24"/>
        </w:rPr>
        <w:t>5</w:t>
      </w:r>
      <w:r>
        <w:rPr>
          <w:szCs w:val="24"/>
        </w:rPr>
        <w:t xml:space="preserve"> per cent of WSSV</w:t>
      </w:r>
      <w:r w:rsidRPr="006810A8">
        <w:rPr>
          <w:szCs w:val="24"/>
        </w:rPr>
        <w:t>-</w:t>
      </w:r>
      <w:r>
        <w:rPr>
          <w:szCs w:val="24"/>
        </w:rPr>
        <w:t>positive prawns.</w:t>
      </w:r>
    </w:p>
    <w:p w14:paraId="358C0012" w14:textId="6B3CFAFA" w:rsidR="00CC703E" w:rsidRDefault="00E37FDB">
      <w:r>
        <w:t xml:space="preserve">According to Compliance staff, lack of inspector training may have enabled some importers to systematically substitute yellow Australian banana prawns for grey imported vannamei prawns at two Sydney </w:t>
      </w:r>
      <w:r w:rsidR="002A3367">
        <w:t>quarantine approved</w:t>
      </w:r>
      <w:r>
        <w:t xml:space="preserve"> premises, undetected by attending inspectors. However, it would have been impossible for any macroscopic inspection of peeled frozen prawns to reliably detect different prawn species. Only sampling for DNA </w:t>
      </w:r>
      <w:r w:rsidR="00B736D9">
        <w:t xml:space="preserve">species </w:t>
      </w:r>
      <w:r>
        <w:t>testing could do this.</w:t>
      </w:r>
    </w:p>
    <w:p w14:paraId="1F2BBA87" w14:textId="0571D710" w:rsidR="00CC703E" w:rsidRDefault="00E37FDB" w:rsidP="004854DF">
      <w:pPr>
        <w:pStyle w:val="Heading4"/>
      </w:pPr>
      <w:r>
        <w:t>Industry sometimes select</w:t>
      </w:r>
      <w:r w:rsidR="0028244E">
        <w:rPr>
          <w:lang w:val="en-AU"/>
        </w:rPr>
        <w:t>ed</w:t>
      </w:r>
      <w:r>
        <w:t xml:space="preserve"> cartons to be sampled</w:t>
      </w:r>
    </w:p>
    <w:p w14:paraId="6B9F9413" w14:textId="5021BC49" w:rsidR="00CC703E" w:rsidRDefault="00E37FDB">
      <w:pPr>
        <w:spacing w:after="0"/>
      </w:pPr>
      <w:r>
        <w:t xml:space="preserve">Before Cattai phase 2 began, a number of field verification visits </w:t>
      </w:r>
      <w:r w:rsidR="002A3367">
        <w:t xml:space="preserve">in early 2016 </w:t>
      </w:r>
      <w:r>
        <w:t>found that carton selection was sometimes organised by the</w:t>
      </w:r>
      <w:r w:rsidR="0028244E">
        <w:t xml:space="preserve"> importer/QAP operator </w:t>
      </w:r>
      <w:r w:rsidR="004854DF">
        <w:t xml:space="preserve">but </w:t>
      </w:r>
      <w:r>
        <w:t xml:space="preserve">not the inspector. After importers booked the inspections, they had enough time </w:t>
      </w:r>
      <w:r w:rsidR="00C578AB">
        <w:t xml:space="preserve">potentially </w:t>
      </w:r>
      <w:r>
        <w:t>to move tampered cartons to the front of pallets for sampling.</w:t>
      </w:r>
    </w:p>
    <w:p w14:paraId="64007E3B" w14:textId="668A9059" w:rsidR="00CC703E" w:rsidRDefault="00E37FDB">
      <w:pPr>
        <w:spacing w:after="0"/>
      </w:pPr>
      <w:r>
        <w:t xml:space="preserve">Work instructions required inspectors to randomly select the pallets/cartons to be sampled </w:t>
      </w:r>
      <w:r w:rsidR="00C578AB">
        <w:t xml:space="preserve">so that </w:t>
      </w:r>
      <w:r>
        <w:t>the broker/importer</w:t>
      </w:r>
      <w:r w:rsidR="00E3477F">
        <w:t>/person in charge of the QAP</w:t>
      </w:r>
      <w:r>
        <w:t xml:space="preserve"> </w:t>
      </w:r>
      <w:r w:rsidR="00C578AB">
        <w:t>c</w:t>
      </w:r>
      <w:r>
        <w:t xml:space="preserve">ould bring them out to a safe sampling area. </w:t>
      </w:r>
      <w:r w:rsidR="00E3477F">
        <w:t>However, in practice, it was impossible to select cartons randomly once consignments had been unloaded into freezers, with cartons piled high and shrink-wrapped on pallets. This again compromised sampling validity. While inspectors might enter the freezers briefly to indicate the pallets and/or cartons to be sampled, i</w:t>
      </w:r>
      <w:r>
        <w:t xml:space="preserve">t was (and is) unsafe for inspectors to working for any length of time in freezers that might be as cold as –30 °C, and they did not have suitable protective clothing for this. Freezers are dangerous, often cramped </w:t>
      </w:r>
      <w:r>
        <w:lastRenderedPageBreak/>
        <w:t>for space, poorly lit and frequent</w:t>
      </w:r>
      <w:r w:rsidRPr="000015D1">
        <w:t>ly accessed by</w:t>
      </w:r>
      <w:r>
        <w:t xml:space="preserve"> high-speed forklifts with heavy loads.</w:t>
      </w:r>
    </w:p>
    <w:p w14:paraId="4F1E7E57" w14:textId="33CA6CD0" w:rsidR="00377C3E" w:rsidRDefault="00377C3E">
      <w:pPr>
        <w:spacing w:after="0"/>
      </w:pPr>
      <w:r w:rsidRPr="00377C3E">
        <w:t>The cost of the inspection would be recovered from the broker/importer, who was keen to minimise the inspection time and sometimes assist the inspector by having the cartons and sampling area ready when the inspector arrived. This compromised verification of the number of batches in a consignment as well as random sampling.</w:t>
      </w:r>
    </w:p>
    <w:p w14:paraId="01F79BD7" w14:textId="33611657" w:rsidR="00CC703E" w:rsidRPr="004854DF" w:rsidRDefault="00E37FDB" w:rsidP="004854DF">
      <w:pPr>
        <w:pStyle w:val="Heading4"/>
      </w:pPr>
      <w:r w:rsidRPr="004854DF">
        <w:t>Inspectors worked alone under time and importer pressure</w:t>
      </w:r>
    </w:p>
    <w:p w14:paraId="13224AFE" w14:textId="53DBE095" w:rsidR="00CC703E" w:rsidRDefault="00E37FDB" w:rsidP="00026B14">
      <w:pPr>
        <w:spacing w:after="0"/>
      </w:pPr>
      <w:r>
        <w:t xml:space="preserve">Inspectors were normally on tight schedules and were often required to conduct several inspections and/or samplings </w:t>
      </w:r>
      <w:r w:rsidR="00B736D9">
        <w:t xml:space="preserve">of different imported goods </w:t>
      </w:r>
      <w:r>
        <w:t>at different establishments across the city on the same day. Inspectors often visited the same broker/importer repeatedly and were rarely rotated, particularly in locations where consignment volumes and the number of trained inspectors were lower.</w:t>
      </w:r>
    </w:p>
    <w:p w14:paraId="25A3BB7C" w14:textId="05E073BF" w:rsidR="00CC703E" w:rsidRDefault="00E37FDB">
      <w:pPr>
        <w:spacing w:after="0"/>
      </w:pPr>
      <w:r>
        <w:t>Most significantly, a single inspector was expected to complete inspection and sampling of a typical consignment in approximately half an hour, and this was reflected in the schedules set by their supervisors</w:t>
      </w:r>
      <w:r w:rsidR="00E3477F">
        <w:t xml:space="preserve"> and in importer expectations</w:t>
      </w:r>
      <w:r w:rsidR="0012200D">
        <w:t>.</w:t>
      </w:r>
    </w:p>
    <w:p w14:paraId="155C39EC" w14:textId="54836EC8" w:rsidR="00CC703E" w:rsidRDefault="00E37FDB">
      <w:pPr>
        <w:spacing w:after="0"/>
        <w:rPr>
          <w:szCs w:val="24"/>
        </w:rPr>
      </w:pPr>
      <w:r>
        <w:rPr>
          <w:szCs w:val="24"/>
        </w:rPr>
        <w:t xml:space="preserve">During Operation Cattai, the department realised that it would not be possible for a single inspector to carry out a seals-intact inspection—verifying the consignment, conducting random sample selection and processing—in the 30-minute time frame typically allocated for </w:t>
      </w:r>
      <w:r w:rsidR="00E75C31">
        <w:rPr>
          <w:szCs w:val="24"/>
        </w:rPr>
        <w:t>‘</w:t>
      </w:r>
      <w:r>
        <w:rPr>
          <w:szCs w:val="24"/>
        </w:rPr>
        <w:t>business</w:t>
      </w:r>
      <w:r w:rsidR="00E75C31">
        <w:rPr>
          <w:szCs w:val="24"/>
        </w:rPr>
        <w:t xml:space="preserve"> </w:t>
      </w:r>
      <w:r>
        <w:rPr>
          <w:szCs w:val="24"/>
        </w:rPr>
        <w:t>as</w:t>
      </w:r>
      <w:r w:rsidR="00E75C31">
        <w:rPr>
          <w:szCs w:val="24"/>
        </w:rPr>
        <w:t xml:space="preserve"> </w:t>
      </w:r>
      <w:r>
        <w:rPr>
          <w:szCs w:val="24"/>
        </w:rPr>
        <w:t>usual</w:t>
      </w:r>
      <w:r w:rsidR="00E75C31">
        <w:rPr>
          <w:szCs w:val="24"/>
        </w:rPr>
        <w:t>’</w:t>
      </w:r>
      <w:r>
        <w:rPr>
          <w:szCs w:val="24"/>
        </w:rPr>
        <w:t xml:space="preserve"> prawn unpack inspections. The department instead allocated a total of four hours each for two inspectors to conduct seals-intact inspection (an estimated total eight hours per inspection). However, some s</w:t>
      </w:r>
      <w:r w:rsidRPr="00E75C31">
        <w:rPr>
          <w:szCs w:val="24"/>
        </w:rPr>
        <w:t>eals-intact inspections took</w:t>
      </w:r>
      <w:r>
        <w:rPr>
          <w:szCs w:val="24"/>
        </w:rPr>
        <w:t xml:space="preserve"> 16 hours </w:t>
      </w:r>
      <w:r w:rsidR="00C578AB">
        <w:rPr>
          <w:szCs w:val="24"/>
        </w:rPr>
        <w:t xml:space="preserve">of inspector time </w:t>
      </w:r>
      <w:r>
        <w:rPr>
          <w:szCs w:val="24"/>
        </w:rPr>
        <w:t>because of the numbers of batches in a consignment or the levels of non-compliance detected.</w:t>
      </w:r>
    </w:p>
    <w:p w14:paraId="0E26DD37" w14:textId="77777777" w:rsidR="00CC703E" w:rsidRPr="008937FF" w:rsidRDefault="00E37FDB" w:rsidP="008937FF">
      <w:pPr>
        <w:pStyle w:val="Heading3"/>
        <w:rPr>
          <w:rStyle w:val="Heading3Char"/>
          <w:rFonts w:eastAsia="Calibri"/>
          <w:b/>
          <w:bCs/>
        </w:rPr>
      </w:pPr>
      <w:bookmarkStart w:id="203" w:name="_Toc500508416"/>
      <w:r w:rsidRPr="008937FF">
        <w:rPr>
          <w:rStyle w:val="Heading3Char"/>
          <w:rFonts w:eastAsia="Calibri"/>
          <w:b/>
          <w:bCs/>
        </w:rPr>
        <w:t>Variation in laboratory testing procedures and interpretation</w:t>
      </w:r>
      <w:bookmarkEnd w:id="203"/>
    </w:p>
    <w:p w14:paraId="04014F97" w14:textId="3F00044A" w:rsidR="00CC703E" w:rsidRDefault="00E37FDB">
      <w:pPr>
        <w:spacing w:before="240" w:after="0"/>
      </w:pPr>
      <w:r>
        <w:t xml:space="preserve">Differences in the testing methods and interpretations of each laboratory resulted in significantly different rates of batches failing the WSSV testing procedure. </w:t>
      </w:r>
      <w:r w:rsidR="00F84A8D">
        <w:t xml:space="preserve">All </w:t>
      </w:r>
      <w:r>
        <w:t xml:space="preserve">laboratories testing imported prawns for WSSV were required to be NATA accredited and to use a test described by the World Organisation for Animal Health (an ‘OIE test or equivalent’). However, their laboratory procedures and interpretation of the test results were not nationally standardised. This meant that some samples with low levels of WSSV DNA were classified by one laboratory as ‘negative’ and by another laboratory as ‘positive’. This </w:t>
      </w:r>
      <w:r w:rsidR="008A5C59">
        <w:t>difference may</w:t>
      </w:r>
      <w:r>
        <w:t xml:space="preserve"> have resulted in some infected batches of prawns being released from quarantine.</w:t>
      </w:r>
      <w:bookmarkEnd w:id="200"/>
    </w:p>
    <w:p w14:paraId="415707B5" w14:textId="5CBD8B9F" w:rsidR="00CC703E" w:rsidRDefault="00E37FDB" w:rsidP="00E75C31">
      <w:pPr>
        <w:pStyle w:val="Heading4"/>
      </w:pPr>
      <w:r>
        <w:t xml:space="preserve">Arrangements for testing prawns </w:t>
      </w:r>
      <w:r w:rsidRPr="00E37FDB">
        <w:t xml:space="preserve">for WSSV </w:t>
      </w:r>
      <w:r w:rsidRPr="00E75C31">
        <w:rPr>
          <w:lang w:val="en-AU"/>
        </w:rPr>
        <w:t xml:space="preserve">up </w:t>
      </w:r>
      <w:r w:rsidRPr="00E37FDB">
        <w:t>to 2016</w:t>
      </w:r>
    </w:p>
    <w:p w14:paraId="2C5E2111" w14:textId="1EA1C4FC" w:rsidR="00CC703E" w:rsidRDefault="00E37FDB">
      <w:pPr>
        <w:autoSpaceDE w:val="0"/>
        <w:autoSpaceDN w:val="0"/>
        <w:adjustRightInd w:val="0"/>
        <w:spacing w:after="0"/>
        <w:rPr>
          <w:lang w:eastAsia="en-AU"/>
        </w:rPr>
      </w:pPr>
      <w:r w:rsidRPr="00E75C31">
        <w:rPr>
          <w:lang w:eastAsia="en-AU"/>
        </w:rPr>
        <w:t>From</w:t>
      </w:r>
      <w:r>
        <w:rPr>
          <w:lang w:eastAsia="en-AU"/>
        </w:rPr>
        <w:t xml:space="preserve"> 2009 </w:t>
      </w:r>
      <w:r w:rsidRPr="00E75C31">
        <w:rPr>
          <w:lang w:eastAsia="en-AU"/>
        </w:rPr>
        <w:t>to</w:t>
      </w:r>
      <w:r>
        <w:rPr>
          <w:lang w:eastAsia="en-AU"/>
        </w:rPr>
        <w:t xml:space="preserve"> 2016 any </w:t>
      </w:r>
      <w:r w:rsidRPr="00E75C31">
        <w:rPr>
          <w:lang w:eastAsia="en-AU"/>
        </w:rPr>
        <w:t xml:space="preserve">broker/importer whose consignment tested </w:t>
      </w:r>
      <w:r>
        <w:rPr>
          <w:lang w:eastAsia="en-AU"/>
        </w:rPr>
        <w:t xml:space="preserve">positive </w:t>
      </w:r>
      <w:r w:rsidRPr="00E75C31">
        <w:rPr>
          <w:lang w:eastAsia="en-AU"/>
        </w:rPr>
        <w:t>for</w:t>
      </w:r>
      <w:r>
        <w:rPr>
          <w:lang w:eastAsia="en-AU"/>
        </w:rPr>
        <w:t xml:space="preserve"> WSSV </w:t>
      </w:r>
      <w:r w:rsidR="00B97BF4">
        <w:rPr>
          <w:lang w:eastAsia="en-AU"/>
        </w:rPr>
        <w:t xml:space="preserve">at either EMAI or AAA </w:t>
      </w:r>
      <w:r>
        <w:rPr>
          <w:lang w:eastAsia="en-AU"/>
        </w:rPr>
        <w:t xml:space="preserve">could </w:t>
      </w:r>
      <w:r w:rsidRPr="00E75C31">
        <w:rPr>
          <w:lang w:eastAsia="en-AU"/>
        </w:rPr>
        <w:t xml:space="preserve">request to have the sample </w:t>
      </w:r>
      <w:r>
        <w:rPr>
          <w:lang w:eastAsia="en-AU"/>
        </w:rPr>
        <w:t xml:space="preserve">sent to AAHL for a confirmatory test at </w:t>
      </w:r>
      <w:r w:rsidRPr="00E75C31">
        <w:rPr>
          <w:lang w:eastAsia="en-AU"/>
        </w:rPr>
        <w:t>their own</w:t>
      </w:r>
      <w:r>
        <w:rPr>
          <w:lang w:eastAsia="en-AU"/>
        </w:rPr>
        <w:t xml:space="preserve"> expense</w:t>
      </w:r>
      <w:r w:rsidR="00C578AB">
        <w:rPr>
          <w:lang w:eastAsia="en-AU"/>
        </w:rPr>
        <w:t>, presumably with the hope that it would be found to be negative</w:t>
      </w:r>
      <w:r>
        <w:rPr>
          <w:lang w:eastAsia="en-AU"/>
        </w:rPr>
        <w:t xml:space="preserve">. Most prawn samples sent for confirmation during this period were </w:t>
      </w:r>
      <w:r w:rsidR="00E3477F">
        <w:rPr>
          <w:lang w:eastAsia="en-AU"/>
        </w:rPr>
        <w:t>confirm</w:t>
      </w:r>
      <w:r>
        <w:rPr>
          <w:lang w:eastAsia="en-AU"/>
        </w:rPr>
        <w:t>ed as WSSV-positive by AAHL.</w:t>
      </w:r>
    </w:p>
    <w:p w14:paraId="75C77358" w14:textId="77777777" w:rsidR="00AE557C" w:rsidRDefault="00C578AB">
      <w:pPr>
        <w:spacing w:after="0"/>
      </w:pPr>
      <w:r>
        <w:lastRenderedPageBreak/>
        <w:t>The private screening laboratory, AAA, tested the majority of imported prawn samples from 2010 onwards. However, f</w:t>
      </w:r>
      <w:r w:rsidR="00E37FDB">
        <w:t>rom 2014 to 2016 the number of samples sent to EMAI for testing declined (</w:t>
      </w:r>
      <w:r w:rsidR="002B67D0">
        <w:fldChar w:fldCharType="begin"/>
      </w:r>
      <w:r w:rsidR="002B67D0">
        <w:instrText xml:space="preserve"> REF _Ref499323495 \h </w:instrText>
      </w:r>
      <w:r w:rsidR="002B67D0">
        <w:fldChar w:fldCharType="separate"/>
      </w:r>
      <w:r w:rsidR="00121BC1">
        <w:t xml:space="preserve">Table </w:t>
      </w:r>
      <w:r w:rsidR="00121BC1">
        <w:rPr>
          <w:noProof/>
        </w:rPr>
        <w:t>10</w:t>
      </w:r>
      <w:r w:rsidR="002B67D0">
        <w:fldChar w:fldCharType="end"/>
      </w:r>
      <w:r w:rsidR="00E37FDB">
        <w:t>). In contrast, an increase in tests sent to AAA result</w:t>
      </w:r>
      <w:r>
        <w:t>ed</w:t>
      </w:r>
      <w:r w:rsidR="00E37FDB">
        <w:t xml:space="preserve"> in the </w:t>
      </w:r>
      <w:r w:rsidR="001B4209">
        <w:t>private</w:t>
      </w:r>
      <w:r w:rsidR="00E37FDB">
        <w:t xml:space="preserve"> laboratory carrying out the bulk of imported prawn testing during that period.</w:t>
      </w:r>
    </w:p>
    <w:p w14:paraId="47EC7633" w14:textId="77777777" w:rsidR="00AE557C" w:rsidRDefault="00AE557C">
      <w:pPr>
        <w:spacing w:after="0"/>
        <w:rPr>
          <w:bCs/>
        </w:rPr>
      </w:pPr>
      <w:r>
        <w:rPr>
          <w:bCs/>
        </w:rPr>
        <w:t xml:space="preserve">In May 2016 the department informed importers and industry that it had approved a third laboratory, AgriGen Biotech, for testing imported prawns. AgriGen Biotech was provisionally approved as a </w:t>
      </w:r>
      <w:r>
        <w:rPr>
          <w:rFonts w:eastAsia="Times New Roman" w:cs="Segoe UI"/>
          <w:color w:val="000000"/>
          <w:lang w:val="en" w:eastAsia="en-AU"/>
        </w:rPr>
        <w:t xml:space="preserve">QAP from April to June 2016 (when the </w:t>
      </w:r>
      <w:r>
        <w:rPr>
          <w:rFonts w:eastAsia="Times New Roman" w:cs="Segoe UI"/>
          <w:i/>
          <w:color w:val="000000"/>
          <w:lang w:val="en" w:eastAsia="en-AU"/>
        </w:rPr>
        <w:t>Quarantine Act 1908</w:t>
      </w:r>
      <w:r>
        <w:rPr>
          <w:rFonts w:eastAsia="Times New Roman" w:cs="Segoe UI"/>
          <w:color w:val="000000"/>
          <w:lang w:val="en" w:eastAsia="en-AU"/>
        </w:rPr>
        <w:t xml:space="preserve"> ceased) but was not accredited </w:t>
      </w:r>
      <w:r>
        <w:rPr>
          <w:bCs/>
        </w:rPr>
        <w:t xml:space="preserve">for WSSV testing </w:t>
      </w:r>
      <w:r>
        <w:rPr>
          <w:rFonts w:eastAsia="Times New Roman" w:cs="Segoe UI"/>
          <w:color w:val="000000"/>
          <w:lang w:val="en" w:eastAsia="en-AU"/>
        </w:rPr>
        <w:t xml:space="preserve">by NATA until </w:t>
      </w:r>
      <w:r>
        <w:t xml:space="preserve">September 2016. It formally became an approved arrangement under the </w:t>
      </w:r>
      <w:r>
        <w:rPr>
          <w:i/>
        </w:rPr>
        <w:t>Biosecurity Act 2015</w:t>
      </w:r>
      <w:r>
        <w:t xml:space="preserve"> on 6 October 2016.</w:t>
      </w:r>
    </w:p>
    <w:p w14:paraId="32275946" w14:textId="557F6189" w:rsidR="00CC703E" w:rsidRDefault="00AE557C">
      <w:pPr>
        <w:spacing w:after="0"/>
        <w:rPr>
          <w:rStyle w:val="Heading3Char"/>
          <w:rFonts w:ascii="Calibri" w:eastAsia="Calibri" w:hAnsi="Calibri"/>
          <w:b w:val="0"/>
          <w:bCs w:val="0"/>
          <w:color w:val="auto"/>
          <w:szCs w:val="22"/>
        </w:rPr>
      </w:pPr>
      <w:r>
        <w:rPr>
          <w:bCs/>
        </w:rPr>
        <w:t xml:space="preserve">AgriGen </w:t>
      </w:r>
      <w:r>
        <w:t>Biotech</w:t>
      </w:r>
      <w:r>
        <w:rPr>
          <w:bCs/>
        </w:rPr>
        <w:t xml:space="preserve"> had a small number of staff who had previously worked under contract to AAA. When these staff left AAA, they took their own equipment and opened a new purpose-built laboratory on 5 May 2016. </w:t>
      </w:r>
      <w:r>
        <w:t>Meanwhile, samples that AAA was not resourced to test were subcontracted to EMAI until AAA could employ new staff and replace the equipment. There was no review of the changed QAP status of AAA by the department nor did NATA carry out a new audit of AAA to address changes in staff and equipment.</w:t>
      </w:r>
    </w:p>
    <w:p w14:paraId="4EB57DD9" w14:textId="23A9DC21" w:rsidR="00750E24" w:rsidRDefault="00750E24" w:rsidP="00750E24">
      <w:pPr>
        <w:pStyle w:val="Caption"/>
      </w:pPr>
      <w:bookmarkStart w:id="204" w:name="_Ref499323495"/>
      <w:bookmarkStart w:id="205" w:name="_Toc500508487"/>
      <w:r>
        <w:t xml:space="preserve">Table </w:t>
      </w:r>
      <w:r w:rsidR="00F329C0">
        <w:fldChar w:fldCharType="begin"/>
      </w:r>
      <w:r w:rsidR="00F329C0">
        <w:instrText xml:space="preserve"> SEQ Table \* ARABIC </w:instrText>
      </w:r>
      <w:r w:rsidR="00F329C0">
        <w:fldChar w:fldCharType="separate"/>
      </w:r>
      <w:r w:rsidR="00121BC1">
        <w:rPr>
          <w:noProof/>
        </w:rPr>
        <w:t>10</w:t>
      </w:r>
      <w:r w:rsidR="00F329C0">
        <w:rPr>
          <w:noProof/>
        </w:rPr>
        <w:fldChar w:fldCharType="end"/>
      </w:r>
      <w:bookmarkEnd w:id="204"/>
      <w:r w:rsidRPr="00750E24">
        <w:t xml:space="preserve"> </w:t>
      </w:r>
      <w:r w:rsidRPr="000F53BE">
        <w:t>I</w:t>
      </w:r>
      <w:r>
        <w:t xml:space="preserve">mported uncooked prawn specimens </w:t>
      </w:r>
      <w:r w:rsidRPr="000F53BE">
        <w:t>tested for WSSV at</w:t>
      </w:r>
      <w:r>
        <w:t xml:space="preserve"> EMAI, 2007–2016</w:t>
      </w:r>
      <w:bookmarkEnd w:id="205"/>
    </w:p>
    <w:tbl>
      <w:tblPr>
        <w:tblStyle w:val="TableGrid8"/>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5"/>
        <w:gridCol w:w="803"/>
        <w:gridCol w:w="1276"/>
      </w:tblGrid>
      <w:tr w:rsidR="00CC703E" w14:paraId="502562FE" w14:textId="77777777" w:rsidTr="00E35675">
        <w:tc>
          <w:tcPr>
            <w:tcW w:w="1465" w:type="dxa"/>
            <w:vMerge w:val="restart"/>
          </w:tcPr>
          <w:p w14:paraId="3F15793B" w14:textId="77777777" w:rsidR="00CC703E" w:rsidRDefault="00E37FDB">
            <w:pPr>
              <w:pStyle w:val="Tableheading"/>
            </w:pPr>
            <w:r>
              <w:t>Year</w:t>
            </w:r>
          </w:p>
        </w:tc>
        <w:tc>
          <w:tcPr>
            <w:tcW w:w="2079" w:type="dxa"/>
            <w:gridSpan w:val="2"/>
          </w:tcPr>
          <w:p w14:paraId="35D89052" w14:textId="45A903DA" w:rsidR="00CC703E" w:rsidRDefault="00E37FDB" w:rsidP="000F53BE">
            <w:pPr>
              <w:pStyle w:val="Tableheading"/>
              <w:jc w:val="center"/>
            </w:pPr>
            <w:r>
              <w:t>Total count (no.)</w:t>
            </w:r>
          </w:p>
        </w:tc>
      </w:tr>
      <w:tr w:rsidR="00CC703E" w14:paraId="3D92B839" w14:textId="77777777" w:rsidTr="00E35675">
        <w:tc>
          <w:tcPr>
            <w:tcW w:w="1465" w:type="dxa"/>
            <w:vMerge/>
          </w:tcPr>
          <w:p w14:paraId="455395DF" w14:textId="77777777" w:rsidR="00CC703E" w:rsidRDefault="00CC703E">
            <w:pPr>
              <w:pStyle w:val="Tableheading"/>
            </w:pPr>
          </w:p>
        </w:tc>
        <w:tc>
          <w:tcPr>
            <w:tcW w:w="803" w:type="dxa"/>
          </w:tcPr>
          <w:p w14:paraId="32A95F8F" w14:textId="77777777" w:rsidR="00CC703E" w:rsidRDefault="00E37FDB">
            <w:pPr>
              <w:pStyle w:val="Tableheading"/>
            </w:pPr>
            <w:r>
              <w:t>Batches</w:t>
            </w:r>
          </w:p>
        </w:tc>
        <w:tc>
          <w:tcPr>
            <w:tcW w:w="1276" w:type="dxa"/>
          </w:tcPr>
          <w:p w14:paraId="26C3B8BB" w14:textId="77777777" w:rsidR="00CC703E" w:rsidRDefault="00E37FDB" w:rsidP="000F53BE">
            <w:pPr>
              <w:pStyle w:val="Tableheading"/>
              <w:jc w:val="right"/>
            </w:pPr>
            <w:r>
              <w:t>Clients</w:t>
            </w:r>
          </w:p>
        </w:tc>
      </w:tr>
      <w:tr w:rsidR="00CC703E" w14:paraId="00920D90" w14:textId="77777777" w:rsidTr="00E35675">
        <w:tc>
          <w:tcPr>
            <w:tcW w:w="1465" w:type="dxa"/>
          </w:tcPr>
          <w:p w14:paraId="40B237D3" w14:textId="77777777" w:rsidR="00CC703E" w:rsidRDefault="00E37FDB">
            <w:pPr>
              <w:pStyle w:val="Tabletext"/>
            </w:pPr>
            <w:r>
              <w:t>2007</w:t>
            </w:r>
          </w:p>
        </w:tc>
        <w:tc>
          <w:tcPr>
            <w:tcW w:w="803" w:type="dxa"/>
          </w:tcPr>
          <w:p w14:paraId="101480AF" w14:textId="77777777" w:rsidR="00CC703E" w:rsidRDefault="00E37FDB">
            <w:pPr>
              <w:pStyle w:val="Tabletext"/>
              <w:jc w:val="right"/>
            </w:pPr>
            <w:r>
              <w:t>43</w:t>
            </w:r>
          </w:p>
        </w:tc>
        <w:tc>
          <w:tcPr>
            <w:tcW w:w="1276" w:type="dxa"/>
          </w:tcPr>
          <w:p w14:paraId="7D9963AE" w14:textId="77777777" w:rsidR="00CC703E" w:rsidRDefault="00E37FDB">
            <w:pPr>
              <w:pStyle w:val="Tabletext"/>
              <w:jc w:val="right"/>
            </w:pPr>
            <w:r>
              <w:t>11</w:t>
            </w:r>
          </w:p>
        </w:tc>
      </w:tr>
      <w:tr w:rsidR="00CC703E" w14:paraId="6769C705" w14:textId="77777777" w:rsidTr="00E35675">
        <w:tc>
          <w:tcPr>
            <w:tcW w:w="1465" w:type="dxa"/>
          </w:tcPr>
          <w:p w14:paraId="7E1F10D2" w14:textId="77777777" w:rsidR="00CC703E" w:rsidRDefault="00E37FDB">
            <w:pPr>
              <w:pStyle w:val="Tabletext"/>
            </w:pPr>
            <w:r>
              <w:t>2008</w:t>
            </w:r>
          </w:p>
        </w:tc>
        <w:tc>
          <w:tcPr>
            <w:tcW w:w="803" w:type="dxa"/>
          </w:tcPr>
          <w:p w14:paraId="08D53B62" w14:textId="77777777" w:rsidR="00CC703E" w:rsidRDefault="00E37FDB">
            <w:pPr>
              <w:pStyle w:val="Tabletext"/>
              <w:jc w:val="right"/>
            </w:pPr>
            <w:r>
              <w:t>148</w:t>
            </w:r>
          </w:p>
        </w:tc>
        <w:tc>
          <w:tcPr>
            <w:tcW w:w="1276" w:type="dxa"/>
          </w:tcPr>
          <w:p w14:paraId="7753DD9D" w14:textId="77777777" w:rsidR="00CC703E" w:rsidRDefault="00E37FDB">
            <w:pPr>
              <w:pStyle w:val="Tabletext"/>
              <w:jc w:val="right"/>
            </w:pPr>
            <w:r>
              <w:t>13</w:t>
            </w:r>
          </w:p>
        </w:tc>
      </w:tr>
      <w:tr w:rsidR="00CC703E" w14:paraId="4F58611D" w14:textId="77777777" w:rsidTr="00E35675">
        <w:tc>
          <w:tcPr>
            <w:tcW w:w="1465" w:type="dxa"/>
          </w:tcPr>
          <w:p w14:paraId="6004F5BD" w14:textId="77777777" w:rsidR="00CC703E" w:rsidRDefault="00E37FDB">
            <w:pPr>
              <w:pStyle w:val="Tabletext"/>
            </w:pPr>
            <w:r>
              <w:t>2009</w:t>
            </w:r>
          </w:p>
        </w:tc>
        <w:tc>
          <w:tcPr>
            <w:tcW w:w="803" w:type="dxa"/>
          </w:tcPr>
          <w:p w14:paraId="39543538" w14:textId="77777777" w:rsidR="00CC703E" w:rsidRDefault="00E37FDB">
            <w:pPr>
              <w:pStyle w:val="Tabletext"/>
              <w:jc w:val="right"/>
            </w:pPr>
            <w:r>
              <w:t>241</w:t>
            </w:r>
          </w:p>
        </w:tc>
        <w:tc>
          <w:tcPr>
            <w:tcW w:w="1276" w:type="dxa"/>
          </w:tcPr>
          <w:p w14:paraId="6E8A6BD9" w14:textId="77777777" w:rsidR="00CC703E" w:rsidRDefault="00E37FDB">
            <w:pPr>
              <w:pStyle w:val="Tabletext"/>
              <w:jc w:val="right"/>
            </w:pPr>
            <w:r>
              <w:t>12</w:t>
            </w:r>
          </w:p>
        </w:tc>
      </w:tr>
      <w:tr w:rsidR="00CC703E" w14:paraId="52DCC9A7" w14:textId="77777777" w:rsidTr="00E35675">
        <w:tc>
          <w:tcPr>
            <w:tcW w:w="1465" w:type="dxa"/>
          </w:tcPr>
          <w:p w14:paraId="0C9263FD" w14:textId="77777777" w:rsidR="00CC703E" w:rsidRDefault="00E37FDB">
            <w:pPr>
              <w:pStyle w:val="Tabletext"/>
            </w:pPr>
            <w:r>
              <w:t>2010</w:t>
            </w:r>
          </w:p>
        </w:tc>
        <w:tc>
          <w:tcPr>
            <w:tcW w:w="803" w:type="dxa"/>
          </w:tcPr>
          <w:p w14:paraId="67129B34" w14:textId="77777777" w:rsidR="00CC703E" w:rsidRDefault="00E37FDB">
            <w:pPr>
              <w:pStyle w:val="Tabletext"/>
              <w:jc w:val="right"/>
            </w:pPr>
            <w:r>
              <w:t>159</w:t>
            </w:r>
          </w:p>
        </w:tc>
        <w:tc>
          <w:tcPr>
            <w:tcW w:w="1276" w:type="dxa"/>
          </w:tcPr>
          <w:p w14:paraId="4FD8FFDE" w14:textId="77777777" w:rsidR="00CC703E" w:rsidRDefault="00E37FDB">
            <w:pPr>
              <w:pStyle w:val="Tabletext"/>
              <w:jc w:val="right"/>
            </w:pPr>
            <w:r>
              <w:t>10</w:t>
            </w:r>
          </w:p>
        </w:tc>
      </w:tr>
      <w:tr w:rsidR="00CC703E" w14:paraId="110903B7" w14:textId="77777777" w:rsidTr="00E35675">
        <w:tc>
          <w:tcPr>
            <w:tcW w:w="1465" w:type="dxa"/>
          </w:tcPr>
          <w:p w14:paraId="7B30FBFB" w14:textId="77777777" w:rsidR="00CC703E" w:rsidRDefault="00E37FDB">
            <w:pPr>
              <w:pStyle w:val="Tabletext"/>
            </w:pPr>
            <w:r>
              <w:t>2011</w:t>
            </w:r>
          </w:p>
        </w:tc>
        <w:tc>
          <w:tcPr>
            <w:tcW w:w="803" w:type="dxa"/>
          </w:tcPr>
          <w:p w14:paraId="213FD71A" w14:textId="77777777" w:rsidR="00CC703E" w:rsidRDefault="00E37FDB">
            <w:pPr>
              <w:pStyle w:val="Tabletext"/>
              <w:jc w:val="right"/>
            </w:pPr>
            <w:r>
              <w:t>275</w:t>
            </w:r>
          </w:p>
        </w:tc>
        <w:tc>
          <w:tcPr>
            <w:tcW w:w="1276" w:type="dxa"/>
          </w:tcPr>
          <w:p w14:paraId="292BD14B" w14:textId="77777777" w:rsidR="00CC703E" w:rsidRDefault="00E37FDB">
            <w:pPr>
              <w:pStyle w:val="Tabletext"/>
              <w:jc w:val="right"/>
            </w:pPr>
            <w:r>
              <w:t>7</w:t>
            </w:r>
          </w:p>
        </w:tc>
      </w:tr>
      <w:tr w:rsidR="00CC703E" w14:paraId="25F149D1" w14:textId="77777777" w:rsidTr="00E35675">
        <w:tc>
          <w:tcPr>
            <w:tcW w:w="1465" w:type="dxa"/>
          </w:tcPr>
          <w:p w14:paraId="21E03250" w14:textId="77777777" w:rsidR="00CC703E" w:rsidRDefault="00E37FDB">
            <w:pPr>
              <w:pStyle w:val="Tabletext"/>
            </w:pPr>
            <w:r>
              <w:t>2012</w:t>
            </w:r>
          </w:p>
        </w:tc>
        <w:tc>
          <w:tcPr>
            <w:tcW w:w="803" w:type="dxa"/>
          </w:tcPr>
          <w:p w14:paraId="30F6EEB2" w14:textId="77777777" w:rsidR="00CC703E" w:rsidRDefault="00E37FDB">
            <w:pPr>
              <w:pStyle w:val="Tabletext"/>
              <w:jc w:val="right"/>
            </w:pPr>
            <w:r>
              <w:t>187</w:t>
            </w:r>
          </w:p>
        </w:tc>
        <w:tc>
          <w:tcPr>
            <w:tcW w:w="1276" w:type="dxa"/>
          </w:tcPr>
          <w:p w14:paraId="0C2FEF05" w14:textId="77777777" w:rsidR="00CC703E" w:rsidRDefault="00E37FDB">
            <w:pPr>
              <w:pStyle w:val="Tabletext"/>
              <w:jc w:val="right"/>
            </w:pPr>
            <w:r>
              <w:t>8</w:t>
            </w:r>
          </w:p>
        </w:tc>
      </w:tr>
      <w:tr w:rsidR="00CC703E" w14:paraId="5BFE6945" w14:textId="77777777" w:rsidTr="00E35675">
        <w:tc>
          <w:tcPr>
            <w:tcW w:w="1465" w:type="dxa"/>
          </w:tcPr>
          <w:p w14:paraId="34A996D7" w14:textId="77777777" w:rsidR="00CC703E" w:rsidRDefault="00E37FDB">
            <w:pPr>
              <w:pStyle w:val="Tabletext"/>
            </w:pPr>
            <w:r>
              <w:t>2013</w:t>
            </w:r>
          </w:p>
        </w:tc>
        <w:tc>
          <w:tcPr>
            <w:tcW w:w="803" w:type="dxa"/>
          </w:tcPr>
          <w:p w14:paraId="690C8D9F" w14:textId="77777777" w:rsidR="00CC703E" w:rsidRDefault="00E37FDB">
            <w:pPr>
              <w:pStyle w:val="Tabletext"/>
              <w:jc w:val="right"/>
            </w:pPr>
            <w:r>
              <w:t>202</w:t>
            </w:r>
          </w:p>
        </w:tc>
        <w:tc>
          <w:tcPr>
            <w:tcW w:w="1276" w:type="dxa"/>
          </w:tcPr>
          <w:p w14:paraId="21A1EC99" w14:textId="77777777" w:rsidR="00CC703E" w:rsidRDefault="00E37FDB">
            <w:pPr>
              <w:pStyle w:val="Tabletext"/>
              <w:jc w:val="right"/>
            </w:pPr>
            <w:r>
              <w:t>5</w:t>
            </w:r>
          </w:p>
        </w:tc>
      </w:tr>
      <w:tr w:rsidR="00CC703E" w14:paraId="5C387217" w14:textId="77777777" w:rsidTr="00E35675">
        <w:tc>
          <w:tcPr>
            <w:tcW w:w="1465" w:type="dxa"/>
          </w:tcPr>
          <w:p w14:paraId="4A19650A" w14:textId="77777777" w:rsidR="00CC703E" w:rsidRDefault="00E37FDB">
            <w:pPr>
              <w:pStyle w:val="Tabletext"/>
            </w:pPr>
            <w:r>
              <w:t>2014</w:t>
            </w:r>
          </w:p>
        </w:tc>
        <w:tc>
          <w:tcPr>
            <w:tcW w:w="803" w:type="dxa"/>
          </w:tcPr>
          <w:p w14:paraId="4B461CD4" w14:textId="77777777" w:rsidR="00CC703E" w:rsidRDefault="00E37FDB">
            <w:pPr>
              <w:pStyle w:val="Tabletext"/>
              <w:jc w:val="right"/>
            </w:pPr>
            <w:r>
              <w:t>231</w:t>
            </w:r>
          </w:p>
        </w:tc>
        <w:tc>
          <w:tcPr>
            <w:tcW w:w="1276" w:type="dxa"/>
          </w:tcPr>
          <w:p w14:paraId="5BCCD5F1" w14:textId="77777777" w:rsidR="00CC703E" w:rsidRDefault="00E37FDB">
            <w:pPr>
              <w:pStyle w:val="Tabletext"/>
              <w:jc w:val="right"/>
            </w:pPr>
            <w:r>
              <w:t>2</w:t>
            </w:r>
          </w:p>
        </w:tc>
      </w:tr>
      <w:tr w:rsidR="00CC703E" w14:paraId="15E543FB" w14:textId="77777777" w:rsidTr="00E35675">
        <w:tc>
          <w:tcPr>
            <w:tcW w:w="1465" w:type="dxa"/>
          </w:tcPr>
          <w:p w14:paraId="7C7DB9A3" w14:textId="77777777" w:rsidR="00CC703E" w:rsidRDefault="00E37FDB">
            <w:pPr>
              <w:pStyle w:val="Tabletext"/>
            </w:pPr>
            <w:r>
              <w:t>2015</w:t>
            </w:r>
          </w:p>
        </w:tc>
        <w:tc>
          <w:tcPr>
            <w:tcW w:w="803" w:type="dxa"/>
          </w:tcPr>
          <w:p w14:paraId="7E47A7E2" w14:textId="77777777" w:rsidR="00CC703E" w:rsidRDefault="00E37FDB">
            <w:pPr>
              <w:pStyle w:val="Tabletext"/>
              <w:jc w:val="right"/>
            </w:pPr>
            <w:r>
              <w:t>79</w:t>
            </w:r>
          </w:p>
        </w:tc>
        <w:tc>
          <w:tcPr>
            <w:tcW w:w="1276" w:type="dxa"/>
          </w:tcPr>
          <w:p w14:paraId="1E008B1B" w14:textId="77777777" w:rsidR="00CC703E" w:rsidRDefault="00E37FDB">
            <w:pPr>
              <w:pStyle w:val="Tabletext"/>
              <w:jc w:val="right"/>
            </w:pPr>
            <w:r>
              <w:t>2</w:t>
            </w:r>
          </w:p>
        </w:tc>
      </w:tr>
      <w:tr w:rsidR="00CC703E" w14:paraId="79EB7756" w14:textId="77777777" w:rsidTr="00E35675">
        <w:tc>
          <w:tcPr>
            <w:tcW w:w="1465" w:type="dxa"/>
          </w:tcPr>
          <w:p w14:paraId="176DBE5E" w14:textId="77777777" w:rsidR="00CC703E" w:rsidRDefault="00E37FDB">
            <w:pPr>
              <w:pStyle w:val="Tabletext"/>
            </w:pPr>
            <w:r>
              <w:t>2016</w:t>
            </w:r>
          </w:p>
        </w:tc>
        <w:tc>
          <w:tcPr>
            <w:tcW w:w="803" w:type="dxa"/>
          </w:tcPr>
          <w:p w14:paraId="682CC8E1" w14:textId="77777777" w:rsidR="00CC703E" w:rsidRDefault="00E37FDB">
            <w:pPr>
              <w:pStyle w:val="Tabletext"/>
              <w:jc w:val="right"/>
            </w:pPr>
            <w:r>
              <w:t>44</w:t>
            </w:r>
          </w:p>
        </w:tc>
        <w:tc>
          <w:tcPr>
            <w:tcW w:w="1276" w:type="dxa"/>
          </w:tcPr>
          <w:p w14:paraId="19234A70" w14:textId="77777777" w:rsidR="00CC703E" w:rsidRDefault="00E37FDB">
            <w:pPr>
              <w:pStyle w:val="Tabletext"/>
              <w:jc w:val="right"/>
            </w:pPr>
            <w:r>
              <w:t>2</w:t>
            </w:r>
          </w:p>
        </w:tc>
      </w:tr>
    </w:tbl>
    <w:p w14:paraId="23E77944" w14:textId="77777777" w:rsidR="00CC703E" w:rsidRDefault="00E37FDB">
      <w:pPr>
        <w:pStyle w:val="FigureTableNoteSource"/>
        <w:rPr>
          <w:lang w:eastAsia="ja-JP"/>
        </w:rPr>
      </w:pPr>
      <w:r>
        <w:rPr>
          <w:lang w:eastAsia="ja-JP"/>
        </w:rPr>
        <w:t>Source: Elizabeth Macarthur Agricultural Institute, New South Wales</w:t>
      </w:r>
    </w:p>
    <w:p w14:paraId="4CC56ADC" w14:textId="3C9772D4" w:rsidR="00CC703E" w:rsidRDefault="00E37FDB" w:rsidP="00F300F2">
      <w:pPr>
        <w:spacing w:before="360" w:after="0"/>
      </w:pPr>
      <w:r>
        <w:t xml:space="preserve">These oversights of required departmental laboratory approval processes may reflect the extreme pressure the department was under through 2016. At the time, the department was revising all its administrative and regulatory processes before, during and after the transition from the </w:t>
      </w:r>
      <w:r>
        <w:rPr>
          <w:i/>
        </w:rPr>
        <w:t>Quarantine Act 1908</w:t>
      </w:r>
      <w:r>
        <w:t xml:space="preserve"> to the </w:t>
      </w:r>
      <w:r>
        <w:rPr>
          <w:i/>
        </w:rPr>
        <w:t>Biosecurity Act 2015</w:t>
      </w:r>
      <w:r>
        <w:t xml:space="preserve"> (</w:t>
      </w:r>
      <w:r w:rsidR="00411E41">
        <w:t xml:space="preserve">which </w:t>
      </w:r>
      <w:r>
        <w:t xml:space="preserve">commenced </w:t>
      </w:r>
      <w:r w:rsidR="00F84A8D">
        <w:t xml:space="preserve">on </w:t>
      </w:r>
      <w:r>
        <w:t>16 June 2016). Throughout this process, import trade continued unabated and had to be serviced.</w:t>
      </w:r>
    </w:p>
    <w:p w14:paraId="4CA153FC" w14:textId="4B8F4D93" w:rsidR="00CC703E" w:rsidRDefault="00E37FDB" w:rsidP="000F53BE">
      <w:pPr>
        <w:pStyle w:val="Heading4"/>
      </w:pPr>
      <w:r>
        <w:lastRenderedPageBreak/>
        <w:t>Operation Cattai f</w:t>
      </w:r>
      <w:r w:rsidR="00685B80">
        <w:rPr>
          <w:lang w:val="en-AU"/>
        </w:rPr>
        <w:t>ound</w:t>
      </w:r>
      <w:r>
        <w:t xml:space="preserve"> discrepancies in WSSV test results from different laboratories</w:t>
      </w:r>
    </w:p>
    <w:p w14:paraId="641FD11F" w14:textId="09B23EE5" w:rsidR="00CC703E" w:rsidRDefault="00E37FDB">
      <w:pPr>
        <w:spacing w:after="0"/>
        <w:rPr>
          <w:rStyle w:val="Heading3Char"/>
          <w:rFonts w:ascii="Calibri" w:eastAsia="Calibri" w:hAnsi="Calibri"/>
          <w:b w:val="0"/>
          <w:bCs w:val="0"/>
          <w:color w:val="auto"/>
          <w:szCs w:val="22"/>
        </w:rPr>
      </w:pPr>
      <w:r>
        <w:t>In May 2016 EMAI found an unexpectedly high number of WSSV</w:t>
      </w:r>
      <w:r w:rsidR="004854DF">
        <w:t>-</w:t>
      </w:r>
      <w:r>
        <w:t>positive</w:t>
      </w:r>
      <w:r w:rsidR="00435DB4">
        <w:t xml:space="preserve"> results</w:t>
      </w:r>
      <w:r>
        <w:t xml:space="preserve"> in </w:t>
      </w:r>
      <w:r w:rsidR="00411E41">
        <w:t>some</w:t>
      </w:r>
      <w:r>
        <w:t xml:space="preserve"> prawn tests subcontracted from AAA</w:t>
      </w:r>
      <w:r w:rsidR="00435DB4">
        <w:t>, who were unable to carry out the testing at that time</w:t>
      </w:r>
      <w:r>
        <w:t>. The department investigated this potential problem in results obtained by different laboratories as part of Operation Cattai. Investigators retrospectively analysed prawn import test results reported by different laboratories between 2014 and 2016 and found stark differences in the reported rates of positive detections (</w:t>
      </w:r>
      <w:r w:rsidR="002B67D0">
        <w:fldChar w:fldCharType="begin"/>
      </w:r>
      <w:r w:rsidR="002B67D0">
        <w:instrText xml:space="preserve"> REF _Ref499323527 \h </w:instrText>
      </w:r>
      <w:r w:rsidR="002B67D0">
        <w:fldChar w:fldCharType="separate"/>
      </w:r>
      <w:r w:rsidR="00121BC1">
        <w:t xml:space="preserve">Table </w:t>
      </w:r>
      <w:r w:rsidR="00121BC1">
        <w:rPr>
          <w:noProof/>
        </w:rPr>
        <w:t>11</w:t>
      </w:r>
      <w:r w:rsidR="002B67D0">
        <w:fldChar w:fldCharType="end"/>
      </w:r>
      <w:r>
        <w:t>).</w:t>
      </w:r>
    </w:p>
    <w:p w14:paraId="0807B1D2" w14:textId="2A3D82E2" w:rsidR="00750E24" w:rsidRDefault="00750E24" w:rsidP="00750E24">
      <w:pPr>
        <w:pStyle w:val="Caption"/>
      </w:pPr>
      <w:bookmarkStart w:id="206" w:name="_Ref499323527"/>
      <w:bookmarkStart w:id="207" w:name="_Toc500508488"/>
      <w:r>
        <w:t xml:space="preserve">Table </w:t>
      </w:r>
      <w:r w:rsidR="00F329C0">
        <w:fldChar w:fldCharType="begin"/>
      </w:r>
      <w:r w:rsidR="00F329C0">
        <w:instrText xml:space="preserve"> SEQ Table \* ARABIC </w:instrText>
      </w:r>
      <w:r w:rsidR="00F329C0">
        <w:fldChar w:fldCharType="separate"/>
      </w:r>
      <w:r w:rsidR="00121BC1">
        <w:rPr>
          <w:noProof/>
        </w:rPr>
        <w:t>11</w:t>
      </w:r>
      <w:r w:rsidR="00F329C0">
        <w:rPr>
          <w:noProof/>
        </w:rPr>
        <w:fldChar w:fldCharType="end"/>
      </w:r>
      <w:bookmarkEnd w:id="206"/>
      <w:r w:rsidRPr="00750E24">
        <w:t xml:space="preserve"> </w:t>
      </w:r>
      <w:r>
        <w:t>Rates of positive WSSV and YHD findings, by laboratory, 2014–16</w:t>
      </w:r>
      <w:bookmarkEnd w:id="207"/>
    </w:p>
    <w:tbl>
      <w:tblPr>
        <w:tblStyle w:val="TableGrid"/>
        <w:tblW w:w="4671"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8"/>
        <w:gridCol w:w="1129"/>
        <w:gridCol w:w="1099"/>
        <w:gridCol w:w="1099"/>
        <w:gridCol w:w="1099"/>
        <w:gridCol w:w="1099"/>
      </w:tblGrid>
      <w:tr w:rsidR="00F84A8D" w14:paraId="24D46852" w14:textId="77777777" w:rsidTr="00E35675">
        <w:trPr>
          <w:trHeight w:val="442"/>
        </w:trPr>
        <w:tc>
          <w:tcPr>
            <w:tcW w:w="1858" w:type="pct"/>
            <w:vMerge w:val="restart"/>
          </w:tcPr>
          <w:p w14:paraId="16622705" w14:textId="77777777" w:rsidR="00F84A8D" w:rsidRDefault="00F84A8D">
            <w:pPr>
              <w:pStyle w:val="Tableheading"/>
              <w:tabs>
                <w:tab w:val="clear" w:pos="567"/>
              </w:tabs>
              <w:ind w:left="34"/>
              <w:rPr>
                <w:lang w:eastAsia="en-AU"/>
              </w:rPr>
            </w:pPr>
            <w:r>
              <w:rPr>
                <w:lang w:eastAsia="en-AU"/>
              </w:rPr>
              <w:t>Laboratory</w:t>
            </w:r>
          </w:p>
        </w:tc>
        <w:tc>
          <w:tcPr>
            <w:tcW w:w="642" w:type="pct"/>
            <w:vMerge w:val="restart"/>
          </w:tcPr>
          <w:p w14:paraId="4E7FAC01" w14:textId="77777777" w:rsidR="00F84A8D" w:rsidRDefault="00F84A8D" w:rsidP="000F53BE">
            <w:pPr>
              <w:pStyle w:val="Tableheading"/>
              <w:tabs>
                <w:tab w:val="clear" w:pos="567"/>
              </w:tabs>
              <w:ind w:left="34"/>
              <w:jc w:val="right"/>
              <w:rPr>
                <w:lang w:eastAsia="en-AU"/>
              </w:rPr>
            </w:pPr>
            <w:r>
              <w:rPr>
                <w:lang w:eastAsia="en-AU"/>
              </w:rPr>
              <w:t>Total tests</w:t>
            </w:r>
          </w:p>
        </w:tc>
        <w:tc>
          <w:tcPr>
            <w:tcW w:w="1250" w:type="pct"/>
            <w:gridSpan w:val="2"/>
          </w:tcPr>
          <w:p w14:paraId="152FE6C1" w14:textId="29C17F86" w:rsidR="00F84A8D" w:rsidRDefault="00F84A8D" w:rsidP="00F84A8D">
            <w:pPr>
              <w:pStyle w:val="Tableheading"/>
              <w:tabs>
                <w:tab w:val="clear" w:pos="567"/>
              </w:tabs>
              <w:ind w:left="34"/>
              <w:jc w:val="right"/>
              <w:rPr>
                <w:lang w:eastAsia="en-AU"/>
              </w:rPr>
            </w:pPr>
            <w:r>
              <w:rPr>
                <w:lang w:eastAsia="en-AU"/>
              </w:rPr>
              <w:t xml:space="preserve">Total WSSV-positive </w:t>
            </w:r>
          </w:p>
        </w:tc>
        <w:tc>
          <w:tcPr>
            <w:tcW w:w="1250" w:type="pct"/>
            <w:gridSpan w:val="2"/>
          </w:tcPr>
          <w:p w14:paraId="430EAB74" w14:textId="3B73FAA6" w:rsidR="00F84A8D" w:rsidRDefault="00F84A8D" w:rsidP="00F84A8D">
            <w:pPr>
              <w:pStyle w:val="Tableheading"/>
              <w:tabs>
                <w:tab w:val="clear" w:pos="567"/>
              </w:tabs>
              <w:ind w:left="34"/>
              <w:jc w:val="right"/>
              <w:rPr>
                <w:lang w:eastAsia="en-AU"/>
              </w:rPr>
            </w:pPr>
            <w:r>
              <w:rPr>
                <w:lang w:eastAsia="en-AU"/>
              </w:rPr>
              <w:t>Total YHV-positive</w:t>
            </w:r>
          </w:p>
        </w:tc>
      </w:tr>
      <w:tr w:rsidR="00F84A8D" w14:paraId="589D298C" w14:textId="77777777" w:rsidTr="00E35675">
        <w:trPr>
          <w:trHeight w:val="442"/>
        </w:trPr>
        <w:tc>
          <w:tcPr>
            <w:tcW w:w="1858" w:type="pct"/>
            <w:vMerge/>
          </w:tcPr>
          <w:p w14:paraId="55EE0E25" w14:textId="77777777" w:rsidR="00F84A8D" w:rsidRDefault="00F84A8D" w:rsidP="00F84A8D">
            <w:pPr>
              <w:pStyle w:val="Tableheading"/>
              <w:tabs>
                <w:tab w:val="clear" w:pos="567"/>
              </w:tabs>
              <w:ind w:left="34"/>
              <w:rPr>
                <w:lang w:eastAsia="en-AU"/>
              </w:rPr>
            </w:pPr>
          </w:p>
        </w:tc>
        <w:tc>
          <w:tcPr>
            <w:tcW w:w="642" w:type="pct"/>
            <w:vMerge/>
          </w:tcPr>
          <w:p w14:paraId="28A17D88" w14:textId="77777777" w:rsidR="00F84A8D" w:rsidRDefault="00F84A8D" w:rsidP="00F84A8D">
            <w:pPr>
              <w:pStyle w:val="Tableheading"/>
              <w:tabs>
                <w:tab w:val="clear" w:pos="567"/>
              </w:tabs>
              <w:ind w:left="34"/>
              <w:jc w:val="right"/>
              <w:rPr>
                <w:lang w:eastAsia="en-AU"/>
              </w:rPr>
            </w:pPr>
          </w:p>
        </w:tc>
        <w:tc>
          <w:tcPr>
            <w:tcW w:w="625" w:type="pct"/>
          </w:tcPr>
          <w:p w14:paraId="5131F370" w14:textId="4EE453E4" w:rsidR="00F84A8D" w:rsidRDefault="00F84A8D" w:rsidP="00F84A8D">
            <w:pPr>
              <w:pStyle w:val="Tableheading"/>
              <w:tabs>
                <w:tab w:val="clear" w:pos="567"/>
              </w:tabs>
              <w:ind w:left="34"/>
              <w:jc w:val="right"/>
              <w:rPr>
                <w:lang w:eastAsia="en-AU"/>
              </w:rPr>
            </w:pPr>
            <w:r>
              <w:rPr>
                <w:lang w:eastAsia="en-AU"/>
              </w:rPr>
              <w:t>No.</w:t>
            </w:r>
          </w:p>
        </w:tc>
        <w:tc>
          <w:tcPr>
            <w:tcW w:w="625" w:type="pct"/>
          </w:tcPr>
          <w:p w14:paraId="565986F3" w14:textId="1B04FFC1" w:rsidR="00F84A8D" w:rsidRDefault="00F84A8D" w:rsidP="00F84A8D">
            <w:pPr>
              <w:pStyle w:val="Tableheading"/>
              <w:tabs>
                <w:tab w:val="clear" w:pos="567"/>
              </w:tabs>
              <w:ind w:left="34"/>
              <w:jc w:val="right"/>
              <w:rPr>
                <w:lang w:eastAsia="en-AU"/>
              </w:rPr>
            </w:pPr>
            <w:r>
              <w:rPr>
                <w:lang w:eastAsia="en-AU"/>
              </w:rPr>
              <w:t>%</w:t>
            </w:r>
          </w:p>
        </w:tc>
        <w:tc>
          <w:tcPr>
            <w:tcW w:w="625" w:type="pct"/>
          </w:tcPr>
          <w:p w14:paraId="0F121B9F" w14:textId="015A1B89" w:rsidR="00F84A8D" w:rsidRDefault="00F84A8D" w:rsidP="00F84A8D">
            <w:pPr>
              <w:pStyle w:val="Tableheading"/>
              <w:tabs>
                <w:tab w:val="clear" w:pos="567"/>
              </w:tabs>
              <w:ind w:left="34"/>
              <w:jc w:val="right"/>
              <w:rPr>
                <w:lang w:eastAsia="en-AU"/>
              </w:rPr>
            </w:pPr>
            <w:r w:rsidRPr="002A4742">
              <w:t>No.</w:t>
            </w:r>
          </w:p>
        </w:tc>
        <w:tc>
          <w:tcPr>
            <w:tcW w:w="625" w:type="pct"/>
          </w:tcPr>
          <w:p w14:paraId="28EE4A17" w14:textId="78DF18EE" w:rsidR="00F84A8D" w:rsidRDefault="00F84A8D" w:rsidP="00F84A8D">
            <w:pPr>
              <w:pStyle w:val="Tableheading"/>
              <w:tabs>
                <w:tab w:val="clear" w:pos="567"/>
              </w:tabs>
              <w:ind w:left="34"/>
              <w:jc w:val="right"/>
              <w:rPr>
                <w:lang w:eastAsia="en-AU"/>
              </w:rPr>
            </w:pPr>
            <w:r w:rsidRPr="002A4742">
              <w:t>%</w:t>
            </w:r>
          </w:p>
        </w:tc>
      </w:tr>
      <w:tr w:rsidR="00F84A8D" w14:paraId="512731E6" w14:textId="77777777" w:rsidTr="00E35675">
        <w:trPr>
          <w:trHeight w:val="339"/>
        </w:trPr>
        <w:tc>
          <w:tcPr>
            <w:tcW w:w="1858" w:type="pct"/>
          </w:tcPr>
          <w:p w14:paraId="03B2C9D7" w14:textId="205C9C26" w:rsidR="000458DA" w:rsidRDefault="000458DA" w:rsidP="000458DA">
            <w:pPr>
              <w:pStyle w:val="Tabletext"/>
              <w:tabs>
                <w:tab w:val="clear" w:pos="567"/>
              </w:tabs>
              <w:ind w:left="34"/>
              <w:rPr>
                <w:szCs w:val="18"/>
                <w:lang w:eastAsia="en-AU"/>
              </w:rPr>
            </w:pPr>
            <w:r>
              <w:rPr>
                <w:lang w:eastAsia="ja-JP"/>
              </w:rPr>
              <w:t>Advanced Analytical Australia</w:t>
            </w:r>
          </w:p>
        </w:tc>
        <w:tc>
          <w:tcPr>
            <w:tcW w:w="642" w:type="pct"/>
          </w:tcPr>
          <w:p w14:paraId="7CF5EB7C" w14:textId="1BDF2357" w:rsidR="000458DA" w:rsidRDefault="000458DA" w:rsidP="000458DA">
            <w:pPr>
              <w:pStyle w:val="Tabletext"/>
              <w:tabs>
                <w:tab w:val="clear" w:pos="567"/>
              </w:tabs>
              <w:ind w:left="34"/>
              <w:jc w:val="right"/>
              <w:rPr>
                <w:szCs w:val="18"/>
                <w:lang w:eastAsia="en-AU"/>
              </w:rPr>
            </w:pPr>
            <w:r>
              <w:rPr>
                <w:szCs w:val="18"/>
                <w:lang w:eastAsia="en-AU"/>
              </w:rPr>
              <w:t>1,665</w:t>
            </w:r>
          </w:p>
        </w:tc>
        <w:tc>
          <w:tcPr>
            <w:tcW w:w="625" w:type="pct"/>
          </w:tcPr>
          <w:p w14:paraId="0157DE99" w14:textId="5A5B89A9" w:rsidR="000458DA" w:rsidRDefault="000458DA" w:rsidP="000458DA">
            <w:pPr>
              <w:pStyle w:val="Tabletext"/>
              <w:tabs>
                <w:tab w:val="clear" w:pos="567"/>
              </w:tabs>
              <w:ind w:left="34"/>
              <w:jc w:val="right"/>
              <w:rPr>
                <w:szCs w:val="18"/>
                <w:lang w:eastAsia="en-AU"/>
              </w:rPr>
            </w:pPr>
            <w:r>
              <w:rPr>
                <w:szCs w:val="18"/>
                <w:lang w:eastAsia="en-AU"/>
              </w:rPr>
              <w:t>74</w:t>
            </w:r>
          </w:p>
        </w:tc>
        <w:tc>
          <w:tcPr>
            <w:tcW w:w="625" w:type="pct"/>
          </w:tcPr>
          <w:p w14:paraId="23035273" w14:textId="04BCF60F" w:rsidR="000458DA" w:rsidRPr="000F53BE" w:rsidRDefault="000458DA" w:rsidP="000458DA">
            <w:pPr>
              <w:pStyle w:val="Tabletext"/>
              <w:tabs>
                <w:tab w:val="clear" w:pos="567"/>
              </w:tabs>
              <w:ind w:left="34"/>
              <w:jc w:val="right"/>
              <w:rPr>
                <w:szCs w:val="18"/>
                <w:lang w:eastAsia="en-AU"/>
              </w:rPr>
            </w:pPr>
            <w:r w:rsidRPr="000F53BE">
              <w:rPr>
                <w:szCs w:val="18"/>
                <w:lang w:eastAsia="en-AU"/>
              </w:rPr>
              <w:t>4</w:t>
            </w:r>
          </w:p>
        </w:tc>
        <w:tc>
          <w:tcPr>
            <w:tcW w:w="625" w:type="pct"/>
          </w:tcPr>
          <w:p w14:paraId="517EC877" w14:textId="603852DF" w:rsidR="000458DA" w:rsidRDefault="000458DA" w:rsidP="000458DA">
            <w:pPr>
              <w:pStyle w:val="Tabletext"/>
              <w:tabs>
                <w:tab w:val="clear" w:pos="567"/>
              </w:tabs>
              <w:ind w:left="34"/>
              <w:jc w:val="right"/>
              <w:rPr>
                <w:szCs w:val="18"/>
                <w:lang w:eastAsia="en-AU"/>
              </w:rPr>
            </w:pPr>
            <w:r>
              <w:rPr>
                <w:szCs w:val="18"/>
                <w:lang w:eastAsia="en-AU"/>
              </w:rPr>
              <w:t>3</w:t>
            </w:r>
          </w:p>
        </w:tc>
        <w:tc>
          <w:tcPr>
            <w:tcW w:w="625" w:type="pct"/>
          </w:tcPr>
          <w:p w14:paraId="07DD558A" w14:textId="6BD02268" w:rsidR="000458DA" w:rsidRPr="000F53BE" w:rsidRDefault="000458DA" w:rsidP="000458DA">
            <w:pPr>
              <w:pStyle w:val="Tabletext"/>
              <w:tabs>
                <w:tab w:val="clear" w:pos="567"/>
              </w:tabs>
              <w:ind w:left="34"/>
              <w:jc w:val="right"/>
              <w:rPr>
                <w:szCs w:val="18"/>
                <w:lang w:eastAsia="en-AU"/>
              </w:rPr>
            </w:pPr>
            <w:r w:rsidRPr="000F53BE">
              <w:rPr>
                <w:szCs w:val="18"/>
                <w:lang w:eastAsia="en-AU"/>
              </w:rPr>
              <w:t>0.2</w:t>
            </w:r>
          </w:p>
        </w:tc>
      </w:tr>
      <w:tr w:rsidR="00F84A8D" w14:paraId="070F265B" w14:textId="77777777" w:rsidTr="00E35675">
        <w:trPr>
          <w:trHeight w:val="274"/>
        </w:trPr>
        <w:tc>
          <w:tcPr>
            <w:tcW w:w="1858" w:type="pct"/>
          </w:tcPr>
          <w:p w14:paraId="67B2292E" w14:textId="3EAD7204" w:rsidR="000458DA" w:rsidRDefault="000458DA" w:rsidP="000458DA">
            <w:pPr>
              <w:pStyle w:val="Tabletext"/>
              <w:tabs>
                <w:tab w:val="clear" w:pos="567"/>
              </w:tabs>
              <w:ind w:left="34"/>
              <w:rPr>
                <w:szCs w:val="18"/>
                <w:lang w:eastAsia="en-AU"/>
              </w:rPr>
            </w:pPr>
            <w:r>
              <w:rPr>
                <w:lang w:eastAsia="ja-JP"/>
              </w:rPr>
              <w:t>AgriGen Biotech</w:t>
            </w:r>
          </w:p>
        </w:tc>
        <w:tc>
          <w:tcPr>
            <w:tcW w:w="642" w:type="pct"/>
          </w:tcPr>
          <w:p w14:paraId="38E2C7BE" w14:textId="77777777" w:rsidR="000458DA" w:rsidRDefault="000458DA" w:rsidP="000458DA">
            <w:pPr>
              <w:pStyle w:val="Tabletext"/>
              <w:tabs>
                <w:tab w:val="clear" w:pos="567"/>
              </w:tabs>
              <w:ind w:left="34"/>
              <w:jc w:val="right"/>
              <w:rPr>
                <w:szCs w:val="18"/>
                <w:lang w:eastAsia="en-AU"/>
              </w:rPr>
            </w:pPr>
            <w:r>
              <w:rPr>
                <w:szCs w:val="18"/>
                <w:lang w:eastAsia="en-AU"/>
              </w:rPr>
              <w:t>26</w:t>
            </w:r>
          </w:p>
        </w:tc>
        <w:tc>
          <w:tcPr>
            <w:tcW w:w="625" w:type="pct"/>
          </w:tcPr>
          <w:p w14:paraId="6F158B6D" w14:textId="77777777" w:rsidR="000458DA" w:rsidRDefault="000458DA" w:rsidP="000458DA">
            <w:pPr>
              <w:pStyle w:val="Tabletext"/>
              <w:tabs>
                <w:tab w:val="clear" w:pos="567"/>
              </w:tabs>
              <w:ind w:left="34"/>
              <w:jc w:val="right"/>
              <w:rPr>
                <w:szCs w:val="18"/>
                <w:lang w:eastAsia="en-AU"/>
              </w:rPr>
            </w:pPr>
            <w:r>
              <w:rPr>
                <w:szCs w:val="18"/>
                <w:lang w:eastAsia="en-AU"/>
              </w:rPr>
              <w:t>0</w:t>
            </w:r>
          </w:p>
        </w:tc>
        <w:tc>
          <w:tcPr>
            <w:tcW w:w="625" w:type="pct"/>
          </w:tcPr>
          <w:p w14:paraId="2892D8C6" w14:textId="77777777" w:rsidR="000458DA" w:rsidRPr="000F53BE" w:rsidRDefault="000458DA" w:rsidP="000458DA">
            <w:pPr>
              <w:pStyle w:val="Tabletext"/>
              <w:tabs>
                <w:tab w:val="clear" w:pos="567"/>
              </w:tabs>
              <w:ind w:left="34"/>
              <w:jc w:val="right"/>
              <w:rPr>
                <w:szCs w:val="18"/>
                <w:lang w:eastAsia="en-AU"/>
              </w:rPr>
            </w:pPr>
            <w:r w:rsidRPr="000F53BE">
              <w:rPr>
                <w:szCs w:val="18"/>
                <w:lang w:eastAsia="en-AU"/>
              </w:rPr>
              <w:t>0</w:t>
            </w:r>
          </w:p>
        </w:tc>
        <w:tc>
          <w:tcPr>
            <w:tcW w:w="625" w:type="pct"/>
          </w:tcPr>
          <w:p w14:paraId="2492E74B" w14:textId="77777777" w:rsidR="000458DA" w:rsidRDefault="000458DA" w:rsidP="000458DA">
            <w:pPr>
              <w:pStyle w:val="Tabletext"/>
              <w:tabs>
                <w:tab w:val="clear" w:pos="567"/>
              </w:tabs>
              <w:ind w:left="34"/>
              <w:jc w:val="right"/>
              <w:rPr>
                <w:szCs w:val="18"/>
                <w:lang w:eastAsia="en-AU"/>
              </w:rPr>
            </w:pPr>
            <w:r>
              <w:rPr>
                <w:szCs w:val="18"/>
                <w:lang w:eastAsia="en-AU"/>
              </w:rPr>
              <w:t>0</w:t>
            </w:r>
          </w:p>
        </w:tc>
        <w:tc>
          <w:tcPr>
            <w:tcW w:w="625" w:type="pct"/>
          </w:tcPr>
          <w:p w14:paraId="32BFE70A" w14:textId="77777777" w:rsidR="000458DA" w:rsidRPr="000F53BE" w:rsidRDefault="000458DA" w:rsidP="000458DA">
            <w:pPr>
              <w:pStyle w:val="Tabletext"/>
              <w:tabs>
                <w:tab w:val="clear" w:pos="567"/>
              </w:tabs>
              <w:ind w:left="34"/>
              <w:jc w:val="right"/>
              <w:rPr>
                <w:szCs w:val="18"/>
                <w:lang w:eastAsia="en-AU"/>
              </w:rPr>
            </w:pPr>
            <w:r w:rsidRPr="000F53BE">
              <w:rPr>
                <w:szCs w:val="18"/>
                <w:lang w:eastAsia="en-AU"/>
              </w:rPr>
              <w:t>0</w:t>
            </w:r>
          </w:p>
        </w:tc>
      </w:tr>
      <w:tr w:rsidR="00F84A8D" w14:paraId="44A2A93D" w14:textId="77777777" w:rsidTr="00E35675">
        <w:trPr>
          <w:trHeight w:val="280"/>
        </w:trPr>
        <w:tc>
          <w:tcPr>
            <w:tcW w:w="1858" w:type="pct"/>
          </w:tcPr>
          <w:p w14:paraId="1F19E1F3" w14:textId="3959EAE1" w:rsidR="000458DA" w:rsidRDefault="000458DA" w:rsidP="000458DA">
            <w:pPr>
              <w:pStyle w:val="Tabletext"/>
              <w:tabs>
                <w:tab w:val="clear" w:pos="567"/>
              </w:tabs>
              <w:ind w:left="34"/>
              <w:rPr>
                <w:lang w:eastAsia="ja-JP"/>
              </w:rPr>
            </w:pPr>
            <w:r>
              <w:rPr>
                <w:lang w:eastAsia="ja-JP"/>
              </w:rPr>
              <w:t>Elizabeth McArthur Agricultural Institute</w:t>
            </w:r>
          </w:p>
        </w:tc>
        <w:tc>
          <w:tcPr>
            <w:tcW w:w="642" w:type="pct"/>
          </w:tcPr>
          <w:p w14:paraId="3EFDF188" w14:textId="49949F1E" w:rsidR="000458DA" w:rsidRDefault="000458DA" w:rsidP="000458DA">
            <w:pPr>
              <w:pStyle w:val="Tabletext"/>
              <w:tabs>
                <w:tab w:val="clear" w:pos="567"/>
              </w:tabs>
              <w:ind w:left="34"/>
              <w:jc w:val="right"/>
              <w:rPr>
                <w:szCs w:val="18"/>
                <w:lang w:eastAsia="en-AU"/>
              </w:rPr>
            </w:pPr>
            <w:r>
              <w:rPr>
                <w:szCs w:val="18"/>
                <w:lang w:eastAsia="en-AU"/>
              </w:rPr>
              <w:t>331</w:t>
            </w:r>
          </w:p>
        </w:tc>
        <w:tc>
          <w:tcPr>
            <w:tcW w:w="625" w:type="pct"/>
          </w:tcPr>
          <w:p w14:paraId="2F27C879" w14:textId="65A91285" w:rsidR="000458DA" w:rsidRDefault="000458DA" w:rsidP="000458DA">
            <w:pPr>
              <w:pStyle w:val="Tabletext"/>
              <w:tabs>
                <w:tab w:val="clear" w:pos="567"/>
              </w:tabs>
              <w:ind w:left="34"/>
              <w:jc w:val="right"/>
              <w:rPr>
                <w:szCs w:val="18"/>
                <w:lang w:eastAsia="en-AU"/>
              </w:rPr>
            </w:pPr>
            <w:r>
              <w:rPr>
                <w:szCs w:val="18"/>
                <w:lang w:eastAsia="en-AU"/>
              </w:rPr>
              <w:t>60</w:t>
            </w:r>
          </w:p>
        </w:tc>
        <w:tc>
          <w:tcPr>
            <w:tcW w:w="625" w:type="pct"/>
          </w:tcPr>
          <w:p w14:paraId="24428A2C" w14:textId="2238633E" w:rsidR="000458DA" w:rsidRPr="000F53BE" w:rsidRDefault="000458DA" w:rsidP="000458DA">
            <w:pPr>
              <w:pStyle w:val="Tabletext"/>
              <w:tabs>
                <w:tab w:val="clear" w:pos="567"/>
              </w:tabs>
              <w:ind w:left="34"/>
              <w:jc w:val="right"/>
              <w:rPr>
                <w:szCs w:val="18"/>
                <w:lang w:eastAsia="en-AU"/>
              </w:rPr>
            </w:pPr>
            <w:r w:rsidRPr="000F53BE">
              <w:rPr>
                <w:szCs w:val="18"/>
                <w:lang w:eastAsia="en-AU"/>
              </w:rPr>
              <w:t>18</w:t>
            </w:r>
          </w:p>
        </w:tc>
        <w:tc>
          <w:tcPr>
            <w:tcW w:w="625" w:type="pct"/>
          </w:tcPr>
          <w:p w14:paraId="27BB8703" w14:textId="6843FCB7" w:rsidR="000458DA" w:rsidRDefault="000458DA" w:rsidP="000458DA">
            <w:pPr>
              <w:pStyle w:val="Tabletext"/>
              <w:tabs>
                <w:tab w:val="clear" w:pos="567"/>
              </w:tabs>
              <w:ind w:left="34"/>
              <w:jc w:val="right"/>
              <w:rPr>
                <w:szCs w:val="18"/>
                <w:lang w:eastAsia="en-AU"/>
              </w:rPr>
            </w:pPr>
            <w:r>
              <w:rPr>
                <w:szCs w:val="18"/>
                <w:lang w:eastAsia="en-AU"/>
              </w:rPr>
              <w:t>13</w:t>
            </w:r>
          </w:p>
        </w:tc>
        <w:tc>
          <w:tcPr>
            <w:tcW w:w="625" w:type="pct"/>
          </w:tcPr>
          <w:p w14:paraId="60374D70" w14:textId="1342E55B" w:rsidR="000458DA" w:rsidRPr="000F53BE" w:rsidRDefault="000458DA" w:rsidP="000458DA">
            <w:pPr>
              <w:pStyle w:val="Tabletext"/>
              <w:tabs>
                <w:tab w:val="clear" w:pos="567"/>
              </w:tabs>
              <w:ind w:left="34"/>
              <w:jc w:val="right"/>
              <w:rPr>
                <w:szCs w:val="18"/>
                <w:lang w:eastAsia="en-AU"/>
              </w:rPr>
            </w:pPr>
            <w:r w:rsidRPr="000F53BE">
              <w:rPr>
                <w:szCs w:val="18"/>
                <w:lang w:eastAsia="en-AU"/>
              </w:rPr>
              <w:t>4</w:t>
            </w:r>
          </w:p>
        </w:tc>
      </w:tr>
    </w:tbl>
    <w:p w14:paraId="1E42C3F2" w14:textId="77777777" w:rsidR="00CC703E" w:rsidRDefault="00E37FDB">
      <w:pPr>
        <w:pStyle w:val="FigureTableNoteSource"/>
        <w:rPr>
          <w:lang w:eastAsia="ja-JP"/>
        </w:rPr>
      </w:pPr>
      <w:r>
        <w:rPr>
          <w:lang w:eastAsia="ja-JP"/>
        </w:rPr>
        <w:t>Source: Department of Agriculture and Water Resources</w:t>
      </w:r>
    </w:p>
    <w:p w14:paraId="0263EEEA" w14:textId="402A521B" w:rsidR="00CC703E" w:rsidRDefault="00E37FDB" w:rsidP="00E735C7">
      <w:pPr>
        <w:spacing w:before="240" w:after="0"/>
        <w:rPr>
          <w:rFonts w:cs="Calibri"/>
          <w:szCs w:val="24"/>
          <w:lang w:eastAsia="en-AU"/>
        </w:rPr>
      </w:pPr>
      <w:r>
        <w:rPr>
          <w:rFonts w:cs="Calibri"/>
          <w:szCs w:val="24"/>
          <w:lang w:eastAsia="en-AU"/>
        </w:rPr>
        <w:t xml:space="preserve">In August 2016, in an effort to understand the differences in laboratory results, the </w:t>
      </w:r>
      <w:r>
        <w:rPr>
          <w:szCs w:val="24"/>
          <w:lang w:eastAsia="ja-JP"/>
        </w:rPr>
        <w:t>department</w:t>
      </w:r>
      <w:r>
        <w:rPr>
          <w:rFonts w:cs="Calibri"/>
          <w:szCs w:val="24"/>
          <w:lang w:eastAsia="en-AU"/>
        </w:rPr>
        <w:t xml:space="preserve"> requested raw data from the three laboratories. </w:t>
      </w:r>
      <w:r w:rsidR="00274E68">
        <w:rPr>
          <w:rFonts w:cs="Calibri"/>
          <w:szCs w:val="24"/>
          <w:lang w:eastAsia="en-AU"/>
        </w:rPr>
        <w:t>The d</w:t>
      </w:r>
      <w:r w:rsidR="00435DB4">
        <w:rPr>
          <w:rFonts w:cs="Calibri"/>
          <w:szCs w:val="24"/>
          <w:lang w:eastAsia="en-AU"/>
        </w:rPr>
        <w:t>epartment</w:t>
      </w:r>
      <w:r w:rsidR="00E735C7">
        <w:rPr>
          <w:rFonts w:cs="Calibri"/>
          <w:szCs w:val="24"/>
          <w:lang w:eastAsia="en-AU"/>
        </w:rPr>
        <w:t xml:space="preserve">’s </w:t>
      </w:r>
      <w:r w:rsidR="00435DB4">
        <w:rPr>
          <w:rFonts w:cs="Calibri"/>
          <w:szCs w:val="24"/>
          <w:lang w:eastAsia="en-AU"/>
        </w:rPr>
        <w:t>specialis</w:t>
      </w:r>
      <w:r w:rsidR="00826553">
        <w:rPr>
          <w:rFonts w:cs="Calibri"/>
          <w:szCs w:val="24"/>
          <w:lang w:eastAsia="en-AU"/>
        </w:rPr>
        <w:t xml:space="preserve">ts </w:t>
      </w:r>
      <w:r>
        <w:rPr>
          <w:rFonts w:cs="Calibri"/>
          <w:szCs w:val="24"/>
          <w:lang w:eastAsia="en-AU"/>
        </w:rPr>
        <w:t>reviewed the data before each laboratory released their test results of consignments targeted under Operation Cattai. The operation order was also revised to allow for the department to initiate confirmatory testing at AAHL for sample cut-off values reported in the so-called marginal negative region of 36</w:t>
      </w:r>
      <w:r w:rsidRPr="00826553">
        <w:rPr>
          <w:rFonts w:cs="Calibri"/>
          <w:szCs w:val="24"/>
          <w:lang w:eastAsia="en-AU"/>
        </w:rPr>
        <w:t xml:space="preserve"> to </w:t>
      </w:r>
      <w:r>
        <w:rPr>
          <w:rFonts w:cs="Calibri"/>
          <w:szCs w:val="24"/>
          <w:lang w:eastAsia="en-AU"/>
        </w:rPr>
        <w:t>39.</w:t>
      </w:r>
    </w:p>
    <w:p w14:paraId="4ED12BDF" w14:textId="2FA6AAED" w:rsidR="00CC703E" w:rsidRDefault="00E37FDB">
      <w:pPr>
        <w:spacing w:after="0"/>
      </w:pPr>
      <w:r>
        <w:rPr>
          <w:szCs w:val="24"/>
        </w:rPr>
        <w:t xml:space="preserve">EMAI and the two </w:t>
      </w:r>
      <w:r w:rsidR="00435DB4">
        <w:rPr>
          <w:szCs w:val="24"/>
        </w:rPr>
        <w:t>private</w:t>
      </w:r>
      <w:r>
        <w:rPr>
          <w:szCs w:val="24"/>
        </w:rPr>
        <w:t xml:space="preserve"> laboratories were following the ‘the OIE test or equivalent’ standard set by the department for screening laboratories. However, the department had not set a standard for the level at which results should be reported as </w:t>
      </w:r>
      <w:r>
        <w:rPr>
          <w:lang w:eastAsia="en-AU"/>
        </w:rPr>
        <w:t>positive</w:t>
      </w:r>
      <w:r>
        <w:rPr>
          <w:szCs w:val="24"/>
        </w:rPr>
        <w:t xml:space="preserve">. </w:t>
      </w:r>
      <w:r>
        <w:t>AgriGen staff (previously contracted to AAA) had made an internal decision about samples with ‘weak’ positive reactions (cut-offs of 36 or greater). In their opinion, rather than indicating true infection, the</w:t>
      </w:r>
      <w:r w:rsidR="00435DB4">
        <w:t>se</w:t>
      </w:r>
      <w:r>
        <w:t xml:space="preserve"> samples probably represented </w:t>
      </w:r>
      <w:r w:rsidR="003F7CDE">
        <w:t xml:space="preserve">only very </w:t>
      </w:r>
      <w:r w:rsidRPr="00435DB4">
        <w:t xml:space="preserve">low levels of virus or viral fragments, </w:t>
      </w:r>
      <w:r w:rsidR="008A5C59">
        <w:t>less than one viral genome copy</w:t>
      </w:r>
      <w:r w:rsidR="001E20FB" w:rsidRPr="0087638C">
        <w:rPr>
          <w:vertAlign w:val="superscript"/>
        </w:rPr>
        <w:t>1</w:t>
      </w:r>
      <w:r w:rsidR="00466A7F">
        <w:rPr>
          <w:vertAlign w:val="superscript"/>
        </w:rPr>
        <w:t>39</w:t>
      </w:r>
      <w:r w:rsidRPr="00435DB4">
        <w:t>.</w:t>
      </w:r>
    </w:p>
    <w:p w14:paraId="498CF1F0" w14:textId="78CC17AB" w:rsidR="00CC703E" w:rsidRDefault="00E37FDB">
      <w:pPr>
        <w:spacing w:after="0"/>
      </w:pPr>
      <w:r>
        <w:t>Staff at EMAI had decided that, consistent with the reported OIE TaqMan® method, they would report as positive any sample with a cycle threshold (C</w:t>
      </w:r>
      <w:r>
        <w:rPr>
          <w:vertAlign w:val="subscript"/>
        </w:rPr>
        <w:t>t</w:t>
      </w:r>
      <w:r>
        <w:t xml:space="preserve"> value) of 39 or less. This is a standard threshold for their many other </w:t>
      </w:r>
      <w:r w:rsidRPr="00E735C7">
        <w:t>qPCR</w:t>
      </w:r>
      <w:r>
        <w:t xml:space="preserve"> assays.</w:t>
      </w:r>
    </w:p>
    <w:p w14:paraId="3F2A728F" w14:textId="329CB2B9" w:rsidR="00CC703E" w:rsidRDefault="00E37FDB">
      <w:pPr>
        <w:spacing w:after="0"/>
      </w:pPr>
      <w:r>
        <w:rPr>
          <w:rFonts w:cs="Calibri"/>
          <w:szCs w:val="24"/>
          <w:lang w:eastAsia="en-AU"/>
        </w:rPr>
        <w:t xml:space="preserve">The differences in result between the three laboratories in </w:t>
      </w:r>
      <w:r w:rsidR="00435DB4">
        <w:rPr>
          <w:rFonts w:cs="Calibri"/>
          <w:szCs w:val="24"/>
          <w:lang w:eastAsia="en-AU"/>
        </w:rPr>
        <w:t>interpreting</w:t>
      </w:r>
      <w:r w:rsidR="004C7E40">
        <w:rPr>
          <w:rFonts w:cs="Calibri"/>
          <w:szCs w:val="24"/>
          <w:lang w:eastAsia="en-AU"/>
        </w:rPr>
        <w:t xml:space="preserve"> </w:t>
      </w:r>
      <w:r>
        <w:t>C</w:t>
      </w:r>
      <w:r>
        <w:rPr>
          <w:vertAlign w:val="subscript"/>
        </w:rPr>
        <w:t>t</w:t>
      </w:r>
      <w:r>
        <w:rPr>
          <w:rFonts w:cs="Calibri"/>
          <w:szCs w:val="24"/>
          <w:lang w:eastAsia="en-AU"/>
        </w:rPr>
        <w:t xml:space="preserve"> values between 36</w:t>
      </w:r>
      <w:r w:rsidRPr="00197604">
        <w:rPr>
          <w:rFonts w:cs="Calibri"/>
          <w:szCs w:val="24"/>
          <w:lang w:eastAsia="en-AU"/>
        </w:rPr>
        <w:t xml:space="preserve"> to </w:t>
      </w:r>
      <w:r>
        <w:rPr>
          <w:rFonts w:cs="Calibri"/>
          <w:szCs w:val="24"/>
          <w:lang w:eastAsia="en-AU"/>
        </w:rPr>
        <w:t>39 PCR cycles meant that a</w:t>
      </w:r>
      <w:r w:rsidR="00A6453C">
        <w:rPr>
          <w:rFonts w:cs="Calibri"/>
          <w:szCs w:val="24"/>
          <w:lang w:eastAsia="en-AU"/>
        </w:rPr>
        <w:t>ny sample with a</w:t>
      </w:r>
      <w:r>
        <w:rPr>
          <w:rFonts w:cs="Calibri"/>
          <w:szCs w:val="24"/>
          <w:lang w:eastAsia="en-AU"/>
        </w:rPr>
        <w:t xml:space="preserve"> </w:t>
      </w:r>
      <w:r w:rsidR="00435DB4">
        <w:rPr>
          <w:rFonts w:cs="Calibri"/>
          <w:szCs w:val="24"/>
          <w:lang w:eastAsia="en-AU"/>
        </w:rPr>
        <w:t>C</w:t>
      </w:r>
      <w:r w:rsidR="00435DB4" w:rsidRPr="00E735C7">
        <w:rPr>
          <w:rFonts w:cs="Calibri"/>
          <w:szCs w:val="24"/>
          <w:vertAlign w:val="subscript"/>
          <w:lang w:eastAsia="en-AU"/>
        </w:rPr>
        <w:t>t</w:t>
      </w:r>
      <w:r w:rsidR="00435DB4">
        <w:rPr>
          <w:rFonts w:cs="Calibri"/>
          <w:szCs w:val="24"/>
          <w:lang w:eastAsia="en-AU"/>
        </w:rPr>
        <w:t xml:space="preserve"> value </w:t>
      </w:r>
      <w:r w:rsidR="00A6453C">
        <w:rPr>
          <w:rFonts w:cs="Calibri"/>
          <w:szCs w:val="24"/>
          <w:lang w:eastAsia="en-AU"/>
        </w:rPr>
        <w:t>between</w:t>
      </w:r>
      <w:r>
        <w:rPr>
          <w:rFonts w:cs="Calibri"/>
          <w:szCs w:val="24"/>
          <w:lang w:eastAsia="en-AU"/>
        </w:rPr>
        <w:t xml:space="preserve"> 36 </w:t>
      </w:r>
      <w:r w:rsidR="00A6453C">
        <w:rPr>
          <w:rFonts w:cs="Calibri"/>
          <w:szCs w:val="24"/>
          <w:lang w:eastAsia="en-AU"/>
        </w:rPr>
        <w:t xml:space="preserve">and 39 </w:t>
      </w:r>
      <w:r>
        <w:rPr>
          <w:rFonts w:cs="Calibri"/>
          <w:szCs w:val="24"/>
          <w:lang w:eastAsia="en-AU"/>
        </w:rPr>
        <w:t>would</w:t>
      </w:r>
      <w:r w:rsidR="00435DB4">
        <w:rPr>
          <w:rFonts w:cs="Calibri"/>
          <w:szCs w:val="24"/>
          <w:lang w:eastAsia="en-AU"/>
        </w:rPr>
        <w:t xml:space="preserve"> have</w:t>
      </w:r>
      <w:r>
        <w:rPr>
          <w:rFonts w:cs="Calibri"/>
          <w:szCs w:val="24"/>
          <w:lang w:eastAsia="en-AU"/>
        </w:rPr>
        <w:t xml:space="preserve"> be</w:t>
      </w:r>
      <w:r w:rsidR="00435DB4">
        <w:rPr>
          <w:rFonts w:cs="Calibri"/>
          <w:szCs w:val="24"/>
          <w:lang w:eastAsia="en-AU"/>
        </w:rPr>
        <w:t>en</w:t>
      </w:r>
      <w:r>
        <w:rPr>
          <w:rFonts w:cs="Calibri"/>
          <w:szCs w:val="24"/>
          <w:lang w:eastAsia="en-AU"/>
        </w:rPr>
        <w:t xml:space="preserve"> considered as a positive by EMAI and a negative </w:t>
      </w:r>
      <w:r w:rsidR="00435DB4">
        <w:rPr>
          <w:rFonts w:cs="Calibri"/>
          <w:szCs w:val="24"/>
          <w:lang w:eastAsia="en-AU"/>
        </w:rPr>
        <w:t>by private</w:t>
      </w:r>
      <w:r>
        <w:rPr>
          <w:rFonts w:cs="Calibri"/>
          <w:szCs w:val="24"/>
          <w:lang w:eastAsia="en-AU"/>
        </w:rPr>
        <w:t xml:space="preserve"> laboratories</w:t>
      </w:r>
      <w:r w:rsidR="00B97BF4">
        <w:rPr>
          <w:rFonts w:cs="Calibri"/>
          <w:szCs w:val="24"/>
          <w:lang w:eastAsia="en-AU"/>
        </w:rPr>
        <w:t xml:space="preserve"> with a lower cut-off</w:t>
      </w:r>
      <w:r>
        <w:rPr>
          <w:rFonts w:cs="Calibri"/>
          <w:szCs w:val="24"/>
          <w:lang w:eastAsia="en-AU"/>
        </w:rPr>
        <w:t>.</w:t>
      </w:r>
    </w:p>
    <w:p w14:paraId="5A79A0C7" w14:textId="556BFF1A" w:rsidR="00CC703E" w:rsidRDefault="00E37FDB">
      <w:pPr>
        <w:spacing w:after="0"/>
      </w:pPr>
      <w:r>
        <w:lastRenderedPageBreak/>
        <w:t xml:space="preserve">Government authorities and other key stakeholders were unaware that the methodologies and interpretations adopted by screening laboratories </w:t>
      </w:r>
      <w:r w:rsidR="00274E68">
        <w:t>had been</w:t>
      </w:r>
      <w:r>
        <w:t xml:space="preserve"> influencing the proportion</w:t>
      </w:r>
      <w:r w:rsidR="003777A9">
        <w:t>s</w:t>
      </w:r>
      <w:r>
        <w:t xml:space="preserve"> of WSSV-infected batches that passed the required sampling and testing regime.</w:t>
      </w:r>
    </w:p>
    <w:p w14:paraId="0719E16A" w14:textId="724C35EF" w:rsidR="00CC703E" w:rsidRPr="00E735C7" w:rsidRDefault="003800B6" w:rsidP="00197604">
      <w:pPr>
        <w:pStyle w:val="Heading4"/>
        <w:rPr>
          <w:lang w:val="en-AU"/>
        </w:rPr>
      </w:pPr>
      <w:r>
        <w:rPr>
          <w:lang w:val="en-AU"/>
        </w:rPr>
        <w:t>Changed confirmatory testing by AAHL</w:t>
      </w:r>
      <w:r w:rsidR="003777A9">
        <w:rPr>
          <w:lang w:val="en-AU"/>
        </w:rPr>
        <w:t xml:space="preserve">, August 2016 </w:t>
      </w:r>
      <w:r w:rsidR="00665CED">
        <w:rPr>
          <w:lang w:val="en-AU"/>
        </w:rPr>
        <w:t xml:space="preserve">to </w:t>
      </w:r>
      <w:r w:rsidR="003777A9">
        <w:rPr>
          <w:lang w:val="en-AU"/>
        </w:rPr>
        <w:t>8 January 2017</w:t>
      </w:r>
    </w:p>
    <w:p w14:paraId="06E9614C" w14:textId="34A8F9BA" w:rsidR="00CC703E" w:rsidRDefault="003800B6">
      <w:pPr>
        <w:autoSpaceDE w:val="0"/>
        <w:autoSpaceDN w:val="0"/>
        <w:adjustRightInd w:val="0"/>
        <w:spacing w:after="0"/>
        <w:rPr>
          <w:lang w:eastAsia="en-AU"/>
        </w:rPr>
      </w:pPr>
      <w:r>
        <w:rPr>
          <w:lang w:eastAsia="en-AU"/>
        </w:rPr>
        <w:t>From August 2016 w</w:t>
      </w:r>
      <w:r w:rsidR="00E37FDB">
        <w:rPr>
          <w:lang w:eastAsia="en-AU"/>
        </w:rPr>
        <w:t>hen the department became concerned about inconsistencies in WSSV test results</w:t>
      </w:r>
      <w:r>
        <w:rPr>
          <w:lang w:eastAsia="en-AU"/>
        </w:rPr>
        <w:t xml:space="preserve"> between laboratories</w:t>
      </w:r>
      <w:r w:rsidR="00E37FDB">
        <w:rPr>
          <w:lang w:eastAsia="en-AU"/>
        </w:rPr>
        <w:t>, it mandated that negative samples had to be sent to AAHL for confirmat</w:t>
      </w:r>
      <w:r w:rsidR="00B20162">
        <w:rPr>
          <w:lang w:eastAsia="en-AU"/>
        </w:rPr>
        <w:t>ory testing</w:t>
      </w:r>
      <w:r w:rsidR="00E37FDB">
        <w:rPr>
          <w:lang w:eastAsia="en-AU"/>
        </w:rPr>
        <w:t xml:space="preserve">. AAHL tested these samples with two </w:t>
      </w:r>
      <w:r w:rsidR="00E37FDB" w:rsidRPr="00E735C7">
        <w:rPr>
          <w:lang w:eastAsia="en-AU"/>
        </w:rPr>
        <w:t>qPCR</w:t>
      </w:r>
      <w:r w:rsidR="00E37FDB">
        <w:rPr>
          <w:lang w:eastAsia="en-AU"/>
        </w:rPr>
        <w:t xml:space="preserve"> tests</w:t>
      </w:r>
      <w:r>
        <w:rPr>
          <w:lang w:eastAsia="en-AU"/>
        </w:rPr>
        <w:t>, both the</w:t>
      </w:r>
      <w:r w:rsidR="00E37FDB">
        <w:rPr>
          <w:lang w:eastAsia="en-AU"/>
        </w:rPr>
        <w:t xml:space="preserve"> ‘OIE test’ and </w:t>
      </w:r>
      <w:r>
        <w:rPr>
          <w:lang w:eastAsia="en-AU"/>
        </w:rPr>
        <w:t xml:space="preserve">the </w:t>
      </w:r>
      <w:r w:rsidR="00E37FDB">
        <w:rPr>
          <w:lang w:eastAsia="en-AU"/>
        </w:rPr>
        <w:t>‘AAHL test’</w:t>
      </w:r>
      <w:r>
        <w:rPr>
          <w:lang w:eastAsia="en-AU"/>
        </w:rPr>
        <w:t xml:space="preserve"> (</w:t>
      </w:r>
      <w:r w:rsidR="00E735C7">
        <w:rPr>
          <w:lang w:eastAsia="en-AU"/>
        </w:rPr>
        <w:t>s</w:t>
      </w:r>
      <w:r>
        <w:rPr>
          <w:lang w:eastAsia="en-AU"/>
        </w:rPr>
        <w:t>ection 5.3)</w:t>
      </w:r>
      <w:r w:rsidR="00E37FDB">
        <w:rPr>
          <w:lang w:eastAsia="en-AU"/>
        </w:rPr>
        <w:t>. They reported the findings as positive if either test showed amplification after each had been run out to 45 cycles or more.</w:t>
      </w:r>
    </w:p>
    <w:p w14:paraId="67426CE3" w14:textId="51B12CC5" w:rsidR="003800B6" w:rsidRDefault="003800B6">
      <w:pPr>
        <w:autoSpaceDE w:val="0"/>
        <w:autoSpaceDN w:val="0"/>
        <w:adjustRightInd w:val="0"/>
        <w:spacing w:after="0"/>
        <w:rPr>
          <w:lang w:eastAsia="en-AU"/>
        </w:rPr>
      </w:pPr>
      <w:r>
        <w:rPr>
          <w:lang w:eastAsia="en-AU"/>
        </w:rPr>
        <w:t>This was a significant change to the previous testing regime where importers had had an option to request that samples tested positive by a screening laboratory be sent to AAHL for retesting (at importer expense)</w:t>
      </w:r>
      <w:r w:rsidR="00E735C7">
        <w:rPr>
          <w:lang w:eastAsia="en-AU"/>
        </w:rPr>
        <w:t>.</w:t>
      </w:r>
    </w:p>
    <w:p w14:paraId="4016E60C" w14:textId="3262D229" w:rsidR="00A469BA" w:rsidRDefault="003D09AB">
      <w:pPr>
        <w:spacing w:after="0"/>
      </w:pPr>
      <w:r>
        <w:rPr>
          <w:lang w:eastAsia="en-AU"/>
        </w:rPr>
        <w:t>D</w:t>
      </w:r>
      <w:r w:rsidR="00E37FDB">
        <w:rPr>
          <w:lang w:eastAsia="en-AU"/>
        </w:rPr>
        <w:t>ifferences in laboratory testing methods and interpretations resulted in many more consignments failing confirmatory testing at AAHL, and consequent importer questioning of the validity of AAHL</w:t>
      </w:r>
      <w:r w:rsidR="00CA06A3">
        <w:rPr>
          <w:lang w:eastAsia="en-AU"/>
        </w:rPr>
        <w:t>’s</w:t>
      </w:r>
      <w:r w:rsidR="00E37FDB">
        <w:rPr>
          <w:lang w:eastAsia="en-AU"/>
        </w:rPr>
        <w:t xml:space="preserve"> results. </w:t>
      </w:r>
      <w:r w:rsidR="00E37FDB">
        <w:t>The role of AAHL, its separate PCR test and its more sensitive interpretation</w:t>
      </w:r>
      <w:r w:rsidR="00CA06A3">
        <w:t>,</w:t>
      </w:r>
      <w:r w:rsidR="00E37FDB">
        <w:t xml:space="preserve"> were raised in the Senate inquiry</w:t>
      </w:r>
      <w:r w:rsidR="008C28BF">
        <w:rPr>
          <w:vertAlign w:val="superscript"/>
        </w:rPr>
        <w:t>14</w:t>
      </w:r>
      <w:r w:rsidR="006E3ACF">
        <w:rPr>
          <w:vertAlign w:val="superscript"/>
        </w:rPr>
        <w:t>0</w:t>
      </w:r>
      <w:r w:rsidR="00E37FDB">
        <w:t>. The department provided explanatory material</w:t>
      </w:r>
      <w:r w:rsidR="006E3ACF">
        <w:rPr>
          <w:vertAlign w:val="superscript"/>
        </w:rPr>
        <w:t>141</w:t>
      </w:r>
      <w:r w:rsidR="00B94D45">
        <w:t xml:space="preserve"> </w:t>
      </w:r>
      <w:r w:rsidR="00CA06A3">
        <w:t>estima</w:t>
      </w:r>
      <w:r w:rsidR="00E37FDB">
        <w:t xml:space="preserve">ting that AAHL testing </w:t>
      </w:r>
      <w:r w:rsidR="00CA06A3">
        <w:t>had likely</w:t>
      </w:r>
      <w:r w:rsidR="00E37FDB">
        <w:t xml:space="preserve"> accounted for a certai</w:t>
      </w:r>
      <w:r w:rsidR="00CA06A3">
        <w:t>n</w:t>
      </w:r>
      <w:r w:rsidR="00E37FDB">
        <w:t xml:space="preserve"> amount of extra failed product, but </w:t>
      </w:r>
      <w:r w:rsidR="00CA06A3">
        <w:t>nearly all</w:t>
      </w:r>
      <w:r w:rsidR="00E37FDB">
        <w:t xml:space="preserve"> of this </w:t>
      </w:r>
      <w:r w:rsidR="00B20162">
        <w:t xml:space="preserve">extra detection would have been </w:t>
      </w:r>
      <w:r w:rsidR="00E37FDB">
        <w:t>due to the low cut-off values previously applied by the private laboratories.</w:t>
      </w:r>
      <w:r w:rsidR="00955289">
        <w:t xml:space="preserve"> These values would likely have allowed some infected product to pass the testing regime.</w:t>
      </w:r>
    </w:p>
    <w:p w14:paraId="252C35C0" w14:textId="7A5D2292" w:rsidR="00CC703E" w:rsidRDefault="008B4DAC" w:rsidP="0064799B">
      <w:pPr>
        <w:spacing w:after="0"/>
      </w:pPr>
      <w:r>
        <w:t>By Ma</w:t>
      </w:r>
      <w:r w:rsidR="00A84BA9">
        <w:t>y</w:t>
      </w:r>
      <w:r>
        <w:t xml:space="preserve"> 2017, t</w:t>
      </w:r>
      <w:r w:rsidR="00E37FDB">
        <w:t>he d</w:t>
      </w:r>
      <w:r w:rsidR="003D09AB">
        <w:t>epartment estimated</w:t>
      </w:r>
      <w:r w:rsidR="00E37FDB">
        <w:t xml:space="preserve"> that</w:t>
      </w:r>
      <w:r w:rsidR="003777A9">
        <w:t>,</w:t>
      </w:r>
      <w:r w:rsidR="00E37FDB">
        <w:t xml:space="preserve"> before Operation Cattai</w:t>
      </w:r>
      <w:r w:rsidR="00126A12">
        <w:t>,</w:t>
      </w:r>
      <w:r w:rsidR="00E37FDB">
        <w:t xml:space="preserve"> significant amounts of WSSV-positive prawns were not being detected at the border by </w:t>
      </w:r>
      <w:r>
        <w:t>its</w:t>
      </w:r>
      <w:r w:rsidR="00E37FDB">
        <w:t xml:space="preserve"> inspection, sampling and testing activities. </w:t>
      </w:r>
      <w:r w:rsidR="00126A12">
        <w:t>The department considered that this</w:t>
      </w:r>
      <w:r w:rsidR="00E37FDB">
        <w:t xml:space="preserve"> was largely due to non-compliant importer behaviour</w:t>
      </w:r>
      <w:r>
        <w:t>, with weak inspection practices and variations in laboratory test performance and interpretation playing contributory roles</w:t>
      </w:r>
      <w:r w:rsidR="008C28BF">
        <w:rPr>
          <w:vertAlign w:val="superscript"/>
        </w:rPr>
        <w:t>11</w:t>
      </w:r>
      <w:r w:rsidR="006E3ACF">
        <w:rPr>
          <w:vertAlign w:val="superscript"/>
        </w:rPr>
        <w:t>6</w:t>
      </w:r>
      <w:r w:rsidR="00E37FDB">
        <w:t>.</w:t>
      </w:r>
    </w:p>
    <w:p w14:paraId="764B584C" w14:textId="625F8A40" w:rsidR="00CC703E" w:rsidRDefault="00E37FDB" w:rsidP="009F0C93">
      <w:pPr>
        <w:pStyle w:val="Heading2"/>
      </w:pPr>
      <w:bookmarkStart w:id="208" w:name="_Toc500508417"/>
      <w:r>
        <w:lastRenderedPageBreak/>
        <w:t xml:space="preserve">Handling prawns during import suspension, </w:t>
      </w:r>
      <w:r w:rsidR="002B0A75">
        <w:t>6</w:t>
      </w:r>
      <w:r>
        <w:t> January to 9 July 2017</w:t>
      </w:r>
      <w:bookmarkEnd w:id="208"/>
    </w:p>
    <w:p w14:paraId="438761F5" w14:textId="77777777" w:rsidR="00CC703E" w:rsidRPr="009F0C93" w:rsidRDefault="00E37FDB" w:rsidP="009F0C93">
      <w:pPr>
        <w:pStyle w:val="Heading3"/>
        <w:rPr>
          <w:rStyle w:val="Heading3Char"/>
          <w:rFonts w:eastAsia="Calibri"/>
          <w:b/>
          <w:bCs/>
        </w:rPr>
      </w:pPr>
      <w:bookmarkStart w:id="209" w:name="_Toc500508418"/>
      <w:bookmarkStart w:id="210" w:name="_Toc490040499"/>
      <w:r w:rsidRPr="009F0C93">
        <w:rPr>
          <w:rStyle w:val="Heading3Char"/>
          <w:rFonts w:eastAsia="Calibri"/>
          <w:b/>
          <w:bCs/>
        </w:rPr>
        <w:t>Implementing the suspension of uncooked prawn imports</w:t>
      </w:r>
      <w:bookmarkEnd w:id="209"/>
    </w:p>
    <w:p w14:paraId="3BC5C1B5" w14:textId="63C09358" w:rsidR="00CC703E" w:rsidRDefault="00E37FDB">
      <w:pPr>
        <w:spacing w:after="0"/>
      </w:pPr>
      <w:r>
        <w:t>On 6 January 2017 the Director of Biosecurity ordered</w:t>
      </w:r>
      <w:r w:rsidR="00721F4C">
        <w:rPr>
          <w:vertAlign w:val="superscript"/>
        </w:rPr>
        <w:t>14</w:t>
      </w:r>
      <w:r w:rsidR="001E20FB">
        <w:rPr>
          <w:vertAlign w:val="superscript"/>
        </w:rPr>
        <w:t>2</w:t>
      </w:r>
      <w:r w:rsidR="00A558A0">
        <w:t xml:space="preserve"> </w:t>
      </w:r>
      <w:r w:rsidR="003777A9">
        <w:t xml:space="preserve">the </w:t>
      </w:r>
      <w:r>
        <w:t xml:space="preserve">suspension of uncooked prawn imports from countries affected by WSD. From then until the suspension was lifted, the department posted external </w:t>
      </w:r>
      <w:r w:rsidR="00326920" w:rsidRPr="00326920">
        <w:t>Biosecurity Import Conditions (BICON) system</w:t>
      </w:r>
      <w:r w:rsidR="003E54B4">
        <w:rPr>
          <w:rStyle w:val="Hyperlink"/>
          <w:color w:val="auto"/>
          <w:u w:val="none"/>
          <w:vertAlign w:val="superscript"/>
        </w:rPr>
        <w:t>130</w:t>
      </w:r>
      <w:r>
        <w:t xml:space="preserve"> alert</w:t>
      </w:r>
      <w:r w:rsidR="003777A9">
        <w:t>s</w:t>
      </w:r>
      <w:r>
        <w:t xml:space="preserve"> informing prospective importers of its intention to suspend import permits</w:t>
      </w:r>
      <w:r w:rsidR="00637E5A">
        <w:t xml:space="preserve"> and of subsequent changes to the suspension order</w:t>
      </w:r>
      <w:r>
        <w:t>. The department engaged with importers via email and import industry advice notices</w:t>
      </w:r>
      <w:r w:rsidR="00B235EF">
        <w:t>,</w:t>
      </w:r>
      <w:r>
        <w:t xml:space="preserve"> and provided periodic updates on its website</w:t>
      </w:r>
      <w:r w:rsidR="00B92FA7">
        <w:rPr>
          <w:vertAlign w:val="superscript"/>
        </w:rPr>
        <w:t>14</w:t>
      </w:r>
      <w:r w:rsidR="001E20FB">
        <w:rPr>
          <w:vertAlign w:val="superscript"/>
        </w:rPr>
        <w:t>3</w:t>
      </w:r>
      <w:r>
        <w:t>.</w:t>
      </w:r>
    </w:p>
    <w:p w14:paraId="2CA4FE18" w14:textId="145607C6" w:rsidR="00CC703E" w:rsidRDefault="00E37FDB" w:rsidP="009F0C93">
      <w:pPr>
        <w:rPr>
          <w:rStyle w:val="Heading3Char"/>
          <w:rFonts w:eastAsia="Calibri"/>
          <w:lang w:bidi="hi-IN"/>
        </w:rPr>
      </w:pPr>
      <w:r>
        <w:t xml:space="preserve">To prevent further imports, between 11 and 13 January 2017 the department </w:t>
      </w:r>
      <w:r w:rsidR="003777A9">
        <w:t>suspend</w:t>
      </w:r>
      <w:r>
        <w:t xml:space="preserve">ed import permits for uncooked prawn products, fully suspending 246 permits and partially suspending 63 where the permit included other </w:t>
      </w:r>
      <w:r w:rsidR="009D5857">
        <w:t xml:space="preserve">prawn </w:t>
      </w:r>
      <w:r>
        <w:t>product types not affected by the suspension.</w:t>
      </w:r>
    </w:p>
    <w:p w14:paraId="50B4A12E" w14:textId="7A22E8FD" w:rsidR="00CC703E" w:rsidRPr="00766BC7" w:rsidRDefault="00E37FDB" w:rsidP="009F0C93">
      <w:pPr>
        <w:rPr>
          <w:rFonts w:ascii="Cambria" w:hAnsi="Cambria"/>
          <w:b/>
          <w:bCs/>
          <w:color w:val="000000"/>
          <w:szCs w:val="28"/>
          <w:lang w:bidi="hi-IN"/>
        </w:rPr>
      </w:pPr>
      <w:r>
        <w:t xml:space="preserve">The evidence of serious and widespread non-compliance with previous import conditions, and the large discrepancies between government and </w:t>
      </w:r>
      <w:r w:rsidR="003777A9">
        <w:t>private</w:t>
      </w:r>
      <w:r>
        <w:t xml:space="preserve"> screening lab testing results led to a tightening of procedures.</w:t>
      </w:r>
      <w:r w:rsidRPr="00766BC7">
        <w:t xml:space="preserve"> </w:t>
      </w:r>
      <w:r>
        <w:t>F</w:t>
      </w:r>
      <w:r w:rsidRPr="00766BC7">
        <w:t>rom</w:t>
      </w:r>
      <w:r>
        <w:rPr>
          <w:lang w:eastAsia="x-none" w:bidi="hi-IN"/>
        </w:rPr>
        <w:t xml:space="preserve"> 9 </w:t>
      </w:r>
      <w:r>
        <w:t>January</w:t>
      </w:r>
      <w:r>
        <w:rPr>
          <w:lang w:eastAsia="x-none" w:bidi="hi-IN"/>
        </w:rPr>
        <w:t xml:space="preserve"> 2017</w:t>
      </w:r>
      <w:r>
        <w:t xml:space="preserve"> prawn consignments of all types were subject to greatly strengthened </w:t>
      </w:r>
      <w:r>
        <w:rPr>
          <w:lang w:eastAsia="x-none" w:bidi="hi-IN"/>
        </w:rPr>
        <w:t xml:space="preserve">assessment, inspection, sampling and testing </w:t>
      </w:r>
      <w:r>
        <w:t>to minimise the entry of WSSV</w:t>
      </w:r>
      <w:r>
        <w:rPr>
          <w:lang w:eastAsia="x-none" w:bidi="hi-IN"/>
        </w:rPr>
        <w:t>.</w:t>
      </w:r>
      <w:r>
        <w:t xml:space="preserve"> Actions included:</w:t>
      </w:r>
    </w:p>
    <w:p w14:paraId="3C983FF9" w14:textId="06EFFBB0" w:rsidR="00CC703E" w:rsidRDefault="00E37FDB" w:rsidP="004735DD">
      <w:pPr>
        <w:pStyle w:val="ListBullet"/>
        <w:spacing w:before="60" w:after="0"/>
      </w:pPr>
      <w:r>
        <w:t>increased verification of the authenticity of broker/importer declarations by conducting more inspections of possibly misdeclared consignments</w:t>
      </w:r>
      <w:r w:rsidR="0086427A">
        <w:t>,</w:t>
      </w:r>
    </w:p>
    <w:p w14:paraId="37DAFA44" w14:textId="125323CC" w:rsidR="00CC703E" w:rsidRDefault="00E37FDB" w:rsidP="004735DD">
      <w:pPr>
        <w:pStyle w:val="ListBullet"/>
        <w:spacing w:before="60" w:after="0"/>
      </w:pPr>
      <w:r>
        <w:t>seals-intact inspections of all containers with declared raw prawn consignments, and supervised unpacking and sampling of cartons/batches by two or more inspectors, with</w:t>
      </w:r>
      <w:r w:rsidR="00BD5624">
        <w:t xml:space="preserve"> </w:t>
      </w:r>
      <w:r>
        <w:t>time</w:t>
      </w:r>
      <w:r w:rsidR="00C07C47">
        <w:t>s</w:t>
      </w:r>
      <w:r>
        <w:t xml:space="preserve"> charged </w:t>
      </w:r>
      <w:r w:rsidR="00C07C47">
        <w:t>up</w:t>
      </w:r>
      <w:r w:rsidR="00BD5624">
        <w:t xml:space="preserve"> </w:t>
      </w:r>
      <w:r>
        <w:t>to 8 hours per consignment</w:t>
      </w:r>
      <w:r w:rsidR="00766BC7">
        <w:t>, and</w:t>
      </w:r>
    </w:p>
    <w:p w14:paraId="66BFCF21" w14:textId="698D755B" w:rsidR="00CC703E" w:rsidRPr="00766BC7" w:rsidRDefault="00E37FDB" w:rsidP="004735DD">
      <w:pPr>
        <w:pStyle w:val="ListBullet"/>
        <w:spacing w:before="60" w:after="0"/>
        <w:rPr>
          <w:rFonts w:ascii="Cambria" w:eastAsia="Calibri" w:hAnsi="Cambria"/>
          <w:b/>
          <w:bCs/>
          <w:color w:val="000000"/>
          <w:szCs w:val="28"/>
          <w:lang w:bidi="hi-IN"/>
        </w:rPr>
      </w:pPr>
      <w:r>
        <w:t xml:space="preserve">strengthened laboratory testing protocols </w:t>
      </w:r>
      <w:r w:rsidR="00637E5A">
        <w:t xml:space="preserve">requiring </w:t>
      </w:r>
      <w:r>
        <w:t xml:space="preserve">screening laboratories to run their </w:t>
      </w:r>
      <w:r w:rsidR="009D5857">
        <w:t>q</w:t>
      </w:r>
      <w:r w:rsidRPr="00E91BF3">
        <w:t>PCR</w:t>
      </w:r>
      <w:r>
        <w:t xml:space="preserve"> tests out to 45 cycles, </w:t>
      </w:r>
      <w:r w:rsidR="00637E5A">
        <w:t xml:space="preserve">standardising </w:t>
      </w:r>
      <w:r>
        <w:t xml:space="preserve">criteria for test result interpretation and all negative samples from the screening laboratories </w:t>
      </w:r>
      <w:r w:rsidR="00536A8B">
        <w:t xml:space="preserve">to </w:t>
      </w:r>
      <w:r>
        <w:t>be sent to AAHL for confirmat</w:t>
      </w:r>
      <w:r w:rsidR="00536A8B">
        <w:t>ory testing</w:t>
      </w:r>
      <w:r>
        <w:t>.</w:t>
      </w:r>
    </w:p>
    <w:p w14:paraId="4FC44A95" w14:textId="72DC21EF" w:rsidR="00CC703E" w:rsidRDefault="00E37FDB" w:rsidP="009F0C93">
      <w:r>
        <w:t xml:space="preserve">When the department announced the suspension of prawn imports, a number of consignments of uncooked or marinated prawns were already in transit to Australia. Importers </w:t>
      </w:r>
      <w:r w:rsidR="00637E5A">
        <w:t>could</w:t>
      </w:r>
      <w:r>
        <w:t xml:space="preserve"> either import the consignments subject to the new enhanced procedures or re-export them without inspection.</w:t>
      </w:r>
    </w:p>
    <w:p w14:paraId="386E0E05" w14:textId="77777777" w:rsidR="00CC703E" w:rsidRPr="009F0C93" w:rsidRDefault="00E37FDB" w:rsidP="009F0C93">
      <w:pPr>
        <w:pStyle w:val="Heading3"/>
        <w:rPr>
          <w:rStyle w:val="Heading3Char"/>
          <w:rFonts w:eastAsia="Calibri"/>
          <w:b/>
          <w:bCs/>
        </w:rPr>
      </w:pPr>
      <w:bookmarkStart w:id="211" w:name="_Toc500508419"/>
      <w:r w:rsidRPr="009F0C93">
        <w:rPr>
          <w:rStyle w:val="Heading3Char"/>
          <w:rFonts w:eastAsia="Calibri"/>
          <w:b/>
          <w:bCs/>
        </w:rPr>
        <w:t>Post-border withdrawal of uncooked and marinated prawns</w:t>
      </w:r>
      <w:bookmarkEnd w:id="211"/>
    </w:p>
    <w:p w14:paraId="711CB220" w14:textId="5B20F387" w:rsidR="00CC703E" w:rsidRDefault="00E37FDB">
      <w:pPr>
        <w:spacing w:after="0"/>
        <w:rPr>
          <w:szCs w:val="24"/>
        </w:rPr>
      </w:pPr>
      <w:r>
        <w:rPr>
          <w:szCs w:val="24"/>
        </w:rPr>
        <w:t>Following Operation Cattai, the department realised that consignments of imported uncooked and marinated prawns that had previously been released from biosecurity control</w:t>
      </w:r>
      <w:r w:rsidRPr="00766BC7">
        <w:rPr>
          <w:szCs w:val="24"/>
        </w:rPr>
        <w:t>—</w:t>
      </w:r>
      <w:r>
        <w:rPr>
          <w:szCs w:val="24"/>
        </w:rPr>
        <w:t>after what had been thought to be satisfactory inspection and testing</w:t>
      </w:r>
      <w:r w:rsidRPr="00766BC7">
        <w:rPr>
          <w:szCs w:val="24"/>
        </w:rPr>
        <w:t>—</w:t>
      </w:r>
      <w:r>
        <w:rPr>
          <w:szCs w:val="24"/>
        </w:rPr>
        <w:t>could still be positive for WSSV and pose an unacceptable risk if presented for retail sale.</w:t>
      </w:r>
    </w:p>
    <w:p w14:paraId="74EA6D6F" w14:textId="7B4278B8" w:rsidR="00CC703E" w:rsidRDefault="00E37FDB">
      <w:pPr>
        <w:spacing w:after="0"/>
        <w:rPr>
          <w:szCs w:val="24"/>
        </w:rPr>
      </w:pPr>
      <w:r>
        <w:rPr>
          <w:szCs w:val="24"/>
        </w:rPr>
        <w:lastRenderedPageBreak/>
        <w:t>Consequently, when uncooked prawn imports were suspended, the department decided to identify and secure as much of this product as possible in the domestic market. Once secured, the product was sampled and re-tested by AAHL. Product that tested positive for WSSV was directed for either treatment (cooking), export or destruction.</w:t>
      </w:r>
    </w:p>
    <w:p w14:paraId="6075263F" w14:textId="4C2AC84D" w:rsidR="00CC703E" w:rsidRDefault="00E37FDB" w:rsidP="00766BC7">
      <w:pPr>
        <w:pStyle w:val="Heading4"/>
      </w:pPr>
      <w:r>
        <w:rPr>
          <w:lang w:val="en-AU"/>
        </w:rPr>
        <w:t xml:space="preserve">Identifying </w:t>
      </w:r>
      <w:r>
        <w:t xml:space="preserve">imported </w:t>
      </w:r>
      <w:r w:rsidR="00536A8B">
        <w:rPr>
          <w:lang w:val="en-AU"/>
        </w:rPr>
        <w:t xml:space="preserve">uncooked </w:t>
      </w:r>
      <w:r>
        <w:t xml:space="preserve">product </w:t>
      </w:r>
      <w:r>
        <w:rPr>
          <w:lang w:val="en-AU"/>
        </w:rPr>
        <w:t xml:space="preserve">that </w:t>
      </w:r>
      <w:r>
        <w:t xml:space="preserve">needed </w:t>
      </w:r>
      <w:r>
        <w:rPr>
          <w:lang w:val="en-AU"/>
        </w:rPr>
        <w:t xml:space="preserve">to be </w:t>
      </w:r>
      <w:r>
        <w:t>withdraw</w:t>
      </w:r>
      <w:r>
        <w:rPr>
          <w:lang w:val="en-AU"/>
        </w:rPr>
        <w:t>n</w:t>
      </w:r>
      <w:r w:rsidR="00536A8B">
        <w:rPr>
          <w:lang w:val="en-AU"/>
        </w:rPr>
        <w:t xml:space="preserve"> from sale</w:t>
      </w:r>
    </w:p>
    <w:p w14:paraId="09492086" w14:textId="63B0F0CD" w:rsidR="00CC703E" w:rsidRDefault="00E37FDB">
      <w:r>
        <w:t>Around 17,000 tonnes of uncooked prawns (raw and marinated) are imported into Australia each year</w:t>
      </w:r>
      <w:r w:rsidR="009D5857">
        <w:t xml:space="preserve"> (</w:t>
      </w:r>
      <w:r w:rsidR="00E91BF3">
        <w:fldChar w:fldCharType="begin"/>
      </w:r>
      <w:r w:rsidR="00E91BF3">
        <w:instrText xml:space="preserve"> REF _Ref491778013 \h </w:instrText>
      </w:r>
      <w:r w:rsidR="00E91BF3">
        <w:fldChar w:fldCharType="separate"/>
      </w:r>
      <w:r w:rsidR="00121BC1">
        <w:t xml:space="preserve">Box </w:t>
      </w:r>
      <w:r w:rsidR="00121BC1">
        <w:rPr>
          <w:noProof/>
        </w:rPr>
        <w:t>5</w:t>
      </w:r>
      <w:r w:rsidR="00E91BF3">
        <w:fldChar w:fldCharType="end"/>
      </w:r>
      <w:r w:rsidR="009D5857">
        <w:t>)</w:t>
      </w:r>
      <w:r>
        <w:t xml:space="preserve">. In the 12 months to January 2017, 18,043 tonnes of uncooked prawns were imported. Uncooked prawns frozen at –20 </w:t>
      </w:r>
      <w:r>
        <w:rPr>
          <w:vertAlign w:val="superscript"/>
        </w:rPr>
        <w:t>o</w:t>
      </w:r>
      <w:r>
        <w:t xml:space="preserve">C may be stored for up to 18 months before deteriorating. Between 80 and 90 per cent of imported uncooked prawns move through a ‘fast’ supply chain and are </w:t>
      </w:r>
      <w:r w:rsidR="00474DBA">
        <w:t>sold</w:t>
      </w:r>
      <w:r>
        <w:t xml:space="preserve"> within two to three months of being imported. The remaining 10 to 20 per cent move through a ‘slow’ supply chain and are </w:t>
      </w:r>
      <w:r w:rsidR="00474DBA">
        <w:t>sold</w:t>
      </w:r>
      <w:r>
        <w:t xml:space="preserve"> with</w:t>
      </w:r>
      <w:r w:rsidR="00E91BF3">
        <w:t>in 15 months of being imported.</w:t>
      </w:r>
    </w:p>
    <w:p w14:paraId="55715BCB" w14:textId="4C8CBB8E" w:rsidR="00CC703E" w:rsidRDefault="00E37FDB">
      <w:pPr>
        <w:pStyle w:val="Caption"/>
      </w:pPr>
      <w:bookmarkStart w:id="212" w:name="_Ref491778013"/>
      <w:r>
        <w:t xml:space="preserve">Box </w:t>
      </w:r>
      <w:r w:rsidR="00F329C0">
        <w:fldChar w:fldCharType="begin"/>
      </w:r>
      <w:r w:rsidR="00F329C0">
        <w:instrText xml:space="preserve"> SE</w:instrText>
      </w:r>
      <w:r w:rsidR="00F329C0">
        <w:instrText xml:space="preserve">Q Box \* ARABIC </w:instrText>
      </w:r>
      <w:r w:rsidR="00F329C0">
        <w:fldChar w:fldCharType="separate"/>
      </w:r>
      <w:r w:rsidR="00121BC1">
        <w:rPr>
          <w:noProof/>
        </w:rPr>
        <w:t>5</w:t>
      </w:r>
      <w:r w:rsidR="00F329C0">
        <w:rPr>
          <w:noProof/>
        </w:rPr>
        <w:fldChar w:fldCharType="end"/>
      </w:r>
      <w:bookmarkEnd w:id="212"/>
      <w:r>
        <w:t xml:space="preserve"> </w:t>
      </w:r>
      <w:r w:rsidRPr="00766BC7">
        <w:t>I</w:t>
      </w:r>
      <w:r>
        <w:t>mport volumes of uncooked and marinated prawns, 2015–16</w:t>
      </w:r>
    </w:p>
    <w:p w14:paraId="78DB4D8A" w14:textId="77777777" w:rsidR="00CC703E" w:rsidRDefault="00E37FDB">
      <w:pPr>
        <w:rPr>
          <w:sz w:val="22"/>
        </w:rPr>
      </w:pPr>
      <w:r>
        <w:rPr>
          <w:noProof/>
          <w:sz w:val="22"/>
          <w:lang w:eastAsia="en-AU"/>
        </w:rPr>
        <mc:AlternateContent>
          <mc:Choice Requires="wps">
            <w:drawing>
              <wp:inline distT="0" distB="0" distL="0" distR="0" wp14:anchorId="2289AEA1" wp14:editId="658D47FE">
                <wp:extent cx="5935980" cy="1250831"/>
                <wp:effectExtent l="0" t="0" r="26670" b="26035"/>
                <wp:docPr id="5" name="Text Box 5"/>
                <wp:cNvGraphicFramePr/>
                <a:graphic xmlns:a="http://schemas.openxmlformats.org/drawingml/2006/main">
                  <a:graphicData uri="http://schemas.microsoft.com/office/word/2010/wordprocessingShape">
                    <wps:wsp>
                      <wps:cNvSpPr txBox="1"/>
                      <wps:spPr>
                        <a:xfrm>
                          <a:off x="0" y="0"/>
                          <a:ext cx="5935980" cy="1250831"/>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1A4F3B" w14:textId="7A3468D2" w:rsidR="00F94281" w:rsidRPr="0039601F" w:rsidRDefault="00F94281">
                            <w:pPr>
                              <w:spacing w:after="0"/>
                              <w:rPr>
                                <w:sz w:val="22"/>
                              </w:rPr>
                            </w:pPr>
                            <w:r w:rsidRPr="0039601F">
                              <w:rPr>
                                <w:sz w:val="22"/>
                              </w:rPr>
                              <w:t>Uncooked prawns = 11,319 tonnes</w:t>
                            </w:r>
                          </w:p>
                          <w:p w14:paraId="725E52E3" w14:textId="77777777" w:rsidR="00F94281" w:rsidRPr="0039601F" w:rsidRDefault="00F94281">
                            <w:pPr>
                              <w:spacing w:after="0"/>
                              <w:rPr>
                                <w:sz w:val="22"/>
                              </w:rPr>
                            </w:pPr>
                            <w:r w:rsidRPr="0039601F">
                              <w:rPr>
                                <w:sz w:val="22"/>
                              </w:rPr>
                              <w:t>Marinated prawn products = 6,365 tonnes</w:t>
                            </w:r>
                          </w:p>
                          <w:p w14:paraId="279EC11B" w14:textId="40DA652A" w:rsidR="00F94281" w:rsidRPr="0039601F" w:rsidRDefault="00F94281">
                            <w:pPr>
                              <w:spacing w:after="0"/>
                              <w:rPr>
                                <w:sz w:val="22"/>
                              </w:rPr>
                            </w:pPr>
                            <w:r w:rsidRPr="0039601F">
                              <w:rPr>
                                <w:sz w:val="22"/>
                              </w:rPr>
                              <w:t>Total = 17,684 tonnes</w:t>
                            </w:r>
                            <w:r w:rsidRPr="0039601F">
                              <w:rPr>
                                <w:sz w:val="22"/>
                                <w:vertAlign w:val="superscript"/>
                              </w:rPr>
                              <w:t>a</w:t>
                            </w:r>
                          </w:p>
                          <w:p w14:paraId="1062FF5B" w14:textId="01ADCD74" w:rsidR="00F94281" w:rsidRPr="0039601F" w:rsidRDefault="00F94281">
                            <w:pPr>
                              <w:spacing w:after="0"/>
                            </w:pPr>
                            <w:r w:rsidRPr="0039601F">
                              <w:rPr>
                                <w:rStyle w:val="Strong"/>
                                <w:vertAlign w:val="superscript"/>
                              </w:rPr>
                              <w:t xml:space="preserve">a </w:t>
                            </w:r>
                            <w:r w:rsidRPr="0039601F">
                              <w:rPr>
                                <w:sz w:val="22"/>
                              </w:rPr>
                              <w:t>This quantity of prawns equates to approximately 982 × 40-foot containers, based on an average container weight of 18 tonnes.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289AEA1" id="_x0000_t202" coordsize="21600,21600" o:spt="202" path="m,l,21600r21600,l21600,xe">
                <v:stroke joinstyle="miter"/>
                <v:path gradientshapeok="t" o:connecttype="rect"/>
              </v:shapetype>
              <v:shape id="Text Box 5" o:spid="_x0000_s1026" type="#_x0000_t202" style="width:467.4pt;height: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" filled="f" strokeweight=".5pt">
                <v:textbox>
                  <w:txbxContent>
                    <w:p w14:paraId="1E1A4F3B" w14:textId="7A3468D2" w:rsidR="00F94281" w:rsidRPr="0039601F" w:rsidRDefault="00F94281">
                      <w:pPr>
                        <w:spacing w:after="0"/>
                        <w:rPr>
                          <w:sz w:val="22"/>
                        </w:rPr>
                      </w:pPr>
                      <w:r w:rsidRPr="0039601F">
                        <w:rPr>
                          <w:sz w:val="22"/>
                        </w:rPr>
                        <w:t>Uncooked prawns = 11,319 tonnes</w:t>
                      </w:r>
                    </w:p>
                    <w:p w14:paraId="725E52E3" w14:textId="77777777" w:rsidR="00F94281" w:rsidRPr="0039601F" w:rsidRDefault="00F94281">
                      <w:pPr>
                        <w:spacing w:after="0"/>
                        <w:rPr>
                          <w:sz w:val="22"/>
                        </w:rPr>
                      </w:pPr>
                      <w:r w:rsidRPr="0039601F">
                        <w:rPr>
                          <w:sz w:val="22"/>
                        </w:rPr>
                        <w:t>Marinated prawn products = 6,365 tonnes</w:t>
                      </w:r>
                    </w:p>
                    <w:p w14:paraId="279EC11B" w14:textId="40DA652A" w:rsidR="00F94281" w:rsidRPr="0039601F" w:rsidRDefault="00F94281">
                      <w:pPr>
                        <w:spacing w:after="0"/>
                        <w:rPr>
                          <w:sz w:val="22"/>
                        </w:rPr>
                      </w:pPr>
                      <w:r w:rsidRPr="0039601F">
                        <w:rPr>
                          <w:sz w:val="22"/>
                        </w:rPr>
                        <w:t xml:space="preserve">Total = 17,684 </w:t>
                      </w:r>
                      <w:proofErr w:type="spellStart"/>
                      <w:r w:rsidRPr="0039601F">
                        <w:rPr>
                          <w:sz w:val="22"/>
                        </w:rPr>
                        <w:t>tonnes</w:t>
                      </w:r>
                      <w:r w:rsidRPr="0039601F">
                        <w:rPr>
                          <w:sz w:val="22"/>
                          <w:vertAlign w:val="superscript"/>
                        </w:rPr>
                        <w:t>a</w:t>
                      </w:r>
                      <w:proofErr w:type="spellEnd"/>
                    </w:p>
                    <w:p w14:paraId="1062FF5B" w14:textId="01ADCD74" w:rsidR="00F94281" w:rsidRPr="0039601F" w:rsidRDefault="00F94281">
                      <w:pPr>
                        <w:spacing w:after="0"/>
                      </w:pPr>
                      <w:proofErr w:type="spellStart"/>
                      <w:r w:rsidRPr="0039601F">
                        <w:rPr>
                          <w:rStyle w:val="Strong"/>
                          <w:vertAlign w:val="superscript"/>
                        </w:rPr>
                        <w:t>a</w:t>
                      </w:r>
                      <w:proofErr w:type="spellEnd"/>
                      <w:r w:rsidRPr="0039601F">
                        <w:rPr>
                          <w:rStyle w:val="Strong"/>
                          <w:vertAlign w:val="superscript"/>
                        </w:rPr>
                        <w:t xml:space="preserve"> </w:t>
                      </w:r>
                      <w:r w:rsidRPr="0039601F">
                        <w:rPr>
                          <w:sz w:val="22"/>
                        </w:rPr>
                        <w:t>This quantity of prawns equates to approximately 982 × 40-foot containers, based on an average container weight of 18 tonnes.</w:t>
                      </w:r>
                    </w:p>
                  </w:txbxContent>
                </v:textbox>
                <w10:anchorlock/>
              </v:shape>
            </w:pict>
          </mc:Fallback>
        </mc:AlternateContent>
      </w:r>
    </w:p>
    <w:p w14:paraId="103A9C53" w14:textId="62988291" w:rsidR="00CC703E" w:rsidRDefault="00E37FDB">
      <w:pPr>
        <w:spacing w:before="240" w:after="0"/>
        <w:rPr>
          <w:szCs w:val="24"/>
        </w:rPr>
      </w:pPr>
      <w:r>
        <w:t>On 6 January 2017 the department asked five importers who had had WSSV-positive prawns detected by Operation Cattai or by retail testing to voluntarily withdraw similarly sourced consignments. For legal, financial and practical reasons, the importers were reluctant to request the return of these goods. They no longer owned or had legal control over the goods and it would have been very difficult to identify where the product had been distributed in the multilayered domestic prawn distribution and retail network. Nevertheless, one importer voluntarily secured the return of 5,994 kilograms of prawns.</w:t>
      </w:r>
    </w:p>
    <w:p w14:paraId="338BD2ED" w14:textId="4C44DFB8" w:rsidR="00CC703E" w:rsidRDefault="00E37FDB">
      <w:r>
        <w:t xml:space="preserve">Where possible, the department used powers under the </w:t>
      </w:r>
      <w:r>
        <w:rPr>
          <w:i/>
        </w:rPr>
        <w:t>Biosecurity Act 2015</w:t>
      </w:r>
      <w:r>
        <w:t xml:space="preserve"> to secure and test product in retail outlets and freezers. Efforts by the department to track down and remove product from the domestic supply chain were hampered by the complexity of the system (</w:t>
      </w:r>
      <w:r>
        <w:fldChar w:fldCharType="begin"/>
      </w:r>
      <w:r>
        <w:instrText xml:space="preserve"> REF _Ref492907924 \h </w:instrText>
      </w:r>
      <w:r>
        <w:fldChar w:fldCharType="separate"/>
      </w:r>
      <w:r w:rsidR="00121BC1">
        <w:t xml:space="preserve">Figure </w:t>
      </w:r>
      <w:r w:rsidR="00121BC1">
        <w:rPr>
          <w:noProof/>
        </w:rPr>
        <w:t>9</w:t>
      </w:r>
      <w:r>
        <w:fldChar w:fldCharType="end"/>
      </w:r>
      <w:r>
        <w:t xml:space="preserve">) and the lack of recall or notification powers under the </w:t>
      </w:r>
      <w:r>
        <w:rPr>
          <w:i/>
        </w:rPr>
        <w:t>Biosecurity Act 2015.</w:t>
      </w:r>
      <w:r>
        <w:t xml:space="preserve"> However, once a positive testing result was received from AAHL, the department could use powers under the Act to secure the product and direct it for</w:t>
      </w:r>
      <w:r w:rsidR="003E54B4">
        <w:t xml:space="preserve"> either </w:t>
      </w:r>
      <w:r>
        <w:t>cooking</w:t>
      </w:r>
      <w:r w:rsidR="003E54B4">
        <w:t>,</w:t>
      </w:r>
      <w:r>
        <w:t xml:space="preserve"> </w:t>
      </w:r>
      <w:r w:rsidR="003E54B4">
        <w:t xml:space="preserve">export </w:t>
      </w:r>
      <w:r>
        <w:t>or destruction.</w:t>
      </w:r>
    </w:p>
    <w:p w14:paraId="091DA27A" w14:textId="579416B6" w:rsidR="00CC703E" w:rsidRDefault="00E37FDB" w:rsidP="00E91BF3">
      <w:pPr>
        <w:pStyle w:val="Caption"/>
        <w:spacing w:after="120"/>
      </w:pPr>
      <w:bookmarkStart w:id="213" w:name="_Ref492907924"/>
      <w:bookmarkStart w:id="214" w:name="_Toc498766346"/>
      <w:bookmarkStart w:id="215" w:name="_Toc500508469"/>
      <w:r>
        <w:lastRenderedPageBreak/>
        <w:t xml:space="preserve">Figure </w:t>
      </w:r>
      <w:r w:rsidR="00F329C0">
        <w:fldChar w:fldCharType="begin"/>
      </w:r>
      <w:r w:rsidR="00F329C0">
        <w:instrText xml:space="preserve"> SEQ Figure \* ARABIC </w:instrText>
      </w:r>
      <w:r w:rsidR="00F329C0">
        <w:fldChar w:fldCharType="separate"/>
      </w:r>
      <w:r w:rsidR="00121BC1">
        <w:rPr>
          <w:noProof/>
        </w:rPr>
        <w:t>9</w:t>
      </w:r>
      <w:r w:rsidR="00F329C0">
        <w:rPr>
          <w:noProof/>
        </w:rPr>
        <w:fldChar w:fldCharType="end"/>
      </w:r>
      <w:bookmarkEnd w:id="213"/>
      <w:r>
        <w:t xml:space="preserve"> Typical domestic distribution chain for single container load of imported uncooked prawns and prawn products, Australia</w:t>
      </w:r>
      <w:bookmarkEnd w:id="214"/>
      <w:bookmarkEnd w:id="215"/>
    </w:p>
    <w:p w14:paraId="50EEDAAA" w14:textId="6C240E5B" w:rsidR="00CC703E" w:rsidRPr="0011644D" w:rsidRDefault="0011644D">
      <w:pPr>
        <w:spacing w:before="0" w:after="0"/>
      </w:pPr>
      <w:r>
        <w:rPr>
          <w:noProof/>
          <w:lang w:eastAsia="en-AU"/>
        </w:rPr>
        <w:drawing>
          <wp:inline distT="0" distB="0" distL="0" distR="0" wp14:anchorId="3E479A3E" wp14:editId="6B6FED39">
            <wp:extent cx="4306873" cy="26935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x_info.jpg"/>
                    <pic:cNvPicPr/>
                  </pic:nvPicPr>
                  <pic:blipFill>
                    <a:blip r:embed="rId37" cstate="email">
                      <a:extLst>
                        <a:ext uri="{28A0092B-C50C-407E-A947-70E740481C1C}">
                          <a14:useLocalDpi xmlns:a14="http://schemas.microsoft.com/office/drawing/2010/main"/>
                        </a:ext>
                      </a:extLst>
                    </a:blip>
                    <a:stretch>
                      <a:fillRect/>
                    </a:stretch>
                  </pic:blipFill>
                  <pic:spPr>
                    <a:xfrm>
                      <a:off x="0" y="0"/>
                      <a:ext cx="4365553" cy="2730202"/>
                    </a:xfrm>
                    <a:prstGeom prst="rect">
                      <a:avLst/>
                    </a:prstGeom>
                  </pic:spPr>
                </pic:pic>
              </a:graphicData>
            </a:graphic>
          </wp:inline>
        </w:drawing>
      </w:r>
    </w:p>
    <w:p w14:paraId="76479C5F" w14:textId="77777777" w:rsidR="00CC703E" w:rsidRDefault="00E37FDB">
      <w:pPr>
        <w:pStyle w:val="FigureTableNoteSource"/>
        <w:rPr>
          <w:lang w:eastAsia="ja-JP"/>
        </w:rPr>
      </w:pPr>
      <w:r>
        <w:rPr>
          <w:lang w:eastAsia="ja-JP"/>
        </w:rPr>
        <w:t>Source: Department of Agriculture and Water Resources</w:t>
      </w:r>
    </w:p>
    <w:p w14:paraId="3446E8F1" w14:textId="34199D4B" w:rsidR="00CC703E" w:rsidRDefault="00E37FDB" w:rsidP="00E91BF3">
      <w:pPr>
        <w:pStyle w:val="Heading4"/>
      </w:pPr>
      <w:r>
        <w:t>Stocks of uncooked imported prawns in domestic supply chain</w:t>
      </w:r>
    </w:p>
    <w:p w14:paraId="1F6325EB" w14:textId="69CA63B6" w:rsidR="00CC703E" w:rsidRDefault="00E37FDB" w:rsidP="00E91BF3">
      <w:pPr>
        <w:spacing w:after="0"/>
      </w:pPr>
      <w:r>
        <w:t>The department focused on major national grocery retail chains, wholesalers, distribution centres and approved arrangements</w:t>
      </w:r>
      <w:r w:rsidR="0000534C">
        <w:t xml:space="preserve">, rather than </w:t>
      </w:r>
      <w:r>
        <w:t xml:space="preserve">the enormous number of end-point retailers who might stock uncooked imported prawns </w:t>
      </w:r>
      <w:r w:rsidR="0000534C">
        <w:t xml:space="preserve">but who </w:t>
      </w:r>
      <w:r>
        <w:t xml:space="preserve">might have sold much </w:t>
      </w:r>
      <w:r w:rsidR="003E54B4">
        <w:t xml:space="preserve">of </w:t>
      </w:r>
      <w:r w:rsidR="0000534C">
        <w:t>it</w:t>
      </w:r>
      <w:r>
        <w:t xml:space="preserve"> by the time they were approached. Over 2,500 tonnes of uncooked imported prawns in various sectors of the domestic supply chain were quickly identified.</w:t>
      </w:r>
    </w:p>
    <w:p w14:paraId="39B25CF9" w14:textId="77777777" w:rsidR="00CC703E" w:rsidRPr="00766BC7" w:rsidRDefault="00E37FDB" w:rsidP="00E91BF3">
      <w:pPr>
        <w:pStyle w:val="Heading5"/>
      </w:pPr>
      <w:r w:rsidRPr="00766BC7">
        <w:t xml:space="preserve">Retail and distribution </w:t>
      </w:r>
      <w:r>
        <w:t>centres</w:t>
      </w:r>
    </w:p>
    <w:p w14:paraId="0AA58391" w14:textId="4FFA1B30" w:rsidR="00CC703E" w:rsidRPr="00766BC7" w:rsidRDefault="00E37FDB" w:rsidP="00E91BF3">
      <w:pPr>
        <w:spacing w:after="0"/>
      </w:pPr>
      <w:r>
        <w:t>From 6 January to 3 March 2017 the department liaised with the four major national food/grocery retailer chains (Coles, Woolworths, ALDI and Metcash/IGA), who agreed to WSSV testing of stock in the supply chain. Three of the four also voluntarily secured stock pending the WSSV test results. Departmental officers initially inspected 156 sites, including over 130 retail sites on the east coast (from Far North Queensland to Tasmania), in parts of Western Australia and at some inland locations, with additional inspections at distribution centres. Uncooked imported prawns were purchased at these sites and tested for WSSV.</w:t>
      </w:r>
    </w:p>
    <w:p w14:paraId="0AB5139E" w14:textId="2466C63D" w:rsidR="00CC703E" w:rsidRDefault="00E37FDB" w:rsidP="00E91BF3">
      <w:pPr>
        <w:pStyle w:val="Heading5"/>
      </w:pPr>
      <w:r>
        <w:t xml:space="preserve">Approved </w:t>
      </w:r>
      <w:r w:rsidR="00766BC7">
        <w:t>arrangement</w:t>
      </w:r>
      <w:r>
        <w:t xml:space="preserve"> wholesaler sites</w:t>
      </w:r>
    </w:p>
    <w:p w14:paraId="5FBE41E1" w14:textId="4AD9DB45" w:rsidR="00CC703E" w:rsidRPr="00766BC7" w:rsidRDefault="00E37FDB" w:rsidP="00E91BF3">
      <w:pPr>
        <w:spacing w:after="0"/>
      </w:pPr>
      <w:r>
        <w:t xml:space="preserve">On 15 and 16 February 2017 the department directed all 238 operators of freezers at approved arrangements regulated under the </w:t>
      </w:r>
      <w:r>
        <w:rPr>
          <w:i/>
        </w:rPr>
        <w:t>Biosecurity Act 2015</w:t>
      </w:r>
      <w:r>
        <w:t xml:space="preserve"> to secure any stock of uncooked imported prawns. Seventy-six of these sites reported having uncooked imported prawns in stock. Verification audits confirmed that the other operators did not have prawn stocks.</w:t>
      </w:r>
    </w:p>
    <w:p w14:paraId="20F23865" w14:textId="77777777" w:rsidR="00CC703E" w:rsidRDefault="00E37FDB" w:rsidP="00E91BF3">
      <w:pPr>
        <w:pStyle w:val="Heading5"/>
      </w:pPr>
      <w:r>
        <w:t>Non-regulated wholesaler sites</w:t>
      </w:r>
    </w:p>
    <w:p w14:paraId="076A4480" w14:textId="091CC905" w:rsidR="00CC703E" w:rsidRDefault="00E37FDB" w:rsidP="00E91BF3">
      <w:pPr>
        <w:spacing w:after="0"/>
      </w:pPr>
      <w:r>
        <w:lastRenderedPageBreak/>
        <w:t>These sites were more difficult to identify. On 26 May 2017 the department directed a further 131 domestic freezers (including food service distributors supplying restaurants and caterers) to secure any uncooked prawns until they could be tested for WSSV. Only eight of these facilities reported that they held relevant product.</w:t>
      </w:r>
    </w:p>
    <w:p w14:paraId="12D292C2" w14:textId="77777777" w:rsidR="00CC703E" w:rsidRDefault="00E37FDB" w:rsidP="00E91BF3">
      <w:pPr>
        <w:pStyle w:val="Heading5"/>
      </w:pPr>
      <w:r>
        <w:t>Retail sites (retailers and wholesalers)</w:t>
      </w:r>
    </w:p>
    <w:p w14:paraId="3354CF0E" w14:textId="0118CB27" w:rsidR="00CC703E" w:rsidRDefault="00E37FDB" w:rsidP="00E91BF3">
      <w:pPr>
        <w:spacing w:after="0"/>
      </w:pPr>
      <w:r>
        <w:t xml:space="preserve">Sites where batches had previously tested WSSV positive were prioritised for unannounced inspections to ensure no infected product remained. Batches </w:t>
      </w:r>
      <w:r w:rsidR="0000534C">
        <w:t>found to be</w:t>
      </w:r>
      <w:r>
        <w:t xml:space="preserve"> positive were traced back to the importer and then traced forward to wholesale or retail businesses that had purchased more than 50 kilograms of the WSSV-positive batch. At these sites, inspectors identified and secured over 200 batches of uncooked imported prawns that had either not previously been tested (marinated uncooked prawns) or had not previously been identified for re-testing (unprocessed uncooked prawns). Nearly all these inspections and the securing of goods occurred by the end of April 2017.</w:t>
      </w:r>
    </w:p>
    <w:p w14:paraId="579816DD" w14:textId="3900D17B" w:rsidR="00CC703E" w:rsidRDefault="00E37FDB" w:rsidP="00E91BF3">
      <w:pPr>
        <w:pStyle w:val="Heading5"/>
      </w:pPr>
      <w:r>
        <w:t>Other food/grocery or special</w:t>
      </w:r>
      <w:r>
        <w:rPr>
          <w:lang w:val="en-AU"/>
        </w:rPr>
        <w:t xml:space="preserve">ty </w:t>
      </w:r>
      <w:r>
        <w:t>seafood retailers</w:t>
      </w:r>
    </w:p>
    <w:p w14:paraId="0C4E9A6B" w14:textId="14601F50" w:rsidR="00927201" w:rsidRDefault="00E37FDB" w:rsidP="00927201">
      <w:r>
        <w:t xml:space="preserve">Retailers close to key prawn farming areas, such as Logan River </w:t>
      </w:r>
      <w:r w:rsidRPr="00CC70DD">
        <w:t>(</w:t>
      </w:r>
      <w:r w:rsidR="00CC70DD">
        <w:rPr>
          <w:highlight w:val="yellow"/>
        </w:rPr>
        <w:fldChar w:fldCharType="begin"/>
      </w:r>
      <w:r w:rsidR="00CC70DD">
        <w:rPr>
          <w:highlight w:val="yellow"/>
        </w:rPr>
        <w:instrText xml:space="preserve"> REF _Ref499738305 \h </w:instrText>
      </w:r>
      <w:r w:rsidR="00CC70DD">
        <w:rPr>
          <w:highlight w:val="yellow"/>
        </w:rPr>
      </w:r>
      <w:r w:rsidR="00CC70DD">
        <w:rPr>
          <w:highlight w:val="yellow"/>
        </w:rPr>
        <w:fldChar w:fldCharType="separate"/>
      </w:r>
      <w:r w:rsidR="00121BC1">
        <w:t xml:space="preserve">Map </w:t>
      </w:r>
      <w:r w:rsidR="00121BC1">
        <w:rPr>
          <w:noProof/>
        </w:rPr>
        <w:t>7</w:t>
      </w:r>
      <w:r w:rsidR="00CC70DD">
        <w:rPr>
          <w:highlight w:val="yellow"/>
        </w:rPr>
        <w:fldChar w:fldCharType="end"/>
      </w:r>
      <w:r>
        <w:t>), Bundaberg, Mission Beach, Proserpine and Yamba were also contacted. It was not practical for departmental officers to visit every one of the tens of thousands of business</w:t>
      </w:r>
      <w:r w:rsidR="003E54B4">
        <w:t>es</w:t>
      </w:r>
      <w:r>
        <w:t xml:space="preserve"> that could be selling uncooked imported prawns in the domestic supply chain. Nevertheless, by October 2017 the department had contacted more than 1,000 additional food/grocery and specialty seafood retail businesses to ensure that uncooked prawns imported before the suspension had either been removed from the domestic supply chain or had been sold and most likely consumed.</w:t>
      </w:r>
    </w:p>
    <w:p w14:paraId="764BEE3F" w14:textId="3E86B1A5" w:rsidR="00927201" w:rsidRPr="00A005E4" w:rsidRDefault="00927201" w:rsidP="00927201">
      <w:r>
        <w:fldChar w:fldCharType="begin"/>
      </w:r>
      <w:r>
        <w:instrText xml:space="preserve"> REF _Ref499323677 \h </w:instrText>
      </w:r>
      <w:r>
        <w:fldChar w:fldCharType="separate"/>
      </w:r>
      <w:r w:rsidR="00121BC1">
        <w:t xml:space="preserve">Table </w:t>
      </w:r>
      <w:r w:rsidR="00121BC1">
        <w:rPr>
          <w:noProof/>
        </w:rPr>
        <w:t>12</w:t>
      </w:r>
      <w:r>
        <w:fldChar w:fldCharType="end"/>
      </w:r>
      <w:r w:rsidRPr="000E47DB">
        <w:t xml:space="preserve"> </w:t>
      </w:r>
      <w:r>
        <w:t xml:space="preserve">summarises the WSSV testing results of marinated and unprocessed uncooked prawns that had been imported in 2016, had passed border controls at that time, and were progressively secured and re-tested in 2017. </w:t>
      </w:r>
      <w:r w:rsidRPr="000E47DB">
        <w:t xml:space="preserve">The </w:t>
      </w:r>
      <w:r>
        <w:t>WSSV-</w:t>
      </w:r>
      <w:r w:rsidRPr="000E47DB">
        <w:t>p</w:t>
      </w:r>
      <w:r>
        <w:t>ositive rate for unprocessed prawn batches</w:t>
      </w:r>
      <w:r w:rsidRPr="000E47DB">
        <w:t xml:space="preserve"> </w:t>
      </w:r>
      <w:r>
        <w:t>sampled at a</w:t>
      </w:r>
      <w:r w:rsidRPr="009C1615">
        <w:t xml:space="preserve">pproved arrangement wholesaler sites </w:t>
      </w:r>
      <w:r>
        <w:t xml:space="preserve">was close to 50 per cent. </w:t>
      </w:r>
      <w:r w:rsidRPr="009C1615">
        <w:t>Th</w:t>
      </w:r>
      <w:r>
        <w:t>is provides a possible</w:t>
      </w:r>
      <w:r w:rsidRPr="009C1615">
        <w:t xml:space="preserve"> approximation of </w:t>
      </w:r>
      <w:r>
        <w:t xml:space="preserve">the overall </w:t>
      </w:r>
      <w:r w:rsidRPr="009C1615">
        <w:t>rate</w:t>
      </w:r>
      <w:r>
        <w:t xml:space="preserve"> of positive batches</w:t>
      </w:r>
      <w:r w:rsidRPr="009C1615">
        <w:t xml:space="preserve"> </w:t>
      </w:r>
      <w:r>
        <w:t xml:space="preserve">passing border controls, </w:t>
      </w:r>
      <w:r w:rsidRPr="009C1615">
        <w:t xml:space="preserve">as it was the closest to random </w:t>
      </w:r>
      <w:r>
        <w:t xml:space="preserve">sampling </w:t>
      </w:r>
      <w:r w:rsidRPr="009C1615">
        <w:t>and involved a significant quantity of prawns.</w:t>
      </w:r>
    </w:p>
    <w:p w14:paraId="24177F1A" w14:textId="77777777" w:rsidR="00927201" w:rsidRDefault="00927201" w:rsidP="00927201">
      <w:pPr>
        <w:spacing w:after="0"/>
      </w:pPr>
      <w:r>
        <w:t>However, s</w:t>
      </w:r>
      <w:r w:rsidRPr="009C1615">
        <w:t>ome of the sampling undertaken by the department was targeted at importers suspected of non-compliant activity</w:t>
      </w:r>
      <w:r>
        <w:t>. A higher failure rate was observed here.</w:t>
      </w:r>
      <w:r w:rsidRPr="009C1615">
        <w:t xml:space="preserve"> And, the very high rates of positive marinated prawns (which did not require testing) indicated that this category might have been</w:t>
      </w:r>
      <w:r>
        <w:t xml:space="preserve"> </w:t>
      </w:r>
      <w:r w:rsidRPr="009C1615">
        <w:t xml:space="preserve">used by </w:t>
      </w:r>
      <w:r>
        <w:t xml:space="preserve">some </w:t>
      </w:r>
      <w:r w:rsidRPr="009C1615">
        <w:t>importers to</w:t>
      </w:r>
      <w:r>
        <w:t xml:space="preserve"> import</w:t>
      </w:r>
      <w:r w:rsidRPr="009C1615">
        <w:t xml:space="preserve"> infected product</w:t>
      </w:r>
      <w:r>
        <w:t xml:space="preserve"> into Australia</w:t>
      </w:r>
      <w:r w:rsidRPr="009C1615">
        <w:t>.</w:t>
      </w:r>
    </w:p>
    <w:p w14:paraId="00B200C5" w14:textId="3473C19E" w:rsidR="00CC703E" w:rsidRDefault="00927201" w:rsidP="00927201">
      <w:pPr>
        <w:spacing w:after="0"/>
      </w:pPr>
      <w:r>
        <w:t xml:space="preserve">Post-border WSSV testing from </w:t>
      </w:r>
      <w:r w:rsidRPr="003C3F55">
        <w:t>2016 to 2017</w:t>
      </w:r>
      <w:r>
        <w:t xml:space="preserve"> found that 88 per cent of marinated batches and 64 per cent of unprocessed batches were positive—an overall failure rate of 74 per cent for targeted and randomly selected post-border batches of uncooked </w:t>
      </w:r>
      <w:r w:rsidRPr="009A505A">
        <w:t>prawns (</w:t>
      </w:r>
      <w:r>
        <w:fldChar w:fldCharType="begin"/>
      </w:r>
      <w:r>
        <w:instrText xml:space="preserve"> REF _Ref499323725 \h </w:instrText>
      </w:r>
      <w:r>
        <w:fldChar w:fldCharType="separate"/>
      </w:r>
      <w:r w:rsidR="00121BC1">
        <w:t xml:space="preserve">Table </w:t>
      </w:r>
      <w:r w:rsidR="00121BC1">
        <w:rPr>
          <w:noProof/>
        </w:rPr>
        <w:t>13</w:t>
      </w:r>
      <w:r>
        <w:fldChar w:fldCharType="end"/>
      </w:r>
      <w:r w:rsidRPr="009A505A">
        <w:t xml:space="preserve">). Product </w:t>
      </w:r>
      <w:r>
        <w:t>tested included purchases from retail outlets during Operation Cattai and product identified by department staff investigating the WSD outbreak and implementing the post-border withdrawal program in 2017. All of this product had been imported before the import suspension and was either on sale at retail outlets or in storage in the domestic supply chain awaiting sale.</w:t>
      </w:r>
    </w:p>
    <w:p w14:paraId="3ED26660" w14:textId="28AE561B" w:rsidR="00750E24" w:rsidRDefault="00750E24" w:rsidP="00750E24">
      <w:pPr>
        <w:pStyle w:val="Caption"/>
        <w:rPr>
          <w:b w:val="0"/>
        </w:rPr>
      </w:pPr>
      <w:bookmarkStart w:id="216" w:name="_Ref499738305"/>
      <w:bookmarkStart w:id="217" w:name="_Toc500508477"/>
      <w:bookmarkStart w:id="218" w:name="_Ref493778261"/>
      <w:r>
        <w:lastRenderedPageBreak/>
        <w:t xml:space="preserve">Map </w:t>
      </w:r>
      <w:r w:rsidR="00F329C0">
        <w:fldChar w:fldCharType="begin"/>
      </w:r>
      <w:r w:rsidR="00F329C0">
        <w:instrText xml:space="preserve"> SEQ Map \* ARABIC </w:instrText>
      </w:r>
      <w:r w:rsidR="00F329C0">
        <w:fldChar w:fldCharType="separate"/>
      </w:r>
      <w:r w:rsidR="00121BC1">
        <w:rPr>
          <w:noProof/>
        </w:rPr>
        <w:t>7</w:t>
      </w:r>
      <w:r w:rsidR="00F329C0">
        <w:rPr>
          <w:noProof/>
        </w:rPr>
        <w:fldChar w:fldCharType="end"/>
      </w:r>
      <w:bookmarkEnd w:id="216"/>
      <w:r w:rsidRPr="00750E24">
        <w:t xml:space="preserve"> </w:t>
      </w:r>
      <w:r>
        <w:t>Retail food outlets in the Logan River area, November 2017</w:t>
      </w:r>
      <w:bookmarkEnd w:id="217"/>
    </w:p>
    <w:p w14:paraId="3133287A" w14:textId="43AA96EC" w:rsidR="00CC703E" w:rsidRDefault="00F329C0">
      <w:pPr>
        <w:tabs>
          <w:tab w:val="clear" w:pos="567"/>
        </w:tabs>
        <w:spacing w:before="0" w:after="0"/>
      </w:pPr>
      <w:r>
        <w:rPr>
          <w:noProof/>
          <w:lang w:eastAsia="en-AU"/>
        </w:rPr>
        <w:pict w14:anchorId="25D7D91A">
          <v:shape id="_x0000_i1032" type="#_x0000_t75" style="width:282.1pt;height:392.25pt">
            <v:imagedata r:id="rId38" o:title="Map_7-01"/>
          </v:shape>
        </w:pict>
      </w:r>
    </w:p>
    <w:p w14:paraId="12A4927C" w14:textId="77777777" w:rsidR="00CC703E" w:rsidRDefault="00E37FDB">
      <w:pPr>
        <w:pStyle w:val="FigureTableNoteSource"/>
        <w:rPr>
          <w:rFonts w:asciiTheme="minorHAnsi" w:hAnsiTheme="minorHAnsi"/>
        </w:rPr>
      </w:pPr>
      <w:r>
        <w:rPr>
          <w:rFonts w:asciiTheme="minorHAnsi" w:hAnsiTheme="minorHAnsi"/>
        </w:rPr>
        <w:t>Note: Indicates only those outlets identified by the Department of Agriculture and Water Resources.</w:t>
      </w:r>
    </w:p>
    <w:p w14:paraId="115DFFB0" w14:textId="77777777" w:rsidR="0000534C" w:rsidRDefault="00E37FDB">
      <w:pPr>
        <w:pStyle w:val="FigureTableNoteSource"/>
        <w:rPr>
          <w:rFonts w:asciiTheme="minorHAnsi" w:hAnsiTheme="minorHAnsi"/>
        </w:rPr>
      </w:pPr>
      <w:r>
        <w:rPr>
          <w:rFonts w:asciiTheme="minorHAnsi" w:hAnsiTheme="minorHAnsi"/>
        </w:rPr>
        <w:t>Source: Department of Agriculture and Water Resources</w:t>
      </w:r>
    </w:p>
    <w:p w14:paraId="4E94616F" w14:textId="0A056450" w:rsidR="00CC703E" w:rsidRPr="000E47DB" w:rsidRDefault="00E37FDB" w:rsidP="005E640E">
      <w:r w:rsidRPr="000E47DB">
        <w:br w:type="page"/>
      </w:r>
    </w:p>
    <w:p w14:paraId="4CBAFC69" w14:textId="3C7227C1" w:rsidR="00750E24" w:rsidRDefault="00750E24" w:rsidP="00750E24">
      <w:pPr>
        <w:pStyle w:val="Caption"/>
      </w:pPr>
      <w:bookmarkStart w:id="219" w:name="_Ref499323677"/>
      <w:bookmarkStart w:id="220" w:name="_Toc500508489"/>
      <w:bookmarkEnd w:id="218"/>
      <w:r>
        <w:lastRenderedPageBreak/>
        <w:t xml:space="preserve">Table </w:t>
      </w:r>
      <w:r w:rsidR="00F329C0">
        <w:fldChar w:fldCharType="begin"/>
      </w:r>
      <w:r w:rsidR="00F329C0">
        <w:instrText xml:space="preserve"> SEQ Table \* ARABIC </w:instrText>
      </w:r>
      <w:r w:rsidR="00F329C0">
        <w:fldChar w:fldCharType="separate"/>
      </w:r>
      <w:r w:rsidR="00121BC1">
        <w:rPr>
          <w:noProof/>
        </w:rPr>
        <w:t>12</w:t>
      </w:r>
      <w:r w:rsidR="00F329C0">
        <w:rPr>
          <w:noProof/>
        </w:rPr>
        <w:fldChar w:fldCharType="end"/>
      </w:r>
      <w:bookmarkEnd w:id="219"/>
      <w:r w:rsidRPr="00750E24">
        <w:t xml:space="preserve"> </w:t>
      </w:r>
      <w:r>
        <w:t xml:space="preserve">Post-suspension WSSV testing of uncooked imported prawns in the domestic supply chain, </w:t>
      </w:r>
      <w:r w:rsidRPr="008F725A">
        <w:t>January–October 2017</w:t>
      </w:r>
      <w:bookmarkEnd w:id="220"/>
    </w:p>
    <w:tbl>
      <w:tblPr>
        <w:tblStyle w:val="TableGrid"/>
        <w:tblW w:w="9503" w:type="dxa"/>
        <w:tblInd w:w="-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77"/>
        <w:gridCol w:w="863"/>
        <w:gridCol w:w="1560"/>
        <w:gridCol w:w="1377"/>
        <w:gridCol w:w="1174"/>
        <w:gridCol w:w="1134"/>
        <w:gridCol w:w="1418"/>
      </w:tblGrid>
      <w:tr w:rsidR="00CC703E" w14:paraId="7A54CF82" w14:textId="77777777" w:rsidTr="00766BC7">
        <w:trPr>
          <w:cantSplit/>
          <w:tblHeader/>
        </w:trPr>
        <w:tc>
          <w:tcPr>
            <w:tcW w:w="1977" w:type="dxa"/>
          </w:tcPr>
          <w:p w14:paraId="71EC9653" w14:textId="0B514ADB" w:rsidR="00CC703E" w:rsidRDefault="00637E5A" w:rsidP="00637E5A">
            <w:pPr>
              <w:pStyle w:val="Tableheading"/>
              <w:rPr>
                <w:lang w:eastAsia="ja-JP"/>
              </w:rPr>
            </w:pPr>
            <w:r>
              <w:rPr>
                <w:lang w:eastAsia="ja-JP"/>
              </w:rPr>
              <w:t>Business category</w:t>
            </w:r>
          </w:p>
        </w:tc>
        <w:tc>
          <w:tcPr>
            <w:tcW w:w="863" w:type="dxa"/>
          </w:tcPr>
          <w:p w14:paraId="1C4FE092" w14:textId="77777777" w:rsidR="00CC703E" w:rsidRDefault="00E37FDB" w:rsidP="00766BC7">
            <w:pPr>
              <w:pStyle w:val="Tableheading"/>
              <w:jc w:val="right"/>
              <w:rPr>
                <w:lang w:eastAsia="ja-JP"/>
              </w:rPr>
            </w:pPr>
            <w:r>
              <w:rPr>
                <w:lang w:eastAsia="ja-JP"/>
              </w:rPr>
              <w:t>Sites targeted (no.)</w:t>
            </w:r>
          </w:p>
        </w:tc>
        <w:tc>
          <w:tcPr>
            <w:tcW w:w="1560" w:type="dxa"/>
          </w:tcPr>
          <w:p w14:paraId="3F67029A" w14:textId="675CD167" w:rsidR="00CC703E" w:rsidRDefault="008F725A" w:rsidP="008F725A">
            <w:pPr>
              <w:pStyle w:val="Tableheading"/>
              <w:rPr>
                <w:lang w:eastAsia="ja-JP"/>
              </w:rPr>
            </w:pPr>
            <w:r>
              <w:rPr>
                <w:lang w:eastAsia="ja-JP"/>
              </w:rPr>
              <w:t>Date p</w:t>
            </w:r>
            <w:r w:rsidR="00E37FDB">
              <w:rPr>
                <w:lang w:eastAsia="ja-JP"/>
              </w:rPr>
              <w:t>roduct removed from domestic supply chain</w:t>
            </w:r>
          </w:p>
        </w:tc>
        <w:tc>
          <w:tcPr>
            <w:tcW w:w="1377" w:type="dxa"/>
          </w:tcPr>
          <w:p w14:paraId="6DDBA54F" w14:textId="77777777" w:rsidR="00CC703E" w:rsidRDefault="00E37FDB" w:rsidP="00766BC7">
            <w:pPr>
              <w:pStyle w:val="Tableheading"/>
              <w:jc w:val="right"/>
              <w:rPr>
                <w:lang w:eastAsia="ja-JP"/>
              </w:rPr>
            </w:pPr>
            <w:r>
              <w:rPr>
                <w:lang w:eastAsia="ja-JP"/>
              </w:rPr>
              <w:t>Estimated initial volume (tonnes)</w:t>
            </w:r>
          </w:p>
        </w:tc>
        <w:tc>
          <w:tcPr>
            <w:tcW w:w="1174" w:type="dxa"/>
          </w:tcPr>
          <w:p w14:paraId="1E61BFF6" w14:textId="56FC94EC" w:rsidR="00CC703E" w:rsidRDefault="00E37FDB">
            <w:pPr>
              <w:pStyle w:val="Tableheading"/>
              <w:rPr>
                <w:lang w:eastAsia="ja-JP"/>
              </w:rPr>
            </w:pPr>
            <w:r>
              <w:rPr>
                <w:lang w:eastAsia="ja-JP"/>
              </w:rPr>
              <w:t>Type of prawns</w:t>
            </w:r>
          </w:p>
        </w:tc>
        <w:tc>
          <w:tcPr>
            <w:tcW w:w="1134" w:type="dxa"/>
          </w:tcPr>
          <w:p w14:paraId="270E0860" w14:textId="5747F259" w:rsidR="00CC703E" w:rsidRDefault="00E37FDB" w:rsidP="00766BC7">
            <w:pPr>
              <w:pStyle w:val="Tableheading"/>
              <w:jc w:val="right"/>
              <w:rPr>
                <w:lang w:eastAsia="ja-JP"/>
              </w:rPr>
            </w:pPr>
            <w:r>
              <w:rPr>
                <w:lang w:eastAsia="ja-JP"/>
              </w:rPr>
              <w:t>Batches tested (no.)</w:t>
            </w:r>
          </w:p>
        </w:tc>
        <w:tc>
          <w:tcPr>
            <w:tcW w:w="1418" w:type="dxa"/>
          </w:tcPr>
          <w:p w14:paraId="606413B4" w14:textId="528DA88C" w:rsidR="00CC703E" w:rsidRDefault="00E37FDB" w:rsidP="00766BC7">
            <w:pPr>
              <w:pStyle w:val="Tableheading"/>
              <w:jc w:val="right"/>
              <w:rPr>
                <w:lang w:eastAsia="ja-JP"/>
              </w:rPr>
            </w:pPr>
            <w:r w:rsidRPr="00766BC7">
              <w:rPr>
                <w:lang w:eastAsia="ja-JP"/>
              </w:rPr>
              <w:t>WSSV-positive</w:t>
            </w:r>
            <w:r>
              <w:rPr>
                <w:lang w:eastAsia="ja-JP"/>
              </w:rPr>
              <w:t xml:space="preserve"> batches (no.)</w:t>
            </w:r>
          </w:p>
        </w:tc>
      </w:tr>
      <w:tr w:rsidR="00CC703E" w14:paraId="5EFACD4B" w14:textId="77777777" w:rsidTr="00766BC7">
        <w:trPr>
          <w:trHeight w:val="128"/>
        </w:trPr>
        <w:tc>
          <w:tcPr>
            <w:tcW w:w="9503" w:type="dxa"/>
            <w:gridSpan w:val="7"/>
          </w:tcPr>
          <w:p w14:paraId="22A99661" w14:textId="77777777" w:rsidR="00CC703E" w:rsidRDefault="00E37FDB">
            <w:pPr>
              <w:pStyle w:val="Tabletext"/>
              <w:spacing w:after="0"/>
              <w:rPr>
                <w:b/>
                <w:szCs w:val="18"/>
                <w:lang w:eastAsia="ja-JP"/>
              </w:rPr>
            </w:pPr>
            <w:r>
              <w:rPr>
                <w:b/>
                <w:szCs w:val="18"/>
                <w:lang w:eastAsia="ja-JP"/>
              </w:rPr>
              <w:t>Retail and distribution centres</w:t>
            </w:r>
          </w:p>
        </w:tc>
      </w:tr>
      <w:tr w:rsidR="00CC703E" w14:paraId="7B681E9E" w14:textId="77777777" w:rsidTr="00766BC7">
        <w:trPr>
          <w:trHeight w:val="128"/>
        </w:trPr>
        <w:tc>
          <w:tcPr>
            <w:tcW w:w="1977" w:type="dxa"/>
            <w:vMerge w:val="restart"/>
          </w:tcPr>
          <w:p w14:paraId="56A2B014" w14:textId="77777777" w:rsidR="00CC703E" w:rsidRDefault="00E37FDB">
            <w:pPr>
              <w:pStyle w:val="Tabletext"/>
              <w:rPr>
                <w:szCs w:val="18"/>
                <w:lang w:eastAsia="ja-JP"/>
              </w:rPr>
            </w:pPr>
            <w:r>
              <w:rPr>
                <w:szCs w:val="18"/>
                <w:lang w:eastAsia="ja-JP"/>
              </w:rPr>
              <w:t>Major national food/grocery retail chains and targeted retail outlets</w:t>
            </w:r>
          </w:p>
        </w:tc>
        <w:tc>
          <w:tcPr>
            <w:tcW w:w="863" w:type="dxa"/>
            <w:vMerge w:val="restart"/>
          </w:tcPr>
          <w:p w14:paraId="3A49D671" w14:textId="77777777" w:rsidR="00CC703E" w:rsidRDefault="00E37FDB" w:rsidP="00766BC7">
            <w:pPr>
              <w:pStyle w:val="Tabletext"/>
              <w:jc w:val="right"/>
              <w:rPr>
                <w:szCs w:val="18"/>
                <w:lang w:eastAsia="ja-JP"/>
              </w:rPr>
            </w:pPr>
            <w:r>
              <w:rPr>
                <w:szCs w:val="18"/>
                <w:lang w:eastAsia="ja-JP"/>
              </w:rPr>
              <w:t>156</w:t>
            </w:r>
          </w:p>
        </w:tc>
        <w:tc>
          <w:tcPr>
            <w:tcW w:w="1560" w:type="dxa"/>
            <w:vMerge w:val="restart"/>
          </w:tcPr>
          <w:p w14:paraId="6F0C0538" w14:textId="0F5B1832" w:rsidR="00CC703E" w:rsidRDefault="00E37FDB">
            <w:pPr>
              <w:pStyle w:val="Tabletext"/>
              <w:rPr>
                <w:szCs w:val="18"/>
                <w:lang w:eastAsia="ja-JP"/>
              </w:rPr>
            </w:pPr>
            <w:r>
              <w:rPr>
                <w:szCs w:val="18"/>
                <w:lang w:eastAsia="ja-JP"/>
              </w:rPr>
              <w:t>6 January, 17 February, 3 March 2017</w:t>
            </w:r>
          </w:p>
        </w:tc>
        <w:tc>
          <w:tcPr>
            <w:tcW w:w="1377" w:type="dxa"/>
            <w:vMerge w:val="restart"/>
          </w:tcPr>
          <w:p w14:paraId="3B311A6C" w14:textId="77777777" w:rsidR="00CC703E" w:rsidRDefault="00E37FDB" w:rsidP="00766BC7">
            <w:pPr>
              <w:pStyle w:val="Tabletext"/>
              <w:jc w:val="right"/>
              <w:rPr>
                <w:szCs w:val="18"/>
                <w:lang w:eastAsia="ja-JP"/>
              </w:rPr>
            </w:pPr>
            <w:r>
              <w:rPr>
                <w:szCs w:val="18"/>
                <w:lang w:eastAsia="ja-JP"/>
              </w:rPr>
              <w:t>307</w:t>
            </w:r>
          </w:p>
        </w:tc>
        <w:tc>
          <w:tcPr>
            <w:tcW w:w="1174" w:type="dxa"/>
          </w:tcPr>
          <w:p w14:paraId="65CF7C6C" w14:textId="77777777" w:rsidR="00CC703E" w:rsidRDefault="00E37FDB">
            <w:pPr>
              <w:pStyle w:val="Tabletext"/>
              <w:spacing w:after="0"/>
              <w:rPr>
                <w:szCs w:val="18"/>
                <w:lang w:eastAsia="ja-JP"/>
              </w:rPr>
            </w:pPr>
            <w:r>
              <w:rPr>
                <w:szCs w:val="18"/>
                <w:lang w:eastAsia="ja-JP"/>
              </w:rPr>
              <w:t>Unprocessed</w:t>
            </w:r>
          </w:p>
        </w:tc>
        <w:tc>
          <w:tcPr>
            <w:tcW w:w="1134" w:type="dxa"/>
          </w:tcPr>
          <w:p w14:paraId="63E5173F" w14:textId="77777777" w:rsidR="00CC703E" w:rsidRDefault="00E37FDB" w:rsidP="00766BC7">
            <w:pPr>
              <w:pStyle w:val="Tabletext"/>
              <w:spacing w:after="0"/>
              <w:jc w:val="right"/>
              <w:rPr>
                <w:szCs w:val="18"/>
                <w:lang w:eastAsia="ja-JP"/>
              </w:rPr>
            </w:pPr>
            <w:r>
              <w:rPr>
                <w:szCs w:val="18"/>
                <w:lang w:eastAsia="ja-JP"/>
              </w:rPr>
              <w:t>47</w:t>
            </w:r>
          </w:p>
        </w:tc>
        <w:tc>
          <w:tcPr>
            <w:tcW w:w="1418" w:type="dxa"/>
          </w:tcPr>
          <w:p w14:paraId="66B9A7D2" w14:textId="77777777" w:rsidR="00CC703E" w:rsidRDefault="00E37FDB" w:rsidP="00766BC7">
            <w:pPr>
              <w:pStyle w:val="Tabletext"/>
              <w:spacing w:after="0"/>
              <w:jc w:val="right"/>
              <w:rPr>
                <w:szCs w:val="18"/>
                <w:lang w:eastAsia="ja-JP"/>
              </w:rPr>
            </w:pPr>
            <w:r>
              <w:rPr>
                <w:szCs w:val="18"/>
                <w:lang w:eastAsia="ja-JP"/>
              </w:rPr>
              <w:t>33</w:t>
            </w:r>
          </w:p>
        </w:tc>
      </w:tr>
      <w:tr w:rsidR="00CC703E" w14:paraId="50141E3D" w14:textId="77777777" w:rsidTr="00766BC7">
        <w:trPr>
          <w:trHeight w:val="128"/>
        </w:trPr>
        <w:tc>
          <w:tcPr>
            <w:tcW w:w="1977" w:type="dxa"/>
            <w:vMerge/>
          </w:tcPr>
          <w:p w14:paraId="646B92D9" w14:textId="77777777" w:rsidR="00CC703E" w:rsidRDefault="00CC703E">
            <w:pPr>
              <w:pStyle w:val="Tabletext"/>
              <w:rPr>
                <w:szCs w:val="18"/>
                <w:lang w:eastAsia="ja-JP"/>
              </w:rPr>
            </w:pPr>
          </w:p>
        </w:tc>
        <w:tc>
          <w:tcPr>
            <w:tcW w:w="863" w:type="dxa"/>
            <w:vMerge/>
          </w:tcPr>
          <w:p w14:paraId="0DED8DFD" w14:textId="77777777" w:rsidR="00CC703E" w:rsidRDefault="00CC703E">
            <w:pPr>
              <w:pStyle w:val="Tabletext"/>
              <w:rPr>
                <w:szCs w:val="18"/>
                <w:lang w:eastAsia="ja-JP"/>
              </w:rPr>
            </w:pPr>
          </w:p>
        </w:tc>
        <w:tc>
          <w:tcPr>
            <w:tcW w:w="1560" w:type="dxa"/>
            <w:vMerge/>
          </w:tcPr>
          <w:p w14:paraId="6D6CDFC0" w14:textId="77777777" w:rsidR="00CC703E" w:rsidRDefault="00CC703E">
            <w:pPr>
              <w:pStyle w:val="Tabletext"/>
              <w:rPr>
                <w:szCs w:val="18"/>
                <w:lang w:eastAsia="ja-JP"/>
              </w:rPr>
            </w:pPr>
          </w:p>
        </w:tc>
        <w:tc>
          <w:tcPr>
            <w:tcW w:w="1377" w:type="dxa"/>
            <w:vMerge/>
          </w:tcPr>
          <w:p w14:paraId="04D0B57A" w14:textId="77777777" w:rsidR="00CC703E" w:rsidRDefault="00CC703E">
            <w:pPr>
              <w:pStyle w:val="Tabletext"/>
              <w:rPr>
                <w:szCs w:val="18"/>
                <w:lang w:eastAsia="ja-JP"/>
              </w:rPr>
            </w:pPr>
          </w:p>
        </w:tc>
        <w:tc>
          <w:tcPr>
            <w:tcW w:w="1174" w:type="dxa"/>
          </w:tcPr>
          <w:p w14:paraId="55CEAC03" w14:textId="77777777" w:rsidR="00CC703E" w:rsidRDefault="00E37FDB">
            <w:pPr>
              <w:pStyle w:val="Tabletext"/>
              <w:spacing w:after="0"/>
              <w:rPr>
                <w:szCs w:val="18"/>
                <w:lang w:eastAsia="ja-JP"/>
              </w:rPr>
            </w:pPr>
            <w:r>
              <w:rPr>
                <w:szCs w:val="18"/>
                <w:lang w:eastAsia="ja-JP"/>
              </w:rPr>
              <w:t>Marinated</w:t>
            </w:r>
          </w:p>
        </w:tc>
        <w:tc>
          <w:tcPr>
            <w:tcW w:w="1134" w:type="dxa"/>
          </w:tcPr>
          <w:p w14:paraId="74A9CCBF" w14:textId="77777777" w:rsidR="00CC703E" w:rsidRDefault="00E37FDB" w:rsidP="00766BC7">
            <w:pPr>
              <w:pStyle w:val="Tabletext"/>
              <w:spacing w:after="0"/>
              <w:jc w:val="right"/>
              <w:rPr>
                <w:szCs w:val="18"/>
                <w:lang w:eastAsia="ja-JP"/>
              </w:rPr>
            </w:pPr>
            <w:r>
              <w:rPr>
                <w:szCs w:val="18"/>
                <w:lang w:eastAsia="ja-JP"/>
              </w:rPr>
              <w:t>0</w:t>
            </w:r>
          </w:p>
        </w:tc>
        <w:tc>
          <w:tcPr>
            <w:tcW w:w="1418" w:type="dxa"/>
          </w:tcPr>
          <w:p w14:paraId="3120BD8A" w14:textId="77777777" w:rsidR="00CC703E" w:rsidRDefault="00E37FDB" w:rsidP="00766BC7">
            <w:pPr>
              <w:pStyle w:val="Tabletext"/>
              <w:spacing w:after="0"/>
              <w:jc w:val="right"/>
              <w:rPr>
                <w:szCs w:val="18"/>
                <w:lang w:eastAsia="ja-JP"/>
              </w:rPr>
            </w:pPr>
            <w:r>
              <w:rPr>
                <w:szCs w:val="18"/>
                <w:lang w:eastAsia="ja-JP"/>
              </w:rPr>
              <w:t>0</w:t>
            </w:r>
          </w:p>
        </w:tc>
      </w:tr>
      <w:tr w:rsidR="00CC703E" w14:paraId="3A348FC5" w14:textId="77777777" w:rsidTr="00766BC7">
        <w:trPr>
          <w:trHeight w:val="128"/>
        </w:trPr>
        <w:tc>
          <w:tcPr>
            <w:tcW w:w="1977" w:type="dxa"/>
            <w:vMerge/>
          </w:tcPr>
          <w:p w14:paraId="2ED8F276" w14:textId="77777777" w:rsidR="00CC703E" w:rsidRDefault="00CC703E">
            <w:pPr>
              <w:pStyle w:val="Tabletext"/>
              <w:rPr>
                <w:szCs w:val="18"/>
                <w:lang w:eastAsia="ja-JP"/>
              </w:rPr>
            </w:pPr>
          </w:p>
        </w:tc>
        <w:tc>
          <w:tcPr>
            <w:tcW w:w="863" w:type="dxa"/>
            <w:vMerge/>
          </w:tcPr>
          <w:p w14:paraId="53DA6CB6" w14:textId="77777777" w:rsidR="00CC703E" w:rsidRDefault="00CC703E">
            <w:pPr>
              <w:pStyle w:val="Tabletext"/>
              <w:rPr>
                <w:szCs w:val="18"/>
                <w:lang w:eastAsia="ja-JP"/>
              </w:rPr>
            </w:pPr>
          </w:p>
        </w:tc>
        <w:tc>
          <w:tcPr>
            <w:tcW w:w="1560" w:type="dxa"/>
            <w:vMerge/>
          </w:tcPr>
          <w:p w14:paraId="7D8965C5" w14:textId="77777777" w:rsidR="00CC703E" w:rsidRDefault="00CC703E">
            <w:pPr>
              <w:pStyle w:val="Tabletext"/>
              <w:rPr>
                <w:szCs w:val="18"/>
                <w:lang w:eastAsia="ja-JP"/>
              </w:rPr>
            </w:pPr>
          </w:p>
        </w:tc>
        <w:tc>
          <w:tcPr>
            <w:tcW w:w="1377" w:type="dxa"/>
            <w:vMerge/>
          </w:tcPr>
          <w:p w14:paraId="1B1226BD" w14:textId="77777777" w:rsidR="00CC703E" w:rsidRDefault="00CC703E">
            <w:pPr>
              <w:pStyle w:val="Tabletext"/>
              <w:rPr>
                <w:szCs w:val="18"/>
                <w:lang w:eastAsia="ja-JP"/>
              </w:rPr>
            </w:pPr>
          </w:p>
        </w:tc>
        <w:tc>
          <w:tcPr>
            <w:tcW w:w="1174" w:type="dxa"/>
          </w:tcPr>
          <w:p w14:paraId="2264D0FE" w14:textId="77777777" w:rsidR="00CC703E" w:rsidRDefault="00E37FDB">
            <w:pPr>
              <w:pStyle w:val="Tabletext"/>
              <w:spacing w:after="0"/>
              <w:rPr>
                <w:szCs w:val="18"/>
                <w:lang w:eastAsia="ja-JP"/>
              </w:rPr>
            </w:pPr>
            <w:r>
              <w:rPr>
                <w:szCs w:val="18"/>
                <w:lang w:eastAsia="ja-JP"/>
              </w:rPr>
              <w:t>Total</w:t>
            </w:r>
          </w:p>
        </w:tc>
        <w:tc>
          <w:tcPr>
            <w:tcW w:w="1134" w:type="dxa"/>
          </w:tcPr>
          <w:p w14:paraId="10B259D2" w14:textId="77777777" w:rsidR="00CC703E" w:rsidRDefault="00E37FDB" w:rsidP="00766BC7">
            <w:pPr>
              <w:pStyle w:val="Tabletext"/>
              <w:spacing w:after="0"/>
              <w:jc w:val="right"/>
              <w:rPr>
                <w:szCs w:val="18"/>
                <w:lang w:eastAsia="ja-JP"/>
              </w:rPr>
            </w:pPr>
            <w:r>
              <w:rPr>
                <w:szCs w:val="18"/>
                <w:lang w:eastAsia="ja-JP"/>
              </w:rPr>
              <w:t>47</w:t>
            </w:r>
          </w:p>
        </w:tc>
        <w:tc>
          <w:tcPr>
            <w:tcW w:w="1418" w:type="dxa"/>
          </w:tcPr>
          <w:p w14:paraId="252C93F3" w14:textId="77777777" w:rsidR="00CC703E" w:rsidRDefault="00E37FDB" w:rsidP="00766BC7">
            <w:pPr>
              <w:pStyle w:val="Tabletext"/>
              <w:spacing w:after="0"/>
              <w:jc w:val="right"/>
              <w:rPr>
                <w:szCs w:val="18"/>
                <w:lang w:eastAsia="ja-JP"/>
              </w:rPr>
            </w:pPr>
            <w:r>
              <w:rPr>
                <w:szCs w:val="18"/>
                <w:lang w:eastAsia="ja-JP"/>
              </w:rPr>
              <w:t>33</w:t>
            </w:r>
          </w:p>
        </w:tc>
      </w:tr>
      <w:tr w:rsidR="00CC703E" w14:paraId="72811355" w14:textId="77777777" w:rsidTr="00766BC7">
        <w:tc>
          <w:tcPr>
            <w:tcW w:w="9503" w:type="dxa"/>
            <w:gridSpan w:val="7"/>
          </w:tcPr>
          <w:p w14:paraId="0D7C3EC7" w14:textId="34BBEF7C" w:rsidR="00CC703E" w:rsidRDefault="00E37FDB">
            <w:pPr>
              <w:pStyle w:val="Tabletext"/>
              <w:spacing w:after="0"/>
              <w:rPr>
                <w:b/>
                <w:szCs w:val="18"/>
                <w:lang w:eastAsia="ja-JP"/>
              </w:rPr>
            </w:pPr>
            <w:r>
              <w:rPr>
                <w:b/>
                <w:szCs w:val="18"/>
                <w:lang w:eastAsia="ja-JP"/>
              </w:rPr>
              <w:t>Approved arrangement sites</w:t>
            </w:r>
          </w:p>
        </w:tc>
      </w:tr>
      <w:tr w:rsidR="00CC703E" w14:paraId="5D59CD0D" w14:textId="77777777" w:rsidTr="00766BC7">
        <w:trPr>
          <w:trHeight w:val="116"/>
        </w:trPr>
        <w:tc>
          <w:tcPr>
            <w:tcW w:w="1977" w:type="dxa"/>
            <w:vMerge w:val="restart"/>
          </w:tcPr>
          <w:p w14:paraId="5CCFA92D" w14:textId="28DF402A" w:rsidR="00CC703E" w:rsidRDefault="00E37FDB">
            <w:pPr>
              <w:pStyle w:val="Tabletext"/>
              <w:rPr>
                <w:szCs w:val="18"/>
                <w:lang w:eastAsia="ja-JP"/>
              </w:rPr>
            </w:pPr>
            <w:r>
              <w:rPr>
                <w:szCs w:val="18"/>
                <w:lang w:eastAsia="ja-JP"/>
              </w:rPr>
              <w:t xml:space="preserve">Sites approved under the </w:t>
            </w:r>
            <w:r>
              <w:rPr>
                <w:i/>
                <w:szCs w:val="18"/>
                <w:lang w:eastAsia="ja-JP"/>
              </w:rPr>
              <w:t>Biosecurity Act 2015</w:t>
            </w:r>
            <w:r>
              <w:rPr>
                <w:szCs w:val="18"/>
                <w:lang w:eastAsia="ja-JP"/>
              </w:rPr>
              <w:t xml:space="preserve"> capable of storing uncooked imported prawns</w:t>
            </w:r>
          </w:p>
        </w:tc>
        <w:tc>
          <w:tcPr>
            <w:tcW w:w="863" w:type="dxa"/>
            <w:vMerge w:val="restart"/>
          </w:tcPr>
          <w:p w14:paraId="259A0295" w14:textId="77777777" w:rsidR="00CC703E" w:rsidRDefault="00E37FDB" w:rsidP="00766BC7">
            <w:pPr>
              <w:pStyle w:val="Tabletext"/>
              <w:jc w:val="right"/>
              <w:rPr>
                <w:szCs w:val="18"/>
                <w:lang w:eastAsia="ja-JP"/>
              </w:rPr>
            </w:pPr>
            <w:r>
              <w:rPr>
                <w:szCs w:val="18"/>
                <w:lang w:eastAsia="ja-JP"/>
              </w:rPr>
              <w:t>238</w:t>
            </w:r>
          </w:p>
        </w:tc>
        <w:tc>
          <w:tcPr>
            <w:tcW w:w="1560" w:type="dxa"/>
            <w:vMerge w:val="restart"/>
          </w:tcPr>
          <w:p w14:paraId="2061E2CD" w14:textId="77777777" w:rsidR="00CC703E" w:rsidRDefault="00E37FDB">
            <w:pPr>
              <w:pStyle w:val="Tabletext"/>
              <w:rPr>
                <w:szCs w:val="18"/>
                <w:lang w:eastAsia="ja-JP"/>
              </w:rPr>
            </w:pPr>
            <w:r>
              <w:rPr>
                <w:szCs w:val="18"/>
                <w:lang w:eastAsia="ja-JP"/>
              </w:rPr>
              <w:t>15 and 16 February 2017</w:t>
            </w:r>
          </w:p>
        </w:tc>
        <w:tc>
          <w:tcPr>
            <w:tcW w:w="1377" w:type="dxa"/>
            <w:vMerge w:val="restart"/>
          </w:tcPr>
          <w:p w14:paraId="66468FB0" w14:textId="77777777" w:rsidR="00CC703E" w:rsidRDefault="00E37FDB" w:rsidP="00766BC7">
            <w:pPr>
              <w:pStyle w:val="Tabletext"/>
              <w:jc w:val="right"/>
              <w:rPr>
                <w:szCs w:val="18"/>
                <w:lang w:eastAsia="ja-JP"/>
              </w:rPr>
            </w:pPr>
            <w:r>
              <w:rPr>
                <w:szCs w:val="18"/>
                <w:lang w:eastAsia="ja-JP"/>
              </w:rPr>
              <w:t>1,975</w:t>
            </w:r>
          </w:p>
        </w:tc>
        <w:tc>
          <w:tcPr>
            <w:tcW w:w="1174" w:type="dxa"/>
          </w:tcPr>
          <w:p w14:paraId="3C033C23" w14:textId="77777777" w:rsidR="00CC703E" w:rsidRDefault="00E37FDB">
            <w:pPr>
              <w:pStyle w:val="Tabletext"/>
              <w:spacing w:after="0"/>
              <w:rPr>
                <w:szCs w:val="18"/>
                <w:lang w:eastAsia="ja-JP"/>
              </w:rPr>
            </w:pPr>
            <w:r>
              <w:rPr>
                <w:szCs w:val="18"/>
                <w:lang w:eastAsia="ja-JP"/>
              </w:rPr>
              <w:t>Unprocessed</w:t>
            </w:r>
          </w:p>
        </w:tc>
        <w:tc>
          <w:tcPr>
            <w:tcW w:w="1134" w:type="dxa"/>
          </w:tcPr>
          <w:p w14:paraId="6326E574" w14:textId="77777777" w:rsidR="00CC703E" w:rsidRDefault="00E37FDB" w:rsidP="00766BC7">
            <w:pPr>
              <w:pStyle w:val="Tabletext"/>
              <w:spacing w:after="0"/>
              <w:jc w:val="right"/>
              <w:rPr>
                <w:szCs w:val="18"/>
                <w:lang w:eastAsia="ja-JP"/>
              </w:rPr>
            </w:pPr>
            <w:r>
              <w:rPr>
                <w:szCs w:val="18"/>
                <w:lang w:eastAsia="ja-JP"/>
              </w:rPr>
              <w:t>206</w:t>
            </w:r>
          </w:p>
        </w:tc>
        <w:tc>
          <w:tcPr>
            <w:tcW w:w="1418" w:type="dxa"/>
          </w:tcPr>
          <w:p w14:paraId="663D6BB4" w14:textId="77777777" w:rsidR="00CC703E" w:rsidRDefault="00E37FDB" w:rsidP="00766BC7">
            <w:pPr>
              <w:pStyle w:val="Tabletext"/>
              <w:spacing w:after="0"/>
              <w:jc w:val="right"/>
              <w:rPr>
                <w:szCs w:val="18"/>
                <w:lang w:eastAsia="ja-JP"/>
              </w:rPr>
            </w:pPr>
            <w:r>
              <w:rPr>
                <w:szCs w:val="18"/>
                <w:lang w:eastAsia="ja-JP"/>
              </w:rPr>
              <w:t>101</w:t>
            </w:r>
          </w:p>
        </w:tc>
      </w:tr>
      <w:tr w:rsidR="00CC703E" w14:paraId="7F41FF26" w14:textId="77777777" w:rsidTr="00766BC7">
        <w:trPr>
          <w:trHeight w:val="116"/>
        </w:trPr>
        <w:tc>
          <w:tcPr>
            <w:tcW w:w="1977" w:type="dxa"/>
            <w:vMerge/>
          </w:tcPr>
          <w:p w14:paraId="591C64CE" w14:textId="77777777" w:rsidR="00CC703E" w:rsidRDefault="00CC703E">
            <w:pPr>
              <w:pStyle w:val="Tabletext"/>
              <w:rPr>
                <w:szCs w:val="18"/>
                <w:lang w:eastAsia="ja-JP"/>
              </w:rPr>
            </w:pPr>
          </w:p>
        </w:tc>
        <w:tc>
          <w:tcPr>
            <w:tcW w:w="863" w:type="dxa"/>
            <w:vMerge/>
          </w:tcPr>
          <w:p w14:paraId="3154210F" w14:textId="77777777" w:rsidR="00CC703E" w:rsidRDefault="00CC703E">
            <w:pPr>
              <w:pStyle w:val="Tabletext"/>
              <w:rPr>
                <w:szCs w:val="18"/>
                <w:lang w:eastAsia="ja-JP"/>
              </w:rPr>
            </w:pPr>
          </w:p>
        </w:tc>
        <w:tc>
          <w:tcPr>
            <w:tcW w:w="1560" w:type="dxa"/>
            <w:vMerge/>
          </w:tcPr>
          <w:p w14:paraId="0384F759" w14:textId="77777777" w:rsidR="00CC703E" w:rsidRDefault="00CC703E">
            <w:pPr>
              <w:pStyle w:val="Tabletext"/>
              <w:rPr>
                <w:szCs w:val="18"/>
                <w:lang w:eastAsia="ja-JP"/>
              </w:rPr>
            </w:pPr>
          </w:p>
        </w:tc>
        <w:tc>
          <w:tcPr>
            <w:tcW w:w="1377" w:type="dxa"/>
            <w:vMerge/>
          </w:tcPr>
          <w:p w14:paraId="1F11BBF8" w14:textId="77777777" w:rsidR="00CC703E" w:rsidRDefault="00CC703E">
            <w:pPr>
              <w:pStyle w:val="Tabletext"/>
              <w:rPr>
                <w:szCs w:val="18"/>
                <w:lang w:eastAsia="ja-JP"/>
              </w:rPr>
            </w:pPr>
          </w:p>
        </w:tc>
        <w:tc>
          <w:tcPr>
            <w:tcW w:w="1174" w:type="dxa"/>
          </w:tcPr>
          <w:p w14:paraId="0664DA23" w14:textId="77777777" w:rsidR="00CC703E" w:rsidRDefault="00E37FDB">
            <w:pPr>
              <w:pStyle w:val="Tabletext"/>
              <w:spacing w:after="0"/>
              <w:rPr>
                <w:szCs w:val="18"/>
                <w:lang w:eastAsia="ja-JP"/>
              </w:rPr>
            </w:pPr>
            <w:r>
              <w:rPr>
                <w:szCs w:val="18"/>
                <w:lang w:eastAsia="ja-JP"/>
              </w:rPr>
              <w:t>Marinated</w:t>
            </w:r>
          </w:p>
        </w:tc>
        <w:tc>
          <w:tcPr>
            <w:tcW w:w="1134" w:type="dxa"/>
          </w:tcPr>
          <w:p w14:paraId="6611174D" w14:textId="77777777" w:rsidR="00CC703E" w:rsidRDefault="00E37FDB" w:rsidP="00766BC7">
            <w:pPr>
              <w:pStyle w:val="Tabletext"/>
              <w:spacing w:after="0"/>
              <w:jc w:val="right"/>
              <w:rPr>
                <w:szCs w:val="18"/>
                <w:lang w:eastAsia="ja-JP"/>
              </w:rPr>
            </w:pPr>
            <w:r>
              <w:rPr>
                <w:szCs w:val="18"/>
                <w:lang w:eastAsia="ja-JP"/>
              </w:rPr>
              <w:t>240</w:t>
            </w:r>
          </w:p>
        </w:tc>
        <w:tc>
          <w:tcPr>
            <w:tcW w:w="1418" w:type="dxa"/>
          </w:tcPr>
          <w:p w14:paraId="38B7D3B8" w14:textId="5129B045" w:rsidR="00CC703E" w:rsidRDefault="00504F41" w:rsidP="00504F41">
            <w:pPr>
              <w:pStyle w:val="Tabletext"/>
              <w:spacing w:after="0"/>
              <w:jc w:val="right"/>
              <w:rPr>
                <w:szCs w:val="18"/>
                <w:lang w:eastAsia="ja-JP"/>
              </w:rPr>
            </w:pPr>
            <w:r w:rsidRPr="00637E5A">
              <w:rPr>
                <w:szCs w:val="18"/>
                <w:lang w:eastAsia="ja-JP"/>
              </w:rPr>
              <w:t>207</w:t>
            </w:r>
          </w:p>
        </w:tc>
      </w:tr>
      <w:tr w:rsidR="00CC703E" w14:paraId="2C9DD8E1" w14:textId="77777777" w:rsidTr="00766BC7">
        <w:trPr>
          <w:trHeight w:val="116"/>
        </w:trPr>
        <w:tc>
          <w:tcPr>
            <w:tcW w:w="1977" w:type="dxa"/>
            <w:vMerge/>
          </w:tcPr>
          <w:p w14:paraId="21E655AF" w14:textId="77777777" w:rsidR="00CC703E" w:rsidRDefault="00CC703E">
            <w:pPr>
              <w:pStyle w:val="Tabletext"/>
              <w:rPr>
                <w:szCs w:val="18"/>
                <w:lang w:eastAsia="ja-JP"/>
              </w:rPr>
            </w:pPr>
          </w:p>
        </w:tc>
        <w:tc>
          <w:tcPr>
            <w:tcW w:w="863" w:type="dxa"/>
            <w:vMerge/>
          </w:tcPr>
          <w:p w14:paraId="1C71DE3D" w14:textId="77777777" w:rsidR="00CC703E" w:rsidRDefault="00CC703E">
            <w:pPr>
              <w:pStyle w:val="Tabletext"/>
              <w:rPr>
                <w:szCs w:val="18"/>
                <w:lang w:eastAsia="ja-JP"/>
              </w:rPr>
            </w:pPr>
          </w:p>
        </w:tc>
        <w:tc>
          <w:tcPr>
            <w:tcW w:w="1560" w:type="dxa"/>
            <w:vMerge/>
          </w:tcPr>
          <w:p w14:paraId="57677E76" w14:textId="77777777" w:rsidR="00CC703E" w:rsidRDefault="00CC703E">
            <w:pPr>
              <w:pStyle w:val="Tabletext"/>
              <w:rPr>
                <w:szCs w:val="18"/>
                <w:lang w:eastAsia="ja-JP"/>
              </w:rPr>
            </w:pPr>
          </w:p>
        </w:tc>
        <w:tc>
          <w:tcPr>
            <w:tcW w:w="1377" w:type="dxa"/>
            <w:vMerge/>
          </w:tcPr>
          <w:p w14:paraId="386B4677" w14:textId="77777777" w:rsidR="00CC703E" w:rsidRDefault="00CC703E">
            <w:pPr>
              <w:pStyle w:val="Tabletext"/>
              <w:rPr>
                <w:szCs w:val="18"/>
                <w:lang w:eastAsia="ja-JP"/>
              </w:rPr>
            </w:pPr>
          </w:p>
        </w:tc>
        <w:tc>
          <w:tcPr>
            <w:tcW w:w="1174" w:type="dxa"/>
          </w:tcPr>
          <w:p w14:paraId="067B15A8" w14:textId="77777777" w:rsidR="00CC703E" w:rsidRDefault="00E37FDB">
            <w:pPr>
              <w:pStyle w:val="Tabletext"/>
              <w:spacing w:after="0"/>
              <w:rPr>
                <w:szCs w:val="18"/>
                <w:lang w:eastAsia="ja-JP"/>
              </w:rPr>
            </w:pPr>
            <w:r>
              <w:rPr>
                <w:szCs w:val="18"/>
                <w:lang w:eastAsia="ja-JP"/>
              </w:rPr>
              <w:t>Total</w:t>
            </w:r>
          </w:p>
        </w:tc>
        <w:tc>
          <w:tcPr>
            <w:tcW w:w="1134" w:type="dxa"/>
          </w:tcPr>
          <w:p w14:paraId="3AFA7A04" w14:textId="77777777" w:rsidR="00CC703E" w:rsidRDefault="00E37FDB" w:rsidP="00766BC7">
            <w:pPr>
              <w:pStyle w:val="Tabletext"/>
              <w:spacing w:after="0"/>
              <w:jc w:val="right"/>
              <w:rPr>
                <w:szCs w:val="18"/>
                <w:lang w:eastAsia="ja-JP"/>
              </w:rPr>
            </w:pPr>
            <w:r>
              <w:rPr>
                <w:szCs w:val="18"/>
                <w:lang w:eastAsia="ja-JP"/>
              </w:rPr>
              <w:t>446</w:t>
            </w:r>
          </w:p>
        </w:tc>
        <w:tc>
          <w:tcPr>
            <w:tcW w:w="1418" w:type="dxa"/>
          </w:tcPr>
          <w:p w14:paraId="3627B6D5" w14:textId="77777777" w:rsidR="00CC703E" w:rsidRDefault="00E37FDB" w:rsidP="00766BC7">
            <w:pPr>
              <w:pStyle w:val="Tabletext"/>
              <w:spacing w:after="0"/>
              <w:jc w:val="right"/>
              <w:rPr>
                <w:szCs w:val="18"/>
                <w:lang w:eastAsia="ja-JP"/>
              </w:rPr>
            </w:pPr>
            <w:r>
              <w:rPr>
                <w:szCs w:val="18"/>
                <w:lang w:eastAsia="ja-JP"/>
              </w:rPr>
              <w:t>308</w:t>
            </w:r>
          </w:p>
        </w:tc>
      </w:tr>
      <w:tr w:rsidR="00CC703E" w14:paraId="1B5F36EF" w14:textId="77777777" w:rsidTr="00766BC7">
        <w:trPr>
          <w:trHeight w:val="116"/>
        </w:trPr>
        <w:tc>
          <w:tcPr>
            <w:tcW w:w="9503" w:type="dxa"/>
            <w:gridSpan w:val="7"/>
          </w:tcPr>
          <w:p w14:paraId="3E95FEDD" w14:textId="6FCD5B9E" w:rsidR="00CC703E" w:rsidRDefault="00E37FDB">
            <w:pPr>
              <w:pStyle w:val="Tabletext"/>
              <w:spacing w:after="0"/>
              <w:rPr>
                <w:b/>
                <w:szCs w:val="18"/>
                <w:lang w:eastAsia="ja-JP"/>
              </w:rPr>
            </w:pPr>
            <w:r>
              <w:rPr>
                <w:b/>
                <w:szCs w:val="18"/>
                <w:lang w:eastAsia="ja-JP"/>
              </w:rPr>
              <w:t>Non-approved arrangement sites</w:t>
            </w:r>
          </w:p>
        </w:tc>
      </w:tr>
      <w:tr w:rsidR="00CC703E" w14:paraId="57A5A9F5" w14:textId="77777777" w:rsidTr="00766BC7">
        <w:trPr>
          <w:trHeight w:val="116"/>
        </w:trPr>
        <w:tc>
          <w:tcPr>
            <w:tcW w:w="1977" w:type="dxa"/>
            <w:vMerge w:val="restart"/>
          </w:tcPr>
          <w:p w14:paraId="2ECB2FB7" w14:textId="128B852F" w:rsidR="00CC703E" w:rsidRDefault="00E37FDB">
            <w:pPr>
              <w:pStyle w:val="Tabletext"/>
              <w:rPr>
                <w:szCs w:val="18"/>
                <w:lang w:eastAsia="ja-JP"/>
              </w:rPr>
            </w:pPr>
            <w:r>
              <w:rPr>
                <w:szCs w:val="18"/>
                <w:lang w:eastAsia="ja-JP"/>
              </w:rPr>
              <w:t>Targeted freezers</w:t>
            </w:r>
          </w:p>
        </w:tc>
        <w:tc>
          <w:tcPr>
            <w:tcW w:w="863" w:type="dxa"/>
            <w:vMerge w:val="restart"/>
          </w:tcPr>
          <w:p w14:paraId="43F23E7F" w14:textId="77777777" w:rsidR="00CC703E" w:rsidRDefault="00E37FDB" w:rsidP="00766BC7">
            <w:pPr>
              <w:pStyle w:val="Tabletext"/>
              <w:jc w:val="right"/>
              <w:rPr>
                <w:szCs w:val="18"/>
                <w:lang w:eastAsia="ja-JP"/>
              </w:rPr>
            </w:pPr>
            <w:r>
              <w:rPr>
                <w:szCs w:val="18"/>
                <w:lang w:eastAsia="ja-JP"/>
              </w:rPr>
              <w:t>131</w:t>
            </w:r>
          </w:p>
        </w:tc>
        <w:tc>
          <w:tcPr>
            <w:tcW w:w="1560" w:type="dxa"/>
            <w:vMerge w:val="restart"/>
          </w:tcPr>
          <w:p w14:paraId="3F545EC3" w14:textId="77777777" w:rsidR="00CC703E" w:rsidRDefault="00E37FDB">
            <w:pPr>
              <w:pStyle w:val="Tabletext"/>
              <w:rPr>
                <w:szCs w:val="18"/>
                <w:lang w:eastAsia="ja-JP"/>
              </w:rPr>
            </w:pPr>
            <w:r>
              <w:rPr>
                <w:szCs w:val="18"/>
                <w:lang w:eastAsia="ja-JP"/>
              </w:rPr>
              <w:t>26 May 2017</w:t>
            </w:r>
          </w:p>
        </w:tc>
        <w:tc>
          <w:tcPr>
            <w:tcW w:w="1377" w:type="dxa"/>
            <w:vMerge w:val="restart"/>
          </w:tcPr>
          <w:p w14:paraId="22C42367" w14:textId="77777777" w:rsidR="00CC703E" w:rsidRDefault="00E37FDB" w:rsidP="00766BC7">
            <w:pPr>
              <w:pStyle w:val="Tabletext"/>
              <w:jc w:val="right"/>
              <w:rPr>
                <w:szCs w:val="18"/>
                <w:lang w:eastAsia="ja-JP"/>
              </w:rPr>
            </w:pPr>
            <w:r>
              <w:rPr>
                <w:szCs w:val="18"/>
                <w:lang w:eastAsia="ja-JP"/>
              </w:rPr>
              <w:t>232</w:t>
            </w:r>
          </w:p>
        </w:tc>
        <w:tc>
          <w:tcPr>
            <w:tcW w:w="1174" w:type="dxa"/>
          </w:tcPr>
          <w:p w14:paraId="598EE19C" w14:textId="77777777" w:rsidR="00CC703E" w:rsidRDefault="00E37FDB">
            <w:pPr>
              <w:pStyle w:val="Tabletext"/>
              <w:spacing w:after="0"/>
              <w:rPr>
                <w:szCs w:val="18"/>
                <w:lang w:eastAsia="ja-JP"/>
              </w:rPr>
            </w:pPr>
            <w:r>
              <w:rPr>
                <w:szCs w:val="18"/>
                <w:lang w:eastAsia="ja-JP"/>
              </w:rPr>
              <w:t>Unprocessed</w:t>
            </w:r>
          </w:p>
        </w:tc>
        <w:tc>
          <w:tcPr>
            <w:tcW w:w="1134" w:type="dxa"/>
          </w:tcPr>
          <w:p w14:paraId="59720A8B" w14:textId="77777777" w:rsidR="00CC703E" w:rsidRDefault="00E37FDB" w:rsidP="00766BC7">
            <w:pPr>
              <w:pStyle w:val="Tabletext"/>
              <w:spacing w:after="0"/>
              <w:jc w:val="right"/>
              <w:rPr>
                <w:szCs w:val="18"/>
                <w:lang w:eastAsia="ja-JP"/>
              </w:rPr>
            </w:pPr>
            <w:r>
              <w:rPr>
                <w:szCs w:val="18"/>
                <w:lang w:eastAsia="ja-JP"/>
              </w:rPr>
              <w:t>16</w:t>
            </w:r>
          </w:p>
        </w:tc>
        <w:tc>
          <w:tcPr>
            <w:tcW w:w="1418" w:type="dxa"/>
          </w:tcPr>
          <w:p w14:paraId="070B4D6B" w14:textId="77777777" w:rsidR="00CC703E" w:rsidRDefault="00E37FDB" w:rsidP="00766BC7">
            <w:pPr>
              <w:pStyle w:val="Tabletext"/>
              <w:spacing w:after="0"/>
              <w:jc w:val="right"/>
              <w:rPr>
                <w:szCs w:val="18"/>
                <w:lang w:eastAsia="ja-JP"/>
              </w:rPr>
            </w:pPr>
            <w:r>
              <w:rPr>
                <w:szCs w:val="18"/>
                <w:lang w:eastAsia="ja-JP"/>
              </w:rPr>
              <w:t>8</w:t>
            </w:r>
          </w:p>
        </w:tc>
      </w:tr>
      <w:tr w:rsidR="00CC703E" w14:paraId="3A0D7821" w14:textId="77777777" w:rsidTr="00766BC7">
        <w:trPr>
          <w:trHeight w:val="116"/>
        </w:trPr>
        <w:tc>
          <w:tcPr>
            <w:tcW w:w="1977" w:type="dxa"/>
            <w:vMerge/>
          </w:tcPr>
          <w:p w14:paraId="0975FCAA" w14:textId="77777777" w:rsidR="00CC703E" w:rsidRDefault="00CC703E">
            <w:pPr>
              <w:pStyle w:val="Tabletext"/>
              <w:rPr>
                <w:szCs w:val="18"/>
                <w:lang w:eastAsia="ja-JP"/>
              </w:rPr>
            </w:pPr>
          </w:p>
        </w:tc>
        <w:tc>
          <w:tcPr>
            <w:tcW w:w="863" w:type="dxa"/>
            <w:vMerge/>
          </w:tcPr>
          <w:p w14:paraId="0E6AC560" w14:textId="77777777" w:rsidR="00CC703E" w:rsidRDefault="00CC703E">
            <w:pPr>
              <w:pStyle w:val="Tabletext"/>
              <w:rPr>
                <w:szCs w:val="18"/>
                <w:lang w:eastAsia="ja-JP"/>
              </w:rPr>
            </w:pPr>
          </w:p>
        </w:tc>
        <w:tc>
          <w:tcPr>
            <w:tcW w:w="1560" w:type="dxa"/>
            <w:vMerge/>
          </w:tcPr>
          <w:p w14:paraId="3122AF85" w14:textId="77777777" w:rsidR="00CC703E" w:rsidRDefault="00CC703E">
            <w:pPr>
              <w:pStyle w:val="Tabletext"/>
              <w:rPr>
                <w:szCs w:val="18"/>
                <w:lang w:eastAsia="ja-JP"/>
              </w:rPr>
            </w:pPr>
          </w:p>
        </w:tc>
        <w:tc>
          <w:tcPr>
            <w:tcW w:w="1377" w:type="dxa"/>
            <w:vMerge/>
          </w:tcPr>
          <w:p w14:paraId="1AB44B46" w14:textId="77777777" w:rsidR="00CC703E" w:rsidRDefault="00CC703E">
            <w:pPr>
              <w:pStyle w:val="Tabletext"/>
              <w:rPr>
                <w:szCs w:val="18"/>
                <w:lang w:eastAsia="ja-JP"/>
              </w:rPr>
            </w:pPr>
          </w:p>
        </w:tc>
        <w:tc>
          <w:tcPr>
            <w:tcW w:w="1174" w:type="dxa"/>
          </w:tcPr>
          <w:p w14:paraId="11B87AA0" w14:textId="77777777" w:rsidR="00CC703E" w:rsidRDefault="00E37FDB">
            <w:pPr>
              <w:pStyle w:val="Tabletext"/>
              <w:spacing w:after="0"/>
              <w:rPr>
                <w:szCs w:val="18"/>
                <w:lang w:eastAsia="ja-JP"/>
              </w:rPr>
            </w:pPr>
            <w:r>
              <w:rPr>
                <w:szCs w:val="18"/>
                <w:lang w:eastAsia="ja-JP"/>
              </w:rPr>
              <w:t>Marinated</w:t>
            </w:r>
          </w:p>
        </w:tc>
        <w:tc>
          <w:tcPr>
            <w:tcW w:w="1134" w:type="dxa"/>
          </w:tcPr>
          <w:p w14:paraId="6D44F675" w14:textId="77777777" w:rsidR="00CC703E" w:rsidRDefault="00E37FDB" w:rsidP="00766BC7">
            <w:pPr>
              <w:pStyle w:val="Tabletext"/>
              <w:spacing w:after="0"/>
              <w:jc w:val="right"/>
              <w:rPr>
                <w:szCs w:val="18"/>
                <w:lang w:eastAsia="ja-JP"/>
              </w:rPr>
            </w:pPr>
            <w:r>
              <w:rPr>
                <w:szCs w:val="18"/>
                <w:lang w:eastAsia="ja-JP"/>
              </w:rPr>
              <w:t>13</w:t>
            </w:r>
          </w:p>
        </w:tc>
        <w:tc>
          <w:tcPr>
            <w:tcW w:w="1418" w:type="dxa"/>
          </w:tcPr>
          <w:p w14:paraId="09AFD866" w14:textId="77777777" w:rsidR="00CC703E" w:rsidRDefault="00E37FDB" w:rsidP="00766BC7">
            <w:pPr>
              <w:pStyle w:val="Tabletext"/>
              <w:spacing w:after="0"/>
              <w:jc w:val="right"/>
              <w:rPr>
                <w:szCs w:val="18"/>
                <w:lang w:eastAsia="ja-JP"/>
              </w:rPr>
            </w:pPr>
            <w:r>
              <w:rPr>
                <w:szCs w:val="18"/>
                <w:lang w:eastAsia="ja-JP"/>
              </w:rPr>
              <w:t>10</w:t>
            </w:r>
          </w:p>
        </w:tc>
      </w:tr>
      <w:tr w:rsidR="00CC703E" w14:paraId="5786E440" w14:textId="77777777" w:rsidTr="00766BC7">
        <w:trPr>
          <w:trHeight w:val="116"/>
        </w:trPr>
        <w:tc>
          <w:tcPr>
            <w:tcW w:w="1977" w:type="dxa"/>
            <w:vMerge/>
          </w:tcPr>
          <w:p w14:paraId="31C650DF" w14:textId="77777777" w:rsidR="00CC703E" w:rsidRDefault="00CC703E">
            <w:pPr>
              <w:pStyle w:val="Tabletext"/>
              <w:rPr>
                <w:szCs w:val="18"/>
                <w:lang w:eastAsia="ja-JP"/>
              </w:rPr>
            </w:pPr>
          </w:p>
        </w:tc>
        <w:tc>
          <w:tcPr>
            <w:tcW w:w="863" w:type="dxa"/>
            <w:vMerge/>
          </w:tcPr>
          <w:p w14:paraId="20194E69" w14:textId="77777777" w:rsidR="00CC703E" w:rsidRDefault="00CC703E">
            <w:pPr>
              <w:pStyle w:val="Tabletext"/>
              <w:rPr>
                <w:szCs w:val="18"/>
                <w:lang w:eastAsia="ja-JP"/>
              </w:rPr>
            </w:pPr>
          </w:p>
        </w:tc>
        <w:tc>
          <w:tcPr>
            <w:tcW w:w="1560" w:type="dxa"/>
            <w:vMerge/>
          </w:tcPr>
          <w:p w14:paraId="05E1CBFE" w14:textId="77777777" w:rsidR="00CC703E" w:rsidRDefault="00CC703E">
            <w:pPr>
              <w:pStyle w:val="Tabletext"/>
              <w:rPr>
                <w:szCs w:val="18"/>
                <w:lang w:eastAsia="ja-JP"/>
              </w:rPr>
            </w:pPr>
          </w:p>
        </w:tc>
        <w:tc>
          <w:tcPr>
            <w:tcW w:w="1377" w:type="dxa"/>
            <w:vMerge/>
          </w:tcPr>
          <w:p w14:paraId="425B8B71" w14:textId="77777777" w:rsidR="00CC703E" w:rsidRDefault="00CC703E">
            <w:pPr>
              <w:pStyle w:val="Tabletext"/>
              <w:rPr>
                <w:szCs w:val="18"/>
                <w:lang w:eastAsia="ja-JP"/>
              </w:rPr>
            </w:pPr>
          </w:p>
        </w:tc>
        <w:tc>
          <w:tcPr>
            <w:tcW w:w="1174" w:type="dxa"/>
          </w:tcPr>
          <w:p w14:paraId="4D01426B" w14:textId="77777777" w:rsidR="00CC703E" w:rsidRDefault="00E37FDB">
            <w:pPr>
              <w:pStyle w:val="Tabletext"/>
              <w:spacing w:after="0"/>
              <w:rPr>
                <w:szCs w:val="18"/>
                <w:lang w:eastAsia="ja-JP"/>
              </w:rPr>
            </w:pPr>
            <w:r>
              <w:rPr>
                <w:szCs w:val="18"/>
                <w:lang w:eastAsia="ja-JP"/>
              </w:rPr>
              <w:t>Total</w:t>
            </w:r>
          </w:p>
        </w:tc>
        <w:tc>
          <w:tcPr>
            <w:tcW w:w="1134" w:type="dxa"/>
          </w:tcPr>
          <w:p w14:paraId="445DF0F1" w14:textId="77777777" w:rsidR="00CC703E" w:rsidRDefault="00E37FDB" w:rsidP="00766BC7">
            <w:pPr>
              <w:pStyle w:val="Tabletext"/>
              <w:spacing w:after="0"/>
              <w:jc w:val="right"/>
              <w:rPr>
                <w:szCs w:val="18"/>
                <w:lang w:eastAsia="ja-JP"/>
              </w:rPr>
            </w:pPr>
            <w:r>
              <w:rPr>
                <w:szCs w:val="18"/>
                <w:lang w:eastAsia="ja-JP"/>
              </w:rPr>
              <w:t>29</w:t>
            </w:r>
          </w:p>
        </w:tc>
        <w:tc>
          <w:tcPr>
            <w:tcW w:w="1418" w:type="dxa"/>
          </w:tcPr>
          <w:p w14:paraId="62F120DF" w14:textId="77777777" w:rsidR="00CC703E" w:rsidRDefault="00E37FDB" w:rsidP="00766BC7">
            <w:pPr>
              <w:pStyle w:val="Tabletext"/>
              <w:spacing w:after="0"/>
              <w:jc w:val="right"/>
              <w:rPr>
                <w:szCs w:val="18"/>
                <w:lang w:eastAsia="ja-JP"/>
              </w:rPr>
            </w:pPr>
            <w:r>
              <w:rPr>
                <w:szCs w:val="18"/>
                <w:lang w:eastAsia="ja-JP"/>
              </w:rPr>
              <w:t>18</w:t>
            </w:r>
          </w:p>
        </w:tc>
      </w:tr>
      <w:tr w:rsidR="00CC703E" w14:paraId="3425DEEA" w14:textId="77777777" w:rsidTr="00766BC7">
        <w:tc>
          <w:tcPr>
            <w:tcW w:w="9503" w:type="dxa"/>
            <w:gridSpan w:val="7"/>
          </w:tcPr>
          <w:p w14:paraId="6CEF51E6" w14:textId="0D810DC1" w:rsidR="00CC703E" w:rsidRDefault="00E37FDB">
            <w:pPr>
              <w:pStyle w:val="Tabletext"/>
              <w:spacing w:after="0"/>
              <w:rPr>
                <w:szCs w:val="18"/>
                <w:lang w:eastAsia="ja-JP"/>
              </w:rPr>
            </w:pPr>
            <w:r>
              <w:rPr>
                <w:b/>
                <w:szCs w:val="18"/>
                <w:lang w:eastAsia="ja-JP"/>
              </w:rPr>
              <w:t>Retail/wholesaler verification</w:t>
            </w:r>
          </w:p>
        </w:tc>
      </w:tr>
      <w:tr w:rsidR="00CC703E" w14:paraId="1716FB21" w14:textId="77777777" w:rsidTr="00766BC7">
        <w:trPr>
          <w:trHeight w:val="116"/>
        </w:trPr>
        <w:tc>
          <w:tcPr>
            <w:tcW w:w="1977" w:type="dxa"/>
            <w:vMerge w:val="restart"/>
          </w:tcPr>
          <w:p w14:paraId="2BE58250" w14:textId="64FF8AF4" w:rsidR="00CC703E" w:rsidRDefault="00E37FDB">
            <w:pPr>
              <w:pStyle w:val="Tabletext"/>
              <w:rPr>
                <w:szCs w:val="18"/>
                <w:lang w:eastAsia="ja-JP"/>
              </w:rPr>
            </w:pPr>
            <w:r>
              <w:rPr>
                <w:szCs w:val="18"/>
                <w:lang w:eastAsia="ja-JP"/>
              </w:rPr>
              <w:t>Unannounced targeted inspections at sites that purchased part of WSSV-infected batch of prawns</w:t>
            </w:r>
          </w:p>
        </w:tc>
        <w:tc>
          <w:tcPr>
            <w:tcW w:w="863" w:type="dxa"/>
            <w:vMerge w:val="restart"/>
          </w:tcPr>
          <w:p w14:paraId="1EC4FF98" w14:textId="77777777" w:rsidR="00CC703E" w:rsidRDefault="00E37FDB" w:rsidP="00766BC7">
            <w:pPr>
              <w:pStyle w:val="Tabletext"/>
              <w:jc w:val="right"/>
              <w:rPr>
                <w:szCs w:val="18"/>
                <w:lang w:eastAsia="ja-JP"/>
              </w:rPr>
            </w:pPr>
            <w:r>
              <w:rPr>
                <w:szCs w:val="18"/>
                <w:lang w:eastAsia="ja-JP"/>
              </w:rPr>
              <w:t>247</w:t>
            </w:r>
          </w:p>
        </w:tc>
        <w:tc>
          <w:tcPr>
            <w:tcW w:w="1560" w:type="dxa"/>
            <w:vMerge w:val="restart"/>
          </w:tcPr>
          <w:p w14:paraId="068E3D78" w14:textId="1B5AC0D2" w:rsidR="00CC703E" w:rsidRDefault="00E37FDB">
            <w:pPr>
              <w:pStyle w:val="Tabletext"/>
              <w:rPr>
                <w:szCs w:val="18"/>
                <w:lang w:eastAsia="ja-JP"/>
              </w:rPr>
            </w:pPr>
            <w:r>
              <w:rPr>
                <w:szCs w:val="18"/>
                <w:lang w:eastAsia="ja-JP"/>
              </w:rPr>
              <w:t>Directions to secure product issued on the spot from April to August 2017 (majority in April)</w:t>
            </w:r>
          </w:p>
        </w:tc>
        <w:tc>
          <w:tcPr>
            <w:tcW w:w="1377" w:type="dxa"/>
            <w:vMerge w:val="restart"/>
          </w:tcPr>
          <w:p w14:paraId="19D8D081" w14:textId="4492791D" w:rsidR="00CC703E" w:rsidRDefault="00E37FDB" w:rsidP="00766BC7">
            <w:pPr>
              <w:pStyle w:val="Tabletext"/>
              <w:jc w:val="right"/>
              <w:rPr>
                <w:szCs w:val="18"/>
                <w:lang w:eastAsia="ja-JP"/>
              </w:rPr>
            </w:pPr>
            <w:r>
              <w:rPr>
                <w:szCs w:val="18"/>
                <w:lang w:eastAsia="ja-JP"/>
              </w:rPr>
              <w:t>na</w:t>
            </w:r>
          </w:p>
        </w:tc>
        <w:tc>
          <w:tcPr>
            <w:tcW w:w="1174" w:type="dxa"/>
          </w:tcPr>
          <w:p w14:paraId="2DC3A946" w14:textId="77777777" w:rsidR="00CC703E" w:rsidRDefault="00E37FDB">
            <w:pPr>
              <w:pStyle w:val="Tabletext"/>
              <w:spacing w:after="0"/>
              <w:rPr>
                <w:szCs w:val="18"/>
                <w:lang w:eastAsia="ja-JP"/>
              </w:rPr>
            </w:pPr>
            <w:r>
              <w:rPr>
                <w:szCs w:val="18"/>
                <w:lang w:eastAsia="ja-JP"/>
              </w:rPr>
              <w:t>Unprocessed</w:t>
            </w:r>
          </w:p>
        </w:tc>
        <w:tc>
          <w:tcPr>
            <w:tcW w:w="1134" w:type="dxa"/>
          </w:tcPr>
          <w:p w14:paraId="4641B60D" w14:textId="77777777" w:rsidR="00CC703E" w:rsidRDefault="00E37FDB" w:rsidP="00766BC7">
            <w:pPr>
              <w:pStyle w:val="Tabletext"/>
              <w:spacing w:after="0"/>
              <w:jc w:val="right"/>
              <w:rPr>
                <w:szCs w:val="18"/>
                <w:lang w:eastAsia="ja-JP"/>
              </w:rPr>
            </w:pPr>
            <w:r>
              <w:rPr>
                <w:szCs w:val="18"/>
                <w:lang w:eastAsia="ja-JP"/>
              </w:rPr>
              <w:t>125</w:t>
            </w:r>
          </w:p>
        </w:tc>
        <w:tc>
          <w:tcPr>
            <w:tcW w:w="1418" w:type="dxa"/>
          </w:tcPr>
          <w:p w14:paraId="61F1DF78" w14:textId="77777777" w:rsidR="00CC703E" w:rsidRDefault="00E37FDB" w:rsidP="00766BC7">
            <w:pPr>
              <w:pStyle w:val="Tabletext"/>
              <w:spacing w:after="0"/>
              <w:jc w:val="right"/>
              <w:rPr>
                <w:szCs w:val="18"/>
                <w:lang w:eastAsia="ja-JP"/>
              </w:rPr>
            </w:pPr>
            <w:r>
              <w:rPr>
                <w:szCs w:val="18"/>
                <w:lang w:eastAsia="ja-JP"/>
              </w:rPr>
              <w:t>95</w:t>
            </w:r>
          </w:p>
        </w:tc>
      </w:tr>
      <w:tr w:rsidR="00CC703E" w14:paraId="0041FE00" w14:textId="77777777" w:rsidTr="00766BC7">
        <w:trPr>
          <w:trHeight w:val="116"/>
        </w:trPr>
        <w:tc>
          <w:tcPr>
            <w:tcW w:w="1977" w:type="dxa"/>
            <w:vMerge/>
          </w:tcPr>
          <w:p w14:paraId="67ACD01E" w14:textId="77777777" w:rsidR="00CC703E" w:rsidRDefault="00CC703E">
            <w:pPr>
              <w:pStyle w:val="Tabletext"/>
              <w:rPr>
                <w:szCs w:val="18"/>
                <w:lang w:eastAsia="ja-JP"/>
              </w:rPr>
            </w:pPr>
          </w:p>
        </w:tc>
        <w:tc>
          <w:tcPr>
            <w:tcW w:w="863" w:type="dxa"/>
            <w:vMerge/>
          </w:tcPr>
          <w:p w14:paraId="6BB8F267" w14:textId="77777777" w:rsidR="00CC703E" w:rsidRDefault="00CC703E" w:rsidP="00766BC7">
            <w:pPr>
              <w:pStyle w:val="Tabletext"/>
              <w:jc w:val="right"/>
              <w:rPr>
                <w:szCs w:val="18"/>
                <w:lang w:eastAsia="ja-JP"/>
              </w:rPr>
            </w:pPr>
          </w:p>
        </w:tc>
        <w:tc>
          <w:tcPr>
            <w:tcW w:w="1560" w:type="dxa"/>
            <w:vMerge/>
          </w:tcPr>
          <w:p w14:paraId="31383BA6" w14:textId="77777777" w:rsidR="00CC703E" w:rsidRDefault="00CC703E">
            <w:pPr>
              <w:pStyle w:val="Tabletext"/>
              <w:rPr>
                <w:szCs w:val="18"/>
                <w:lang w:eastAsia="ja-JP"/>
              </w:rPr>
            </w:pPr>
          </w:p>
        </w:tc>
        <w:tc>
          <w:tcPr>
            <w:tcW w:w="1377" w:type="dxa"/>
            <w:vMerge/>
          </w:tcPr>
          <w:p w14:paraId="55552E3D" w14:textId="77777777" w:rsidR="00CC703E" w:rsidRDefault="00CC703E">
            <w:pPr>
              <w:pStyle w:val="Tabletext"/>
              <w:rPr>
                <w:szCs w:val="18"/>
                <w:lang w:eastAsia="ja-JP"/>
              </w:rPr>
            </w:pPr>
          </w:p>
        </w:tc>
        <w:tc>
          <w:tcPr>
            <w:tcW w:w="1174" w:type="dxa"/>
          </w:tcPr>
          <w:p w14:paraId="3FDBB952" w14:textId="77777777" w:rsidR="00CC703E" w:rsidRDefault="00E37FDB">
            <w:pPr>
              <w:pStyle w:val="Tabletext"/>
              <w:spacing w:after="0"/>
              <w:rPr>
                <w:szCs w:val="18"/>
                <w:lang w:eastAsia="ja-JP"/>
              </w:rPr>
            </w:pPr>
            <w:r>
              <w:rPr>
                <w:szCs w:val="18"/>
                <w:lang w:eastAsia="ja-JP"/>
              </w:rPr>
              <w:t>Marinated</w:t>
            </w:r>
          </w:p>
        </w:tc>
        <w:tc>
          <w:tcPr>
            <w:tcW w:w="1134" w:type="dxa"/>
          </w:tcPr>
          <w:p w14:paraId="6B614C7D" w14:textId="77777777" w:rsidR="00CC703E" w:rsidRDefault="00E37FDB" w:rsidP="00766BC7">
            <w:pPr>
              <w:pStyle w:val="Tabletext"/>
              <w:spacing w:after="0"/>
              <w:jc w:val="right"/>
              <w:rPr>
                <w:szCs w:val="18"/>
                <w:lang w:eastAsia="ja-JP"/>
              </w:rPr>
            </w:pPr>
            <w:r>
              <w:rPr>
                <w:szCs w:val="18"/>
                <w:lang w:eastAsia="ja-JP"/>
              </w:rPr>
              <w:t>89</w:t>
            </w:r>
          </w:p>
        </w:tc>
        <w:tc>
          <w:tcPr>
            <w:tcW w:w="1418" w:type="dxa"/>
          </w:tcPr>
          <w:p w14:paraId="0EC03F1D" w14:textId="77777777" w:rsidR="00CC703E" w:rsidRDefault="00E37FDB" w:rsidP="00766BC7">
            <w:pPr>
              <w:pStyle w:val="Tabletext"/>
              <w:spacing w:after="0"/>
              <w:jc w:val="right"/>
              <w:rPr>
                <w:szCs w:val="18"/>
                <w:lang w:eastAsia="ja-JP"/>
              </w:rPr>
            </w:pPr>
            <w:r>
              <w:rPr>
                <w:szCs w:val="18"/>
                <w:lang w:eastAsia="ja-JP"/>
              </w:rPr>
              <w:t>86</w:t>
            </w:r>
          </w:p>
        </w:tc>
      </w:tr>
      <w:tr w:rsidR="00CC703E" w14:paraId="4BE955A3" w14:textId="77777777" w:rsidTr="00766BC7">
        <w:trPr>
          <w:trHeight w:val="116"/>
        </w:trPr>
        <w:tc>
          <w:tcPr>
            <w:tcW w:w="1977" w:type="dxa"/>
            <w:vMerge/>
          </w:tcPr>
          <w:p w14:paraId="7EB9FDE5" w14:textId="77777777" w:rsidR="00CC703E" w:rsidRDefault="00CC703E">
            <w:pPr>
              <w:pStyle w:val="Tabletext"/>
              <w:rPr>
                <w:szCs w:val="18"/>
                <w:lang w:eastAsia="ja-JP"/>
              </w:rPr>
            </w:pPr>
          </w:p>
        </w:tc>
        <w:tc>
          <w:tcPr>
            <w:tcW w:w="863" w:type="dxa"/>
            <w:vMerge/>
          </w:tcPr>
          <w:p w14:paraId="404E275D" w14:textId="77777777" w:rsidR="00CC703E" w:rsidRDefault="00CC703E" w:rsidP="00766BC7">
            <w:pPr>
              <w:pStyle w:val="Tabletext"/>
              <w:jc w:val="right"/>
              <w:rPr>
                <w:szCs w:val="18"/>
                <w:lang w:eastAsia="ja-JP"/>
              </w:rPr>
            </w:pPr>
          </w:p>
        </w:tc>
        <w:tc>
          <w:tcPr>
            <w:tcW w:w="1560" w:type="dxa"/>
            <w:vMerge/>
          </w:tcPr>
          <w:p w14:paraId="1148F5AD" w14:textId="77777777" w:rsidR="00CC703E" w:rsidRDefault="00CC703E">
            <w:pPr>
              <w:pStyle w:val="Tabletext"/>
              <w:rPr>
                <w:szCs w:val="18"/>
                <w:lang w:eastAsia="ja-JP"/>
              </w:rPr>
            </w:pPr>
          </w:p>
        </w:tc>
        <w:tc>
          <w:tcPr>
            <w:tcW w:w="1377" w:type="dxa"/>
            <w:vMerge/>
          </w:tcPr>
          <w:p w14:paraId="3705ADFD" w14:textId="77777777" w:rsidR="00CC703E" w:rsidRDefault="00CC703E">
            <w:pPr>
              <w:pStyle w:val="Tabletext"/>
              <w:rPr>
                <w:szCs w:val="18"/>
                <w:lang w:eastAsia="ja-JP"/>
              </w:rPr>
            </w:pPr>
          </w:p>
        </w:tc>
        <w:tc>
          <w:tcPr>
            <w:tcW w:w="1174" w:type="dxa"/>
          </w:tcPr>
          <w:p w14:paraId="6FF088F7" w14:textId="77777777" w:rsidR="00CC703E" w:rsidRDefault="00E37FDB">
            <w:pPr>
              <w:pStyle w:val="Tabletext"/>
              <w:spacing w:after="0"/>
              <w:rPr>
                <w:szCs w:val="18"/>
                <w:lang w:eastAsia="ja-JP"/>
              </w:rPr>
            </w:pPr>
            <w:r>
              <w:rPr>
                <w:szCs w:val="18"/>
                <w:lang w:eastAsia="ja-JP"/>
              </w:rPr>
              <w:t>Total</w:t>
            </w:r>
          </w:p>
        </w:tc>
        <w:tc>
          <w:tcPr>
            <w:tcW w:w="1134" w:type="dxa"/>
          </w:tcPr>
          <w:p w14:paraId="79C36590" w14:textId="77777777" w:rsidR="00CC703E" w:rsidRDefault="00E37FDB" w:rsidP="00766BC7">
            <w:pPr>
              <w:pStyle w:val="Tabletext"/>
              <w:spacing w:after="0"/>
              <w:jc w:val="right"/>
              <w:rPr>
                <w:szCs w:val="18"/>
                <w:lang w:eastAsia="ja-JP"/>
              </w:rPr>
            </w:pPr>
            <w:r>
              <w:rPr>
                <w:szCs w:val="18"/>
                <w:lang w:eastAsia="ja-JP"/>
              </w:rPr>
              <w:t>214</w:t>
            </w:r>
          </w:p>
        </w:tc>
        <w:tc>
          <w:tcPr>
            <w:tcW w:w="1418" w:type="dxa"/>
          </w:tcPr>
          <w:p w14:paraId="581C2CA3" w14:textId="687F654A" w:rsidR="00CC703E" w:rsidRDefault="005C3952" w:rsidP="005C3952">
            <w:pPr>
              <w:pStyle w:val="Tabletext"/>
              <w:spacing w:after="0"/>
              <w:jc w:val="right"/>
              <w:rPr>
                <w:szCs w:val="18"/>
                <w:lang w:eastAsia="ja-JP"/>
              </w:rPr>
            </w:pPr>
            <w:r>
              <w:rPr>
                <w:szCs w:val="18"/>
                <w:lang w:eastAsia="ja-JP"/>
              </w:rPr>
              <w:t>181</w:t>
            </w:r>
          </w:p>
        </w:tc>
      </w:tr>
      <w:tr w:rsidR="00CC703E" w14:paraId="182E5E18" w14:textId="77777777" w:rsidTr="00766BC7">
        <w:tc>
          <w:tcPr>
            <w:tcW w:w="1977" w:type="dxa"/>
          </w:tcPr>
          <w:p w14:paraId="518721AF" w14:textId="77777777" w:rsidR="00CC703E" w:rsidRDefault="00E37FDB">
            <w:pPr>
              <w:pStyle w:val="Tabletext"/>
              <w:rPr>
                <w:b/>
                <w:szCs w:val="18"/>
                <w:lang w:eastAsia="ja-JP"/>
              </w:rPr>
            </w:pPr>
            <w:r>
              <w:rPr>
                <w:b/>
                <w:szCs w:val="18"/>
                <w:lang w:eastAsia="ja-JP"/>
              </w:rPr>
              <w:t>Total</w:t>
            </w:r>
          </w:p>
        </w:tc>
        <w:tc>
          <w:tcPr>
            <w:tcW w:w="863" w:type="dxa"/>
          </w:tcPr>
          <w:p w14:paraId="48241DC0" w14:textId="77777777" w:rsidR="00CC703E" w:rsidRPr="00766BC7" w:rsidRDefault="00E37FDB" w:rsidP="00766BC7">
            <w:pPr>
              <w:pStyle w:val="Tabletext"/>
              <w:jc w:val="right"/>
              <w:rPr>
                <w:rStyle w:val="Strong"/>
              </w:rPr>
            </w:pPr>
            <w:r w:rsidRPr="00766BC7">
              <w:rPr>
                <w:rStyle w:val="Strong"/>
              </w:rPr>
              <w:t>772</w:t>
            </w:r>
          </w:p>
        </w:tc>
        <w:tc>
          <w:tcPr>
            <w:tcW w:w="1560" w:type="dxa"/>
          </w:tcPr>
          <w:p w14:paraId="2C962D29" w14:textId="55691E26" w:rsidR="00CC703E" w:rsidRPr="00766BC7" w:rsidRDefault="00504F41" w:rsidP="008F725A">
            <w:pPr>
              <w:pStyle w:val="Tabletext"/>
              <w:rPr>
                <w:rStyle w:val="Strong"/>
              </w:rPr>
            </w:pPr>
            <w:r>
              <w:rPr>
                <w:rStyle w:val="Strong"/>
              </w:rPr>
              <w:t>na</w:t>
            </w:r>
          </w:p>
        </w:tc>
        <w:tc>
          <w:tcPr>
            <w:tcW w:w="1377" w:type="dxa"/>
          </w:tcPr>
          <w:p w14:paraId="184F52A4" w14:textId="77777777" w:rsidR="00CC703E" w:rsidRPr="00766BC7" w:rsidRDefault="00E37FDB" w:rsidP="00766BC7">
            <w:pPr>
              <w:pStyle w:val="Tabletext"/>
              <w:jc w:val="right"/>
              <w:rPr>
                <w:rStyle w:val="Strong"/>
              </w:rPr>
            </w:pPr>
            <w:r w:rsidRPr="00766BC7">
              <w:rPr>
                <w:rStyle w:val="Strong"/>
              </w:rPr>
              <w:t>2,514</w:t>
            </w:r>
          </w:p>
        </w:tc>
        <w:tc>
          <w:tcPr>
            <w:tcW w:w="1174" w:type="dxa"/>
          </w:tcPr>
          <w:p w14:paraId="362221C4" w14:textId="31D77374" w:rsidR="00CC703E" w:rsidRPr="00766BC7" w:rsidRDefault="00E37FDB">
            <w:pPr>
              <w:pStyle w:val="Tabletext"/>
              <w:rPr>
                <w:rStyle w:val="Strong"/>
              </w:rPr>
            </w:pPr>
            <w:r w:rsidRPr="00766BC7">
              <w:rPr>
                <w:rStyle w:val="Strong"/>
              </w:rPr>
              <w:t>–</w:t>
            </w:r>
          </w:p>
        </w:tc>
        <w:tc>
          <w:tcPr>
            <w:tcW w:w="1134" w:type="dxa"/>
          </w:tcPr>
          <w:p w14:paraId="56761AEB" w14:textId="77777777" w:rsidR="00CC703E" w:rsidRPr="00766BC7" w:rsidRDefault="00E37FDB" w:rsidP="00766BC7">
            <w:pPr>
              <w:pStyle w:val="Tabletext"/>
              <w:jc w:val="right"/>
              <w:rPr>
                <w:rStyle w:val="Strong"/>
              </w:rPr>
            </w:pPr>
            <w:r w:rsidRPr="00766BC7">
              <w:rPr>
                <w:rStyle w:val="Strong"/>
              </w:rPr>
              <w:t>736</w:t>
            </w:r>
          </w:p>
        </w:tc>
        <w:tc>
          <w:tcPr>
            <w:tcW w:w="1418" w:type="dxa"/>
          </w:tcPr>
          <w:p w14:paraId="0BF3847D" w14:textId="77777777" w:rsidR="00CC703E" w:rsidRPr="00766BC7" w:rsidRDefault="00E37FDB" w:rsidP="00766BC7">
            <w:pPr>
              <w:pStyle w:val="Tabletext"/>
              <w:jc w:val="right"/>
              <w:rPr>
                <w:rStyle w:val="Strong"/>
              </w:rPr>
            </w:pPr>
            <w:r w:rsidRPr="00766BC7">
              <w:rPr>
                <w:rStyle w:val="Strong"/>
              </w:rPr>
              <w:t>540</w:t>
            </w:r>
          </w:p>
        </w:tc>
      </w:tr>
    </w:tbl>
    <w:p w14:paraId="45DC786A" w14:textId="3F9148D6" w:rsidR="00CC703E" w:rsidRDefault="00504F41">
      <w:pPr>
        <w:pStyle w:val="FigureTableNoteSource"/>
      </w:pPr>
      <w:r>
        <w:rPr>
          <w:rStyle w:val="Strong"/>
        </w:rPr>
        <w:t>n</w:t>
      </w:r>
      <w:r w:rsidR="008F725A">
        <w:rPr>
          <w:rStyle w:val="Strong"/>
        </w:rPr>
        <w:t>a</w:t>
      </w:r>
      <w:r w:rsidR="00E37FDB" w:rsidRPr="00766BC7">
        <w:t xml:space="preserve"> Not applicable.</w:t>
      </w:r>
    </w:p>
    <w:p w14:paraId="36044F1A" w14:textId="77777777" w:rsidR="00CC703E" w:rsidRDefault="00E37FDB">
      <w:pPr>
        <w:pStyle w:val="FigureTableNoteSource"/>
      </w:pPr>
      <w:r>
        <w:t>Source: Department of Agriculture and Water Resources</w:t>
      </w:r>
    </w:p>
    <w:p w14:paraId="33F37292" w14:textId="1D7F2B79" w:rsidR="00750E24" w:rsidRDefault="00750E24" w:rsidP="00750E24">
      <w:pPr>
        <w:pStyle w:val="Caption"/>
        <w:rPr>
          <w:rStyle w:val="Heading3Char"/>
          <w:rFonts w:eastAsia="Calibri"/>
        </w:rPr>
      </w:pPr>
      <w:bookmarkStart w:id="221" w:name="_Ref499323725"/>
      <w:bookmarkStart w:id="222" w:name="_Toc500508490"/>
      <w:r>
        <w:t xml:space="preserve">Table </w:t>
      </w:r>
      <w:r w:rsidR="00F329C0">
        <w:fldChar w:fldCharType="begin"/>
      </w:r>
      <w:r w:rsidR="00F329C0">
        <w:instrText xml:space="preserve"> SEQ Table \* ARABIC </w:instrText>
      </w:r>
      <w:r w:rsidR="00F329C0">
        <w:fldChar w:fldCharType="separate"/>
      </w:r>
      <w:r w:rsidR="00121BC1">
        <w:rPr>
          <w:noProof/>
        </w:rPr>
        <w:t>13</w:t>
      </w:r>
      <w:r w:rsidR="00F329C0">
        <w:rPr>
          <w:noProof/>
        </w:rPr>
        <w:fldChar w:fldCharType="end"/>
      </w:r>
      <w:bookmarkEnd w:id="221"/>
      <w:r w:rsidRPr="00750E24">
        <w:t xml:space="preserve"> </w:t>
      </w:r>
      <w:r>
        <w:t>WSSV test results up to October 2017 of post-border prawn batches imported in 2016</w:t>
      </w:r>
      <w:bookmarkEnd w:id="222"/>
    </w:p>
    <w:tbl>
      <w:tblPr>
        <w:tblW w:w="5098" w:type="dxa"/>
        <w:tblBorders>
          <w:top w:val="single" w:sz="4" w:space="0" w:color="auto"/>
          <w:bottom w:val="single" w:sz="4" w:space="0" w:color="auto"/>
        </w:tblBorders>
        <w:tblLayout w:type="fixed"/>
        <w:tblLook w:val="04A0" w:firstRow="1" w:lastRow="0" w:firstColumn="1" w:lastColumn="0" w:noHBand="0" w:noVBand="1"/>
      </w:tblPr>
      <w:tblGrid>
        <w:gridCol w:w="1419"/>
        <w:gridCol w:w="1226"/>
        <w:gridCol w:w="1226"/>
        <w:gridCol w:w="1227"/>
      </w:tblGrid>
      <w:tr w:rsidR="002D3963" w14:paraId="65CBAF8C" w14:textId="77777777" w:rsidTr="00711CA0">
        <w:trPr>
          <w:trHeight w:val="288"/>
        </w:trPr>
        <w:tc>
          <w:tcPr>
            <w:tcW w:w="1419" w:type="dxa"/>
            <w:vMerge w:val="restart"/>
          </w:tcPr>
          <w:p w14:paraId="4FEB39E1" w14:textId="2AE54950" w:rsidR="002D3963" w:rsidRPr="000E47DB" w:rsidRDefault="002D3963" w:rsidP="008F725A">
            <w:pPr>
              <w:pStyle w:val="Tabletext"/>
              <w:rPr>
                <w:b/>
                <w:lang w:eastAsia="en-AU"/>
              </w:rPr>
            </w:pPr>
            <w:r w:rsidRPr="000E47DB">
              <w:rPr>
                <w:b/>
                <w:lang w:eastAsia="en-AU"/>
              </w:rPr>
              <w:t>Product type</w:t>
            </w:r>
          </w:p>
        </w:tc>
        <w:tc>
          <w:tcPr>
            <w:tcW w:w="3679" w:type="dxa"/>
            <w:gridSpan w:val="3"/>
          </w:tcPr>
          <w:p w14:paraId="5D461CCC" w14:textId="2E6C6880" w:rsidR="002D3963" w:rsidRPr="000E47DB" w:rsidRDefault="002D3963" w:rsidP="00711CA0">
            <w:pPr>
              <w:pStyle w:val="Tabletext"/>
              <w:jc w:val="center"/>
              <w:rPr>
                <w:b/>
                <w:lang w:eastAsia="en-AU"/>
              </w:rPr>
            </w:pPr>
            <w:r>
              <w:rPr>
                <w:b/>
                <w:lang w:eastAsia="en-AU"/>
              </w:rPr>
              <w:t>Batches</w:t>
            </w:r>
          </w:p>
        </w:tc>
      </w:tr>
      <w:tr w:rsidR="002D3963" w14:paraId="0C21E780" w14:textId="77777777" w:rsidTr="00711CA0">
        <w:trPr>
          <w:trHeight w:val="288"/>
        </w:trPr>
        <w:tc>
          <w:tcPr>
            <w:tcW w:w="1419" w:type="dxa"/>
            <w:vMerge/>
          </w:tcPr>
          <w:p w14:paraId="10A57B26" w14:textId="696D8DC9" w:rsidR="002D3963" w:rsidRPr="000E47DB" w:rsidRDefault="002D3963" w:rsidP="008F725A">
            <w:pPr>
              <w:pStyle w:val="Tabletext"/>
              <w:rPr>
                <w:b/>
                <w:lang w:eastAsia="en-AU"/>
              </w:rPr>
            </w:pPr>
          </w:p>
        </w:tc>
        <w:tc>
          <w:tcPr>
            <w:tcW w:w="1226" w:type="dxa"/>
          </w:tcPr>
          <w:p w14:paraId="377216AE" w14:textId="0DF3AC64" w:rsidR="002D3963" w:rsidRPr="000E47DB" w:rsidRDefault="002D3963" w:rsidP="008F725A">
            <w:pPr>
              <w:pStyle w:val="Tabletext"/>
              <w:rPr>
                <w:b/>
                <w:lang w:eastAsia="en-AU"/>
              </w:rPr>
            </w:pPr>
            <w:r w:rsidRPr="000E47DB">
              <w:rPr>
                <w:b/>
                <w:lang w:eastAsia="en-AU"/>
              </w:rPr>
              <w:t>Total (no.)</w:t>
            </w:r>
          </w:p>
        </w:tc>
        <w:tc>
          <w:tcPr>
            <w:tcW w:w="1226" w:type="dxa"/>
            <w:shd w:val="clear" w:color="auto" w:fill="auto"/>
            <w:noWrap/>
          </w:tcPr>
          <w:p w14:paraId="2EDCDBB1" w14:textId="77777777" w:rsidR="002D3963" w:rsidRPr="000E47DB" w:rsidRDefault="002D3963" w:rsidP="008F725A">
            <w:pPr>
              <w:pStyle w:val="Tabletext"/>
              <w:rPr>
                <w:b/>
                <w:lang w:eastAsia="en-AU"/>
              </w:rPr>
            </w:pPr>
            <w:r w:rsidRPr="000E47DB">
              <w:rPr>
                <w:b/>
                <w:lang w:eastAsia="en-AU"/>
              </w:rPr>
              <w:t>Positive (no.)</w:t>
            </w:r>
          </w:p>
        </w:tc>
        <w:tc>
          <w:tcPr>
            <w:tcW w:w="1227" w:type="dxa"/>
            <w:shd w:val="clear" w:color="auto" w:fill="auto"/>
            <w:noWrap/>
          </w:tcPr>
          <w:p w14:paraId="69E4DDE7" w14:textId="41DAE8F8" w:rsidR="002D3963" w:rsidRPr="000E47DB" w:rsidRDefault="002D3963" w:rsidP="008F725A">
            <w:pPr>
              <w:pStyle w:val="Tabletext"/>
              <w:rPr>
                <w:b/>
                <w:lang w:eastAsia="en-AU"/>
              </w:rPr>
            </w:pPr>
            <w:r w:rsidRPr="000E47DB">
              <w:rPr>
                <w:b/>
                <w:lang w:eastAsia="en-AU"/>
              </w:rPr>
              <w:t>Positive (%)</w:t>
            </w:r>
          </w:p>
        </w:tc>
      </w:tr>
      <w:tr w:rsidR="00CC703E" w14:paraId="5E8AFF3C" w14:textId="77777777" w:rsidTr="00711CA0">
        <w:trPr>
          <w:trHeight w:val="288"/>
        </w:trPr>
        <w:tc>
          <w:tcPr>
            <w:tcW w:w="1419" w:type="dxa"/>
          </w:tcPr>
          <w:p w14:paraId="0BBAC14A" w14:textId="77777777" w:rsidR="00CC703E" w:rsidRDefault="00E37FDB" w:rsidP="008F725A">
            <w:pPr>
              <w:pStyle w:val="Tabletext"/>
              <w:rPr>
                <w:lang w:eastAsia="en-AU"/>
              </w:rPr>
            </w:pPr>
            <w:r>
              <w:rPr>
                <w:lang w:eastAsia="en-AU"/>
              </w:rPr>
              <w:t>Marinated</w:t>
            </w:r>
          </w:p>
        </w:tc>
        <w:tc>
          <w:tcPr>
            <w:tcW w:w="1226" w:type="dxa"/>
          </w:tcPr>
          <w:p w14:paraId="1695F8AB" w14:textId="77777777" w:rsidR="00CC703E" w:rsidRDefault="00E37FDB" w:rsidP="008F725A">
            <w:pPr>
              <w:pStyle w:val="Tabletext"/>
              <w:rPr>
                <w:lang w:eastAsia="en-AU"/>
              </w:rPr>
            </w:pPr>
            <w:r>
              <w:rPr>
                <w:lang w:eastAsia="en-AU"/>
              </w:rPr>
              <w:t>355</w:t>
            </w:r>
          </w:p>
        </w:tc>
        <w:tc>
          <w:tcPr>
            <w:tcW w:w="1226" w:type="dxa"/>
            <w:shd w:val="clear" w:color="auto" w:fill="auto"/>
            <w:noWrap/>
          </w:tcPr>
          <w:p w14:paraId="12718839" w14:textId="77777777" w:rsidR="00CC703E" w:rsidRDefault="00E37FDB" w:rsidP="008F725A">
            <w:pPr>
              <w:pStyle w:val="Tabletext"/>
              <w:rPr>
                <w:lang w:eastAsia="en-AU"/>
              </w:rPr>
            </w:pPr>
            <w:r>
              <w:rPr>
                <w:lang w:eastAsia="en-AU"/>
              </w:rPr>
              <w:t>313</w:t>
            </w:r>
          </w:p>
        </w:tc>
        <w:tc>
          <w:tcPr>
            <w:tcW w:w="1227" w:type="dxa"/>
            <w:shd w:val="clear" w:color="auto" w:fill="auto"/>
            <w:noWrap/>
          </w:tcPr>
          <w:p w14:paraId="2883ACDA" w14:textId="77777777" w:rsidR="00CC703E" w:rsidRDefault="00E37FDB" w:rsidP="008F725A">
            <w:pPr>
              <w:pStyle w:val="Tabletext"/>
              <w:rPr>
                <w:lang w:eastAsia="en-AU"/>
              </w:rPr>
            </w:pPr>
            <w:r>
              <w:rPr>
                <w:lang w:eastAsia="en-AU"/>
              </w:rPr>
              <w:t>88</w:t>
            </w:r>
          </w:p>
        </w:tc>
      </w:tr>
      <w:tr w:rsidR="00CC703E" w14:paraId="2C564095" w14:textId="77777777" w:rsidTr="00711CA0">
        <w:trPr>
          <w:trHeight w:val="288"/>
        </w:trPr>
        <w:tc>
          <w:tcPr>
            <w:tcW w:w="1419" w:type="dxa"/>
          </w:tcPr>
          <w:p w14:paraId="156E8B0C" w14:textId="77777777" w:rsidR="00CC703E" w:rsidRDefault="00E37FDB" w:rsidP="008F725A">
            <w:pPr>
              <w:pStyle w:val="Tabletext"/>
              <w:rPr>
                <w:lang w:eastAsia="en-AU"/>
              </w:rPr>
            </w:pPr>
            <w:r>
              <w:rPr>
                <w:lang w:eastAsia="en-AU"/>
              </w:rPr>
              <w:t>Unprocessed</w:t>
            </w:r>
          </w:p>
        </w:tc>
        <w:tc>
          <w:tcPr>
            <w:tcW w:w="1226" w:type="dxa"/>
          </w:tcPr>
          <w:p w14:paraId="4CD91490" w14:textId="77777777" w:rsidR="00CC703E" w:rsidRDefault="00E37FDB" w:rsidP="008F725A">
            <w:pPr>
              <w:pStyle w:val="Tabletext"/>
              <w:rPr>
                <w:lang w:eastAsia="en-AU"/>
              </w:rPr>
            </w:pPr>
            <w:r>
              <w:rPr>
                <w:lang w:eastAsia="en-AU"/>
              </w:rPr>
              <w:t>466</w:t>
            </w:r>
          </w:p>
        </w:tc>
        <w:tc>
          <w:tcPr>
            <w:tcW w:w="1226" w:type="dxa"/>
            <w:shd w:val="clear" w:color="auto" w:fill="auto"/>
            <w:noWrap/>
          </w:tcPr>
          <w:p w14:paraId="3EF6C3E9" w14:textId="77777777" w:rsidR="00CC703E" w:rsidRDefault="00E37FDB" w:rsidP="008F725A">
            <w:pPr>
              <w:pStyle w:val="Tabletext"/>
              <w:rPr>
                <w:lang w:eastAsia="en-AU"/>
              </w:rPr>
            </w:pPr>
            <w:r>
              <w:rPr>
                <w:lang w:eastAsia="en-AU"/>
              </w:rPr>
              <w:t>296</w:t>
            </w:r>
          </w:p>
        </w:tc>
        <w:tc>
          <w:tcPr>
            <w:tcW w:w="1227" w:type="dxa"/>
            <w:shd w:val="clear" w:color="auto" w:fill="auto"/>
            <w:noWrap/>
          </w:tcPr>
          <w:p w14:paraId="1BC69531" w14:textId="77777777" w:rsidR="00CC703E" w:rsidRDefault="00E37FDB" w:rsidP="008F725A">
            <w:pPr>
              <w:pStyle w:val="Tabletext"/>
              <w:rPr>
                <w:lang w:eastAsia="en-AU"/>
              </w:rPr>
            </w:pPr>
            <w:r>
              <w:rPr>
                <w:lang w:eastAsia="en-AU"/>
              </w:rPr>
              <w:t>64</w:t>
            </w:r>
          </w:p>
        </w:tc>
      </w:tr>
      <w:tr w:rsidR="00CC703E" w14:paraId="752CCA40" w14:textId="77777777" w:rsidTr="00711CA0">
        <w:trPr>
          <w:trHeight w:val="288"/>
        </w:trPr>
        <w:tc>
          <w:tcPr>
            <w:tcW w:w="1419" w:type="dxa"/>
          </w:tcPr>
          <w:p w14:paraId="03F86E6C" w14:textId="7F17D7A1" w:rsidR="00CC703E" w:rsidRPr="0012200D" w:rsidRDefault="009D5857" w:rsidP="008F725A">
            <w:pPr>
              <w:pStyle w:val="Tabletext"/>
              <w:rPr>
                <w:lang w:eastAsia="en-AU"/>
              </w:rPr>
            </w:pPr>
            <w:r w:rsidRPr="0012200D">
              <w:rPr>
                <w:lang w:eastAsia="en-AU"/>
              </w:rPr>
              <w:t>Total</w:t>
            </w:r>
          </w:p>
        </w:tc>
        <w:tc>
          <w:tcPr>
            <w:tcW w:w="1226" w:type="dxa"/>
          </w:tcPr>
          <w:p w14:paraId="6CB0D3FD" w14:textId="77777777" w:rsidR="00CC703E" w:rsidRPr="0012200D" w:rsidRDefault="00E37FDB" w:rsidP="008F725A">
            <w:pPr>
              <w:pStyle w:val="Tabletext"/>
            </w:pPr>
            <w:r w:rsidRPr="0012200D">
              <w:t>821</w:t>
            </w:r>
          </w:p>
        </w:tc>
        <w:tc>
          <w:tcPr>
            <w:tcW w:w="1226" w:type="dxa"/>
            <w:shd w:val="clear" w:color="auto" w:fill="auto"/>
            <w:noWrap/>
            <w:hideMark/>
          </w:tcPr>
          <w:p w14:paraId="56C177EF" w14:textId="77777777" w:rsidR="00CC703E" w:rsidRPr="0012200D" w:rsidRDefault="00E37FDB" w:rsidP="008F725A">
            <w:pPr>
              <w:pStyle w:val="Tabletext"/>
            </w:pPr>
            <w:r w:rsidRPr="0012200D">
              <w:t>609</w:t>
            </w:r>
          </w:p>
        </w:tc>
        <w:tc>
          <w:tcPr>
            <w:tcW w:w="1227" w:type="dxa"/>
            <w:shd w:val="clear" w:color="auto" w:fill="auto"/>
            <w:noWrap/>
          </w:tcPr>
          <w:p w14:paraId="572302BC" w14:textId="77777777" w:rsidR="00CC703E" w:rsidRPr="0012200D" w:rsidRDefault="00E37FDB" w:rsidP="008F725A">
            <w:pPr>
              <w:pStyle w:val="Tabletext"/>
            </w:pPr>
            <w:r w:rsidRPr="0012200D">
              <w:t>74</w:t>
            </w:r>
          </w:p>
        </w:tc>
      </w:tr>
    </w:tbl>
    <w:p w14:paraId="501130CD" w14:textId="77777777" w:rsidR="00CC703E" w:rsidRDefault="00E37FDB">
      <w:pPr>
        <w:pStyle w:val="FigureTableNoteSource"/>
        <w:rPr>
          <w:lang w:eastAsia="ja-JP"/>
        </w:rPr>
      </w:pPr>
      <w:r>
        <w:rPr>
          <w:lang w:eastAsia="ja-JP"/>
        </w:rPr>
        <w:t>Source: Department of Agriculture and Water Resources</w:t>
      </w:r>
    </w:p>
    <w:p w14:paraId="3E8A114C" w14:textId="2BD87536" w:rsidR="00CC703E" w:rsidRDefault="00E37FDB">
      <w:pPr>
        <w:tabs>
          <w:tab w:val="clear" w:pos="567"/>
        </w:tabs>
        <w:spacing w:before="240" w:after="0"/>
        <w:rPr>
          <w:rStyle w:val="Heading3Char"/>
          <w:rFonts w:eastAsia="Calibri"/>
        </w:rPr>
      </w:pPr>
      <w:r>
        <w:t>By 18 October 2017 about 2,523 tonnes of post-border prawn product across the retail and distribution networks and within both approved and non-approved arrangements had been placed under biosecurity control</w:t>
      </w:r>
      <w:r w:rsidR="009D5857">
        <w:t>;</w:t>
      </w:r>
      <w:r>
        <w:t xml:space="preserve"> 689 tonnes remained under biosecurity control</w:t>
      </w:r>
      <w:r w:rsidR="009D5857">
        <w:t>, while</w:t>
      </w:r>
      <w:r>
        <w:t xml:space="preserve"> the balance of 1,834 tonnes had either subsequently tested negative or been released for sale, destroyed, cooked in an approved manner or exported.</w:t>
      </w:r>
    </w:p>
    <w:p w14:paraId="51C66EDE" w14:textId="3DA85510" w:rsidR="00CC703E" w:rsidRDefault="00E37FDB">
      <w:pPr>
        <w:spacing w:after="0"/>
      </w:pPr>
      <w:r>
        <w:t xml:space="preserve">The department contracted AAHL to conduct WSSV testing of prawn batches identified during the post-border withdrawal program. The intention was to identify and remove as much infected product from the post-border supply chain as possible. </w:t>
      </w:r>
      <w:r>
        <w:lastRenderedPageBreak/>
        <w:t xml:space="preserve">The testing results </w:t>
      </w:r>
      <w:r w:rsidR="000F0AC1">
        <w:t xml:space="preserve">obtained between February and September 2017 </w:t>
      </w:r>
      <w:r>
        <w:t>were classified according to the lowest C</w:t>
      </w:r>
      <w:r>
        <w:rPr>
          <w:vertAlign w:val="subscript"/>
        </w:rPr>
        <w:t>t</w:t>
      </w:r>
      <w:r>
        <w:t xml:space="preserve"> value in each set of 5 prawns per batch (</w:t>
      </w:r>
      <w:r w:rsidR="00023DC2">
        <w:fldChar w:fldCharType="begin"/>
      </w:r>
      <w:r w:rsidR="00023DC2">
        <w:instrText xml:space="preserve"> REF _Ref499323778 \h </w:instrText>
      </w:r>
      <w:r w:rsidR="00023DC2">
        <w:fldChar w:fldCharType="separate"/>
      </w:r>
      <w:r w:rsidR="00121BC1">
        <w:t xml:space="preserve">Table </w:t>
      </w:r>
      <w:r w:rsidR="00121BC1">
        <w:rPr>
          <w:noProof/>
        </w:rPr>
        <w:t>14</w:t>
      </w:r>
      <w:r w:rsidR="00023DC2">
        <w:fldChar w:fldCharType="end"/>
      </w:r>
      <w:r>
        <w:t xml:space="preserve">, </w:t>
      </w:r>
      <w:r>
        <w:fldChar w:fldCharType="begin"/>
      </w:r>
      <w:r>
        <w:instrText xml:space="preserve"> REF _Ref495173317 \h </w:instrText>
      </w:r>
      <w:r>
        <w:fldChar w:fldCharType="separate"/>
      </w:r>
      <w:r w:rsidR="00121BC1">
        <w:t xml:space="preserve">Figure </w:t>
      </w:r>
      <w:r w:rsidR="00121BC1">
        <w:rPr>
          <w:noProof/>
        </w:rPr>
        <w:t>10</w:t>
      </w:r>
      <w:r>
        <w:fldChar w:fldCharType="end"/>
      </w:r>
      <w:r>
        <w:t xml:space="preserve">). </w:t>
      </w:r>
      <w:r w:rsidR="0083531C">
        <w:t xml:space="preserve">Only 26 per cent of batches tested were found to be negative for WSSV. </w:t>
      </w:r>
      <w:r>
        <w:t>The requirement to run the tests out to 45 cycles accounted for only 2.6 per cent of total batches (or 3.5 per cent of positive batches) being classified as positive. A further 71 per cent of batches had lower C</w:t>
      </w:r>
      <w:r>
        <w:rPr>
          <w:vertAlign w:val="subscript"/>
        </w:rPr>
        <w:t>t</w:t>
      </w:r>
      <w:r>
        <w:t xml:space="preserve"> values, indicating stronger viral loads.</w:t>
      </w:r>
    </w:p>
    <w:p w14:paraId="1CF464A3" w14:textId="5DCCC12A" w:rsidR="00B533E9" w:rsidRDefault="00B533E9">
      <w:pPr>
        <w:spacing w:after="0"/>
      </w:pPr>
      <w:r w:rsidRPr="00B533E9">
        <w:rPr>
          <w:lang w:val="x-none"/>
        </w:rPr>
        <w:t xml:space="preserve">The high rate of </w:t>
      </w:r>
      <w:r w:rsidRPr="00B533E9">
        <w:t>positive</w:t>
      </w:r>
      <w:r w:rsidRPr="00B533E9">
        <w:rPr>
          <w:lang w:val="x-none"/>
        </w:rPr>
        <w:t xml:space="preserve"> detections when samples were tested at AAHL led to some importers being concerned that the testing applied by AAHL might be over-sensitive and detect contamination rather than true WSSV infection. However, </w:t>
      </w:r>
      <w:r w:rsidRPr="00B533E9">
        <w:t>most samples found positive by AAHL were at levels that would also have been classified as ‘positive’ by the government screening laboratory.</w:t>
      </w:r>
    </w:p>
    <w:p w14:paraId="18A9B5FB" w14:textId="41B71ED9" w:rsidR="00750E24" w:rsidRDefault="00750E24" w:rsidP="00750E24">
      <w:pPr>
        <w:pStyle w:val="Caption"/>
      </w:pPr>
      <w:bookmarkStart w:id="223" w:name="_Ref499323778"/>
      <w:bookmarkStart w:id="224" w:name="_Toc500508491"/>
      <w:r>
        <w:t xml:space="preserve">Table </w:t>
      </w:r>
      <w:r w:rsidR="00F329C0">
        <w:fldChar w:fldCharType="begin"/>
      </w:r>
      <w:r w:rsidR="00F329C0">
        <w:instrText xml:space="preserve"> SEQ Table \* ARABIC </w:instrText>
      </w:r>
      <w:r w:rsidR="00F329C0">
        <w:fldChar w:fldCharType="separate"/>
      </w:r>
      <w:r w:rsidR="00121BC1">
        <w:rPr>
          <w:noProof/>
        </w:rPr>
        <w:t>14</w:t>
      </w:r>
      <w:r w:rsidR="00F329C0">
        <w:rPr>
          <w:noProof/>
        </w:rPr>
        <w:fldChar w:fldCharType="end"/>
      </w:r>
      <w:bookmarkEnd w:id="223"/>
      <w:r w:rsidRPr="00750E24">
        <w:t xml:space="preserve"> </w:t>
      </w:r>
      <w:r>
        <w:t>Strength of WSSV-positive results, AAHL testing of post-border prawn batches</w:t>
      </w:r>
      <w:bookmarkEnd w:id="224"/>
      <w: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415"/>
        <w:gridCol w:w="1415"/>
      </w:tblGrid>
      <w:tr w:rsidR="002D3963" w14:paraId="6170A734" w14:textId="77777777" w:rsidTr="00711CA0">
        <w:tc>
          <w:tcPr>
            <w:tcW w:w="2127" w:type="dxa"/>
            <w:vMerge w:val="restart"/>
          </w:tcPr>
          <w:p w14:paraId="20098DE2" w14:textId="013AA12D" w:rsidR="002D3963" w:rsidRDefault="002D3963" w:rsidP="00F872F0">
            <w:pPr>
              <w:pStyle w:val="TableHeading0"/>
              <w:rPr>
                <w:rFonts w:asciiTheme="minorHAnsi" w:hAnsiTheme="minorHAnsi"/>
              </w:rPr>
            </w:pPr>
            <w:r>
              <w:rPr>
                <w:rFonts w:asciiTheme="minorHAnsi" w:hAnsiTheme="minorHAnsi"/>
              </w:rPr>
              <w:t>Range of C</w:t>
            </w:r>
            <w:r>
              <w:rPr>
                <w:vertAlign w:val="subscript"/>
              </w:rPr>
              <w:t>t</w:t>
            </w:r>
            <w:r>
              <w:rPr>
                <w:rFonts w:asciiTheme="minorHAnsi" w:hAnsiTheme="minorHAnsi"/>
              </w:rPr>
              <w:t xml:space="preserve"> values</w:t>
            </w:r>
          </w:p>
        </w:tc>
        <w:tc>
          <w:tcPr>
            <w:tcW w:w="2830" w:type="dxa"/>
            <w:gridSpan w:val="2"/>
          </w:tcPr>
          <w:p w14:paraId="4CFB5820" w14:textId="26601A8F" w:rsidR="002D3963" w:rsidRDefault="002D3963" w:rsidP="00711CA0">
            <w:pPr>
              <w:pStyle w:val="TableHeading0"/>
              <w:jc w:val="center"/>
              <w:rPr>
                <w:rFonts w:asciiTheme="minorHAnsi" w:hAnsiTheme="minorHAnsi"/>
              </w:rPr>
            </w:pPr>
            <w:r>
              <w:rPr>
                <w:rFonts w:asciiTheme="minorHAnsi" w:hAnsiTheme="minorHAnsi"/>
              </w:rPr>
              <w:t>Batches</w:t>
            </w:r>
          </w:p>
        </w:tc>
      </w:tr>
      <w:tr w:rsidR="002D3963" w14:paraId="04F460F4" w14:textId="77777777" w:rsidTr="00711CA0">
        <w:tc>
          <w:tcPr>
            <w:tcW w:w="2127" w:type="dxa"/>
            <w:vMerge/>
          </w:tcPr>
          <w:p w14:paraId="1C3C6FB8" w14:textId="531FACF2" w:rsidR="002D3963" w:rsidRDefault="002D3963">
            <w:pPr>
              <w:pStyle w:val="TableHeading0"/>
              <w:rPr>
                <w:rFonts w:asciiTheme="minorHAnsi" w:hAnsiTheme="minorHAnsi"/>
              </w:rPr>
            </w:pPr>
          </w:p>
        </w:tc>
        <w:tc>
          <w:tcPr>
            <w:tcW w:w="1415" w:type="dxa"/>
          </w:tcPr>
          <w:p w14:paraId="5596A3CF" w14:textId="25961E6D" w:rsidR="002D3963" w:rsidRDefault="002D3963" w:rsidP="002D3963">
            <w:pPr>
              <w:pStyle w:val="TableHeading0"/>
              <w:jc w:val="right"/>
              <w:rPr>
                <w:rFonts w:asciiTheme="minorHAnsi" w:hAnsiTheme="minorHAnsi"/>
              </w:rPr>
            </w:pPr>
            <w:r>
              <w:rPr>
                <w:rFonts w:asciiTheme="minorHAnsi" w:hAnsiTheme="minorHAnsi"/>
              </w:rPr>
              <w:t>No.</w:t>
            </w:r>
          </w:p>
        </w:tc>
        <w:tc>
          <w:tcPr>
            <w:tcW w:w="1415" w:type="dxa"/>
          </w:tcPr>
          <w:p w14:paraId="0F171E5C" w14:textId="003CD7D1" w:rsidR="002D3963" w:rsidRDefault="002D3963" w:rsidP="00CC1F88">
            <w:pPr>
              <w:pStyle w:val="TableHeading0"/>
              <w:jc w:val="right"/>
              <w:rPr>
                <w:rFonts w:asciiTheme="minorHAnsi" w:hAnsiTheme="minorHAnsi"/>
              </w:rPr>
            </w:pPr>
            <w:r>
              <w:rPr>
                <w:rFonts w:asciiTheme="minorHAnsi" w:hAnsiTheme="minorHAnsi"/>
              </w:rPr>
              <w:t>%</w:t>
            </w:r>
          </w:p>
        </w:tc>
      </w:tr>
      <w:tr w:rsidR="00CC703E" w14:paraId="330DB6E1" w14:textId="77777777" w:rsidTr="00711CA0">
        <w:tc>
          <w:tcPr>
            <w:tcW w:w="2127" w:type="dxa"/>
          </w:tcPr>
          <w:p w14:paraId="2E382697" w14:textId="04D06953" w:rsidR="00CC703E" w:rsidRDefault="00E37FDB">
            <w:pPr>
              <w:pStyle w:val="TableText0"/>
              <w:rPr>
                <w:rFonts w:asciiTheme="minorHAnsi" w:hAnsiTheme="minorHAnsi"/>
              </w:rPr>
            </w:pPr>
            <w:r>
              <w:rPr>
                <w:rFonts w:asciiTheme="minorHAnsi" w:hAnsiTheme="minorHAnsi"/>
              </w:rPr>
              <w:t>Negative</w:t>
            </w:r>
            <w:r w:rsidR="00C961FD">
              <w:rPr>
                <w:rFonts w:asciiTheme="minorHAnsi" w:hAnsiTheme="minorHAnsi"/>
              </w:rPr>
              <w:t xml:space="preserve"> (more than </w:t>
            </w:r>
            <w:r w:rsidR="009D5857">
              <w:rPr>
                <w:rFonts w:asciiTheme="minorHAnsi" w:hAnsiTheme="minorHAnsi"/>
              </w:rPr>
              <w:t>45)</w:t>
            </w:r>
          </w:p>
        </w:tc>
        <w:tc>
          <w:tcPr>
            <w:tcW w:w="1415" w:type="dxa"/>
          </w:tcPr>
          <w:p w14:paraId="3B2D404E" w14:textId="77777777" w:rsidR="00CC703E" w:rsidRDefault="00E37FDB" w:rsidP="00766BC7">
            <w:pPr>
              <w:pStyle w:val="TableText0"/>
              <w:jc w:val="right"/>
              <w:rPr>
                <w:rFonts w:asciiTheme="minorHAnsi" w:hAnsiTheme="minorHAnsi"/>
              </w:rPr>
            </w:pPr>
            <w:r>
              <w:rPr>
                <w:rFonts w:asciiTheme="minorHAnsi" w:hAnsiTheme="minorHAnsi"/>
              </w:rPr>
              <w:t>196</w:t>
            </w:r>
          </w:p>
        </w:tc>
        <w:tc>
          <w:tcPr>
            <w:tcW w:w="1415" w:type="dxa"/>
          </w:tcPr>
          <w:p w14:paraId="5208B4D2" w14:textId="77777777" w:rsidR="00CC703E" w:rsidRDefault="00E37FDB" w:rsidP="00766BC7">
            <w:pPr>
              <w:pStyle w:val="TableText0"/>
              <w:jc w:val="right"/>
              <w:rPr>
                <w:rFonts w:asciiTheme="minorHAnsi" w:hAnsiTheme="minorHAnsi"/>
              </w:rPr>
            </w:pPr>
            <w:r>
              <w:rPr>
                <w:rFonts w:asciiTheme="minorHAnsi" w:hAnsiTheme="minorHAnsi"/>
              </w:rPr>
              <w:t>26.4</w:t>
            </w:r>
          </w:p>
        </w:tc>
      </w:tr>
      <w:tr w:rsidR="00CC703E" w14:paraId="01B5B055" w14:textId="77777777" w:rsidTr="00711CA0">
        <w:tc>
          <w:tcPr>
            <w:tcW w:w="2127" w:type="dxa"/>
          </w:tcPr>
          <w:p w14:paraId="302DA05E" w14:textId="77777777" w:rsidR="00CC703E" w:rsidRDefault="00E37FDB">
            <w:pPr>
              <w:pStyle w:val="TableText0"/>
              <w:rPr>
                <w:rFonts w:asciiTheme="minorHAnsi" w:hAnsiTheme="minorHAnsi"/>
              </w:rPr>
            </w:pPr>
            <w:r>
              <w:rPr>
                <w:rFonts w:asciiTheme="minorHAnsi" w:hAnsiTheme="minorHAnsi"/>
              </w:rPr>
              <w:t>40 to 45</w:t>
            </w:r>
          </w:p>
        </w:tc>
        <w:tc>
          <w:tcPr>
            <w:tcW w:w="1415" w:type="dxa"/>
          </w:tcPr>
          <w:p w14:paraId="616E0CB0" w14:textId="77777777" w:rsidR="00CC703E" w:rsidRDefault="00E37FDB" w:rsidP="00766BC7">
            <w:pPr>
              <w:pStyle w:val="TableText0"/>
              <w:jc w:val="right"/>
              <w:rPr>
                <w:rFonts w:asciiTheme="minorHAnsi" w:hAnsiTheme="minorHAnsi"/>
              </w:rPr>
            </w:pPr>
            <w:r>
              <w:rPr>
                <w:rFonts w:asciiTheme="minorHAnsi" w:hAnsiTheme="minorHAnsi"/>
              </w:rPr>
              <w:t>19</w:t>
            </w:r>
          </w:p>
        </w:tc>
        <w:tc>
          <w:tcPr>
            <w:tcW w:w="1415" w:type="dxa"/>
          </w:tcPr>
          <w:p w14:paraId="55E9B445" w14:textId="77777777" w:rsidR="00CC703E" w:rsidRDefault="00E37FDB" w:rsidP="00766BC7">
            <w:pPr>
              <w:pStyle w:val="TableText0"/>
              <w:jc w:val="right"/>
              <w:rPr>
                <w:rFonts w:asciiTheme="minorHAnsi" w:hAnsiTheme="minorHAnsi"/>
              </w:rPr>
            </w:pPr>
            <w:r>
              <w:rPr>
                <w:rFonts w:asciiTheme="minorHAnsi" w:hAnsiTheme="minorHAnsi"/>
              </w:rPr>
              <w:t>2.6</w:t>
            </w:r>
          </w:p>
        </w:tc>
      </w:tr>
      <w:tr w:rsidR="00CC703E" w14:paraId="62E29974" w14:textId="77777777" w:rsidTr="00711CA0">
        <w:tc>
          <w:tcPr>
            <w:tcW w:w="2127" w:type="dxa"/>
          </w:tcPr>
          <w:p w14:paraId="323A6A9F" w14:textId="77777777" w:rsidR="00CC703E" w:rsidRDefault="00E37FDB">
            <w:pPr>
              <w:pStyle w:val="TableText0"/>
              <w:rPr>
                <w:rFonts w:asciiTheme="minorHAnsi" w:hAnsiTheme="minorHAnsi"/>
              </w:rPr>
            </w:pPr>
            <w:r>
              <w:rPr>
                <w:rFonts w:asciiTheme="minorHAnsi" w:hAnsiTheme="minorHAnsi"/>
              </w:rPr>
              <w:t>36 to less than 40</w:t>
            </w:r>
          </w:p>
        </w:tc>
        <w:tc>
          <w:tcPr>
            <w:tcW w:w="1415" w:type="dxa"/>
          </w:tcPr>
          <w:p w14:paraId="06192305" w14:textId="77777777" w:rsidR="00CC703E" w:rsidRDefault="00E37FDB" w:rsidP="00766BC7">
            <w:pPr>
              <w:pStyle w:val="TableText0"/>
              <w:jc w:val="right"/>
              <w:rPr>
                <w:rFonts w:asciiTheme="minorHAnsi" w:hAnsiTheme="minorHAnsi"/>
              </w:rPr>
            </w:pPr>
            <w:r>
              <w:rPr>
                <w:rFonts w:asciiTheme="minorHAnsi" w:hAnsiTheme="minorHAnsi"/>
              </w:rPr>
              <w:t>77</w:t>
            </w:r>
          </w:p>
        </w:tc>
        <w:tc>
          <w:tcPr>
            <w:tcW w:w="1415" w:type="dxa"/>
          </w:tcPr>
          <w:p w14:paraId="0D61255A" w14:textId="77777777" w:rsidR="00CC703E" w:rsidRDefault="00E37FDB" w:rsidP="00766BC7">
            <w:pPr>
              <w:pStyle w:val="TableText0"/>
              <w:jc w:val="right"/>
              <w:rPr>
                <w:rFonts w:asciiTheme="minorHAnsi" w:hAnsiTheme="minorHAnsi"/>
              </w:rPr>
            </w:pPr>
            <w:r>
              <w:rPr>
                <w:rFonts w:asciiTheme="minorHAnsi" w:hAnsiTheme="minorHAnsi"/>
              </w:rPr>
              <w:t>10.4</w:t>
            </w:r>
          </w:p>
        </w:tc>
      </w:tr>
      <w:tr w:rsidR="00CC703E" w14:paraId="3AFBF09D" w14:textId="77777777" w:rsidTr="00711CA0">
        <w:tc>
          <w:tcPr>
            <w:tcW w:w="2127" w:type="dxa"/>
          </w:tcPr>
          <w:p w14:paraId="2A25D3FA" w14:textId="77777777" w:rsidR="00CC703E" w:rsidRDefault="00E37FDB">
            <w:pPr>
              <w:pStyle w:val="TableText0"/>
              <w:rPr>
                <w:rFonts w:asciiTheme="minorHAnsi" w:hAnsiTheme="minorHAnsi"/>
              </w:rPr>
            </w:pPr>
            <w:r>
              <w:rPr>
                <w:rFonts w:asciiTheme="minorHAnsi" w:hAnsiTheme="minorHAnsi"/>
              </w:rPr>
              <w:t>Less than 36</w:t>
            </w:r>
          </w:p>
        </w:tc>
        <w:tc>
          <w:tcPr>
            <w:tcW w:w="1415" w:type="dxa"/>
          </w:tcPr>
          <w:p w14:paraId="0841F9B0" w14:textId="77777777" w:rsidR="00CC703E" w:rsidRDefault="00E37FDB" w:rsidP="00766BC7">
            <w:pPr>
              <w:pStyle w:val="TableText0"/>
              <w:jc w:val="right"/>
              <w:rPr>
                <w:rFonts w:asciiTheme="minorHAnsi" w:hAnsiTheme="minorHAnsi"/>
              </w:rPr>
            </w:pPr>
            <w:r>
              <w:rPr>
                <w:rFonts w:asciiTheme="minorHAnsi" w:hAnsiTheme="minorHAnsi"/>
              </w:rPr>
              <w:t>450</w:t>
            </w:r>
          </w:p>
        </w:tc>
        <w:tc>
          <w:tcPr>
            <w:tcW w:w="1415" w:type="dxa"/>
          </w:tcPr>
          <w:p w14:paraId="66147C93" w14:textId="77777777" w:rsidR="00CC703E" w:rsidRDefault="00E37FDB" w:rsidP="00766BC7">
            <w:pPr>
              <w:pStyle w:val="TableText0"/>
              <w:jc w:val="right"/>
              <w:rPr>
                <w:rFonts w:asciiTheme="minorHAnsi" w:hAnsiTheme="minorHAnsi"/>
              </w:rPr>
            </w:pPr>
            <w:r>
              <w:rPr>
                <w:rFonts w:asciiTheme="minorHAnsi" w:hAnsiTheme="minorHAnsi"/>
              </w:rPr>
              <w:t>60.6</w:t>
            </w:r>
          </w:p>
        </w:tc>
      </w:tr>
      <w:tr w:rsidR="00CC703E" w14:paraId="65808BA9" w14:textId="77777777" w:rsidTr="00711CA0">
        <w:tc>
          <w:tcPr>
            <w:tcW w:w="2127" w:type="dxa"/>
          </w:tcPr>
          <w:p w14:paraId="6E4A8F60" w14:textId="77777777" w:rsidR="00CC703E" w:rsidRPr="00766BC7" w:rsidRDefault="00E37FDB" w:rsidP="00766BC7">
            <w:pPr>
              <w:pStyle w:val="Tabletext"/>
              <w:rPr>
                <w:rStyle w:val="Strong"/>
              </w:rPr>
            </w:pPr>
            <w:r w:rsidRPr="00766BC7">
              <w:rPr>
                <w:rStyle w:val="Strong"/>
              </w:rPr>
              <w:t>Total</w:t>
            </w:r>
          </w:p>
        </w:tc>
        <w:tc>
          <w:tcPr>
            <w:tcW w:w="1415" w:type="dxa"/>
          </w:tcPr>
          <w:p w14:paraId="3D6B35A2" w14:textId="77777777" w:rsidR="00CC703E" w:rsidRPr="00766BC7" w:rsidRDefault="00E37FDB" w:rsidP="00766BC7">
            <w:pPr>
              <w:pStyle w:val="Tabletext"/>
              <w:jc w:val="right"/>
              <w:rPr>
                <w:rStyle w:val="Strong"/>
              </w:rPr>
            </w:pPr>
            <w:r w:rsidRPr="00766BC7">
              <w:rPr>
                <w:rStyle w:val="Strong"/>
              </w:rPr>
              <w:t>742</w:t>
            </w:r>
          </w:p>
        </w:tc>
        <w:tc>
          <w:tcPr>
            <w:tcW w:w="1415" w:type="dxa"/>
          </w:tcPr>
          <w:p w14:paraId="54F56716" w14:textId="77777777" w:rsidR="00CC703E" w:rsidRPr="00766BC7" w:rsidRDefault="00E37FDB" w:rsidP="00766BC7">
            <w:pPr>
              <w:pStyle w:val="Tabletext"/>
              <w:jc w:val="right"/>
              <w:rPr>
                <w:rStyle w:val="Strong"/>
              </w:rPr>
            </w:pPr>
            <w:r w:rsidRPr="00766BC7">
              <w:rPr>
                <w:rStyle w:val="Strong"/>
              </w:rPr>
              <w:t>100</w:t>
            </w:r>
          </w:p>
        </w:tc>
      </w:tr>
    </w:tbl>
    <w:p w14:paraId="71A3FAA7" w14:textId="77777777" w:rsidR="00CC703E" w:rsidRDefault="00E37FDB">
      <w:pPr>
        <w:pStyle w:val="FigureTableNoteSource"/>
      </w:pPr>
      <w:r>
        <w:t>Source: Australian Animal Health Laboratory</w:t>
      </w:r>
    </w:p>
    <w:p w14:paraId="3AD3D9C5" w14:textId="3F7DC1B8" w:rsidR="00CC703E" w:rsidRDefault="00E37FDB">
      <w:pPr>
        <w:pStyle w:val="Caption"/>
      </w:pPr>
      <w:bookmarkStart w:id="225" w:name="_Ref495173317"/>
      <w:bookmarkStart w:id="226" w:name="_Toc498766347"/>
      <w:bookmarkStart w:id="227" w:name="_Toc500508470"/>
      <w:r>
        <w:t xml:space="preserve">Figure </w:t>
      </w:r>
      <w:r w:rsidR="00F329C0">
        <w:fldChar w:fldCharType="begin"/>
      </w:r>
      <w:r w:rsidR="00F329C0">
        <w:instrText xml:space="preserve"> SEQ Figure \* ARABIC </w:instrText>
      </w:r>
      <w:r w:rsidR="00F329C0">
        <w:fldChar w:fldCharType="separate"/>
      </w:r>
      <w:r w:rsidR="00121BC1">
        <w:rPr>
          <w:noProof/>
        </w:rPr>
        <w:t>10</w:t>
      </w:r>
      <w:r w:rsidR="00F329C0">
        <w:rPr>
          <w:noProof/>
        </w:rPr>
        <w:fldChar w:fldCharType="end"/>
      </w:r>
      <w:bookmarkEnd w:id="225"/>
      <w:r>
        <w:t xml:space="preserve"> Range of C</w:t>
      </w:r>
      <w:r>
        <w:rPr>
          <w:vertAlign w:val="subscript"/>
        </w:rPr>
        <w:t>t</w:t>
      </w:r>
      <w:r>
        <w:t xml:space="preserve"> values in WSSV-positive </w:t>
      </w:r>
      <w:r w:rsidR="000F0AC1">
        <w:t xml:space="preserve">post-border </w:t>
      </w:r>
      <w:r>
        <w:t>prawn batches</w:t>
      </w:r>
      <w:r w:rsidR="000F0AC1">
        <w:t xml:space="preserve"> found by</w:t>
      </w:r>
      <w:r w:rsidR="007F5A4D">
        <w:t xml:space="preserve"> AAHL</w:t>
      </w:r>
      <w:bookmarkEnd w:id="226"/>
      <w:bookmarkEnd w:id="227"/>
    </w:p>
    <w:p w14:paraId="6C563334" w14:textId="77777777" w:rsidR="00CC703E" w:rsidRDefault="00E37FDB">
      <w:pPr>
        <w:pStyle w:val="FigureTableNoteSource"/>
      </w:pPr>
      <w:r>
        <w:rPr>
          <w:noProof/>
          <w:lang w:eastAsia="en-AU"/>
        </w:rPr>
        <w:drawing>
          <wp:inline distT="0" distB="0" distL="0" distR="0" wp14:anchorId="43FB85E1" wp14:editId="5FA85DF6">
            <wp:extent cx="4132376" cy="2520000"/>
            <wp:effectExtent l="0" t="0" r="1905"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11-01.jpg"/>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4132376" cy="2520000"/>
                    </a:xfrm>
                    <a:prstGeom prst="rect">
                      <a:avLst/>
                    </a:prstGeom>
                    <a:ln>
                      <a:noFill/>
                    </a:ln>
                    <a:extLst>
                      <a:ext uri="{53640926-AAD7-44D8-BBD7-CCE9431645EC}">
                        <a14:shadowObscured xmlns:a14="http://schemas.microsoft.com/office/drawing/2010/main"/>
                      </a:ext>
                    </a:extLst>
                  </pic:spPr>
                </pic:pic>
              </a:graphicData>
            </a:graphic>
          </wp:inline>
        </w:drawing>
      </w:r>
    </w:p>
    <w:p w14:paraId="41F74D86" w14:textId="77777777" w:rsidR="00CC703E" w:rsidRDefault="00E37FDB">
      <w:pPr>
        <w:pStyle w:val="FigureTableNoteSource"/>
      </w:pPr>
      <w:r>
        <w:t>Source: Australian Animal Health Laboratory</w:t>
      </w:r>
    </w:p>
    <w:p w14:paraId="4765DC6E" w14:textId="77777777" w:rsidR="00CC703E" w:rsidRPr="00DA6735" w:rsidRDefault="00E37FDB" w:rsidP="00DA6735">
      <w:pPr>
        <w:pStyle w:val="Heading3"/>
        <w:rPr>
          <w:rStyle w:val="Heading3Char"/>
          <w:rFonts w:eastAsia="Calibri"/>
          <w:b/>
          <w:bCs/>
        </w:rPr>
      </w:pPr>
      <w:bookmarkStart w:id="228" w:name="_Toc500508420"/>
      <w:r w:rsidRPr="00DA6735">
        <w:rPr>
          <w:rStyle w:val="Heading3Char"/>
          <w:rFonts w:eastAsia="Calibri"/>
          <w:b/>
          <w:bCs/>
        </w:rPr>
        <w:lastRenderedPageBreak/>
        <w:t>Variations to uncooked prawn import suspension order, January to June 2017</w:t>
      </w:r>
      <w:bookmarkEnd w:id="228"/>
    </w:p>
    <w:p w14:paraId="1DAA4C48" w14:textId="7DD42345" w:rsidR="00FF4137" w:rsidRDefault="00E37FDB" w:rsidP="00CF019C">
      <w:pPr>
        <w:spacing w:after="0"/>
      </w:pPr>
      <w:r>
        <w:t>From January to June 2017 various categories of uncooked prawns were exempted from the suspension order based on importer representations and individual risk assessments by the department (</w:t>
      </w:r>
      <w:r w:rsidR="00037B0D">
        <w:fldChar w:fldCharType="begin"/>
      </w:r>
      <w:r w:rsidR="00037B0D">
        <w:instrText xml:space="preserve"> REF _Ref499323828 \h </w:instrText>
      </w:r>
      <w:r w:rsidR="00037B0D">
        <w:fldChar w:fldCharType="separate"/>
      </w:r>
      <w:r w:rsidR="00121BC1">
        <w:t xml:space="preserve">Table </w:t>
      </w:r>
      <w:r w:rsidR="00121BC1">
        <w:rPr>
          <w:noProof/>
        </w:rPr>
        <w:t>15</w:t>
      </w:r>
      <w:r w:rsidR="00037B0D">
        <w:fldChar w:fldCharType="end"/>
      </w:r>
      <w:r>
        <w:t>).</w:t>
      </w:r>
      <w:bookmarkStart w:id="229" w:name="_Ref495318672"/>
    </w:p>
    <w:p w14:paraId="12AC106B" w14:textId="6DFE8347" w:rsidR="00750E24" w:rsidRPr="00092D7B" w:rsidRDefault="00750E24" w:rsidP="00750E24">
      <w:pPr>
        <w:pStyle w:val="Caption"/>
      </w:pPr>
      <w:bookmarkStart w:id="230" w:name="_Ref499323828"/>
      <w:bookmarkStart w:id="231" w:name="_Toc500508492"/>
      <w:bookmarkEnd w:id="229"/>
      <w:r>
        <w:t xml:space="preserve">Table </w:t>
      </w:r>
      <w:r w:rsidR="00F329C0">
        <w:fldChar w:fldCharType="begin"/>
      </w:r>
      <w:r w:rsidR="00F329C0">
        <w:instrText xml:space="preserve"> SEQ Table \* ARABIC </w:instrText>
      </w:r>
      <w:r w:rsidR="00F329C0">
        <w:fldChar w:fldCharType="separate"/>
      </w:r>
      <w:r w:rsidR="00121BC1">
        <w:rPr>
          <w:noProof/>
        </w:rPr>
        <w:t>15</w:t>
      </w:r>
      <w:r w:rsidR="00F329C0">
        <w:rPr>
          <w:noProof/>
        </w:rPr>
        <w:fldChar w:fldCharType="end"/>
      </w:r>
      <w:bookmarkEnd w:id="230"/>
      <w:r w:rsidRPr="00750E24">
        <w:t xml:space="preserve"> </w:t>
      </w:r>
      <w:r w:rsidRPr="006E4F32">
        <w:t>Changes to import conditions, 9 January to 7 July 2017</w:t>
      </w:r>
      <w:bookmarkEnd w:id="231"/>
    </w:p>
    <w:tbl>
      <w:tblPr>
        <w:tblW w:w="0" w:type="auto"/>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701"/>
        <w:gridCol w:w="3402"/>
        <w:gridCol w:w="3903"/>
      </w:tblGrid>
      <w:tr w:rsidR="00CC703E" w14:paraId="0CFF7D40" w14:textId="77777777" w:rsidTr="009C1BB3">
        <w:trPr>
          <w:cantSplit/>
          <w:tblHeader/>
        </w:trPr>
        <w:tc>
          <w:tcPr>
            <w:tcW w:w="1701" w:type="dxa"/>
            <w:tcMar>
              <w:top w:w="0" w:type="dxa"/>
              <w:left w:w="108" w:type="dxa"/>
              <w:bottom w:w="0" w:type="dxa"/>
              <w:right w:w="108" w:type="dxa"/>
            </w:tcMar>
            <w:hideMark/>
          </w:tcPr>
          <w:p w14:paraId="7E8B4B2F" w14:textId="77777777" w:rsidR="00CC703E" w:rsidRDefault="00E37FDB" w:rsidP="00766BC7">
            <w:pPr>
              <w:pStyle w:val="Tableheading"/>
            </w:pPr>
            <w:r>
              <w:t>Date</w:t>
            </w:r>
          </w:p>
        </w:tc>
        <w:tc>
          <w:tcPr>
            <w:tcW w:w="3402" w:type="dxa"/>
            <w:tcMar>
              <w:top w:w="0" w:type="dxa"/>
              <w:left w:w="108" w:type="dxa"/>
              <w:bottom w:w="0" w:type="dxa"/>
              <w:right w:w="108" w:type="dxa"/>
            </w:tcMar>
            <w:hideMark/>
          </w:tcPr>
          <w:p w14:paraId="40D052AB" w14:textId="77777777" w:rsidR="00CC703E" w:rsidRDefault="00E37FDB" w:rsidP="00766BC7">
            <w:pPr>
              <w:pStyle w:val="Tableheading"/>
            </w:pPr>
            <w:r>
              <w:t>Category of prawns</w:t>
            </w:r>
          </w:p>
        </w:tc>
        <w:tc>
          <w:tcPr>
            <w:tcW w:w="3903" w:type="dxa"/>
            <w:tcMar>
              <w:top w:w="0" w:type="dxa"/>
              <w:left w:w="108" w:type="dxa"/>
              <w:bottom w:w="0" w:type="dxa"/>
              <w:right w:w="108" w:type="dxa"/>
            </w:tcMar>
          </w:tcPr>
          <w:p w14:paraId="1300490F" w14:textId="77777777" w:rsidR="00CC703E" w:rsidRDefault="00E37FDB" w:rsidP="00766BC7">
            <w:pPr>
              <w:pStyle w:val="Tableheading"/>
            </w:pPr>
            <w:r>
              <w:t>New import conditions</w:t>
            </w:r>
          </w:p>
        </w:tc>
      </w:tr>
      <w:tr w:rsidR="00CC703E" w14:paraId="466295C6" w14:textId="77777777" w:rsidTr="009C1BB3">
        <w:tc>
          <w:tcPr>
            <w:tcW w:w="1701" w:type="dxa"/>
            <w:vMerge w:val="restart"/>
            <w:tcMar>
              <w:top w:w="0" w:type="dxa"/>
              <w:left w:w="108" w:type="dxa"/>
              <w:bottom w:w="0" w:type="dxa"/>
              <w:right w:w="108" w:type="dxa"/>
            </w:tcMar>
          </w:tcPr>
          <w:p w14:paraId="564E0D31" w14:textId="7F5A8870" w:rsidR="00CC703E" w:rsidRDefault="00E37FDB">
            <w:pPr>
              <w:spacing w:before="60" w:after="60"/>
              <w:rPr>
                <w:sz w:val="20"/>
                <w:szCs w:val="20"/>
              </w:rPr>
            </w:pPr>
            <w:r>
              <w:rPr>
                <w:sz w:val="20"/>
                <w:szCs w:val="20"/>
              </w:rPr>
              <w:t>9 January 2017</w:t>
            </w:r>
          </w:p>
        </w:tc>
        <w:tc>
          <w:tcPr>
            <w:tcW w:w="3402" w:type="dxa"/>
            <w:tcMar>
              <w:top w:w="0" w:type="dxa"/>
              <w:left w:w="108" w:type="dxa"/>
              <w:bottom w:w="0" w:type="dxa"/>
              <w:right w:w="108" w:type="dxa"/>
            </w:tcMar>
          </w:tcPr>
          <w:p w14:paraId="0B5CF9A1" w14:textId="4F31389B" w:rsidR="00CC703E" w:rsidRDefault="00E37FDB">
            <w:pPr>
              <w:tabs>
                <w:tab w:val="clear" w:pos="567"/>
              </w:tabs>
              <w:spacing w:before="60" w:after="60"/>
              <w:rPr>
                <w:sz w:val="20"/>
                <w:szCs w:val="20"/>
              </w:rPr>
            </w:pPr>
            <w:r>
              <w:rPr>
                <w:sz w:val="20"/>
                <w:szCs w:val="20"/>
              </w:rPr>
              <w:t>All uncooked prawns, uncooked prawn meat, uncooked marinated prawns and uncooked prawn meat</w:t>
            </w:r>
          </w:p>
        </w:tc>
        <w:tc>
          <w:tcPr>
            <w:tcW w:w="3903" w:type="dxa"/>
            <w:tcMar>
              <w:top w:w="0" w:type="dxa"/>
              <w:left w:w="108" w:type="dxa"/>
              <w:bottom w:w="0" w:type="dxa"/>
              <w:right w:w="108" w:type="dxa"/>
            </w:tcMar>
          </w:tcPr>
          <w:p w14:paraId="08E14D63" w14:textId="5F53247E" w:rsidR="00CC703E" w:rsidRDefault="00E37FDB" w:rsidP="00CF019C">
            <w:pPr>
              <w:spacing w:before="60" w:after="60"/>
              <w:rPr>
                <w:sz w:val="20"/>
                <w:szCs w:val="20"/>
              </w:rPr>
            </w:pPr>
            <w:r>
              <w:rPr>
                <w:sz w:val="20"/>
                <w:szCs w:val="20"/>
              </w:rPr>
              <w:t>Imports suspended</w:t>
            </w:r>
            <w:r w:rsidR="00B5034D">
              <w:rPr>
                <w:sz w:val="20"/>
                <w:szCs w:val="20"/>
              </w:rPr>
              <w:t xml:space="preserve"> after determination from 6</w:t>
            </w:r>
            <w:r w:rsidR="00CF019C" w:rsidRPr="00CF019C">
              <w:rPr>
                <w:sz w:val="20"/>
                <w:szCs w:val="20"/>
              </w:rPr>
              <w:t> </w:t>
            </w:r>
            <w:r w:rsidR="00B5034D">
              <w:rPr>
                <w:sz w:val="20"/>
                <w:szCs w:val="20"/>
              </w:rPr>
              <w:t>January</w:t>
            </w:r>
            <w:r w:rsidR="00C961FD">
              <w:rPr>
                <w:sz w:val="20"/>
                <w:szCs w:val="20"/>
              </w:rPr>
              <w:t xml:space="preserve"> 2017</w:t>
            </w:r>
          </w:p>
        </w:tc>
      </w:tr>
      <w:tr w:rsidR="00CC703E" w14:paraId="2F3CE139" w14:textId="77777777" w:rsidTr="009C1BB3">
        <w:tc>
          <w:tcPr>
            <w:tcW w:w="1701" w:type="dxa"/>
            <w:vMerge/>
            <w:tcMar>
              <w:top w:w="0" w:type="dxa"/>
              <w:left w:w="108" w:type="dxa"/>
              <w:bottom w:w="0" w:type="dxa"/>
              <w:right w:w="108" w:type="dxa"/>
            </w:tcMar>
          </w:tcPr>
          <w:p w14:paraId="4F18995B" w14:textId="77777777" w:rsidR="00CC703E" w:rsidRDefault="00CC703E">
            <w:pPr>
              <w:spacing w:before="60" w:after="60"/>
              <w:rPr>
                <w:sz w:val="20"/>
                <w:szCs w:val="20"/>
              </w:rPr>
            </w:pPr>
          </w:p>
        </w:tc>
        <w:tc>
          <w:tcPr>
            <w:tcW w:w="3402" w:type="dxa"/>
            <w:tcMar>
              <w:top w:w="0" w:type="dxa"/>
              <w:left w:w="108" w:type="dxa"/>
              <w:bottom w:w="0" w:type="dxa"/>
              <w:right w:w="108" w:type="dxa"/>
            </w:tcMar>
          </w:tcPr>
          <w:p w14:paraId="7DC01C62" w14:textId="21029E5F" w:rsidR="00CC703E" w:rsidRDefault="00E37FDB">
            <w:pPr>
              <w:spacing w:before="60" w:after="60"/>
              <w:rPr>
                <w:sz w:val="20"/>
                <w:szCs w:val="20"/>
              </w:rPr>
            </w:pPr>
            <w:r>
              <w:rPr>
                <w:sz w:val="20"/>
                <w:szCs w:val="20"/>
              </w:rPr>
              <w:t>Prawns in transit on or before 8 January 2017 or arrived but not yet released from biosecurity control</w:t>
            </w:r>
          </w:p>
        </w:tc>
        <w:tc>
          <w:tcPr>
            <w:tcW w:w="3903" w:type="dxa"/>
            <w:tcMar>
              <w:top w:w="0" w:type="dxa"/>
              <w:left w:w="108" w:type="dxa"/>
              <w:bottom w:w="0" w:type="dxa"/>
              <w:right w:w="108" w:type="dxa"/>
            </w:tcMar>
          </w:tcPr>
          <w:p w14:paraId="4E0DE41F" w14:textId="22A55D77" w:rsidR="00CC703E" w:rsidRDefault="00E37FDB">
            <w:pPr>
              <w:tabs>
                <w:tab w:val="clear" w:pos="567"/>
              </w:tabs>
              <w:spacing w:before="60" w:after="60"/>
              <w:rPr>
                <w:sz w:val="20"/>
                <w:szCs w:val="20"/>
              </w:rPr>
            </w:pPr>
            <w:r>
              <w:rPr>
                <w:sz w:val="20"/>
                <w:szCs w:val="20"/>
              </w:rPr>
              <w:t xml:space="preserve">Seals-intact direction, 100% inspection of consignment and sampling inspection and testing of all consignments. Importers </w:t>
            </w:r>
            <w:r w:rsidR="00FF4137">
              <w:rPr>
                <w:sz w:val="20"/>
                <w:szCs w:val="20"/>
              </w:rPr>
              <w:t>could</w:t>
            </w:r>
            <w:r>
              <w:rPr>
                <w:sz w:val="20"/>
                <w:szCs w:val="20"/>
              </w:rPr>
              <w:t xml:space="preserve"> export goods if they did not w</w:t>
            </w:r>
            <w:r w:rsidR="00FF4137">
              <w:rPr>
                <w:sz w:val="20"/>
                <w:szCs w:val="20"/>
              </w:rPr>
              <w:t>ant</w:t>
            </w:r>
            <w:r>
              <w:rPr>
                <w:sz w:val="20"/>
                <w:szCs w:val="20"/>
              </w:rPr>
              <w:t xml:space="preserve"> them inspected.</w:t>
            </w:r>
          </w:p>
          <w:p w14:paraId="05F5514E" w14:textId="0BF3E43D" w:rsidR="00CC703E" w:rsidRDefault="00E37FDB">
            <w:pPr>
              <w:tabs>
                <w:tab w:val="clear" w:pos="567"/>
              </w:tabs>
              <w:spacing w:before="60" w:after="60"/>
              <w:rPr>
                <w:sz w:val="20"/>
                <w:szCs w:val="20"/>
              </w:rPr>
            </w:pPr>
            <w:r>
              <w:rPr>
                <w:sz w:val="20"/>
                <w:szCs w:val="20"/>
              </w:rPr>
              <w:t>Interference with goods prior to inspection by a biosecurity officer would result in a direction to export being issued and possible prosecution.</w:t>
            </w:r>
          </w:p>
        </w:tc>
      </w:tr>
      <w:tr w:rsidR="00CC703E" w14:paraId="5696B652" w14:textId="77777777" w:rsidTr="009C1BB3">
        <w:trPr>
          <w:trHeight w:val="752"/>
        </w:trPr>
        <w:tc>
          <w:tcPr>
            <w:tcW w:w="1701" w:type="dxa"/>
            <w:vMerge/>
            <w:tcMar>
              <w:top w:w="0" w:type="dxa"/>
              <w:left w:w="108" w:type="dxa"/>
              <w:bottom w:w="0" w:type="dxa"/>
              <w:right w:w="108" w:type="dxa"/>
            </w:tcMar>
          </w:tcPr>
          <w:p w14:paraId="4D9910E9" w14:textId="77777777" w:rsidR="00CC703E" w:rsidRDefault="00CC703E">
            <w:pPr>
              <w:spacing w:before="60" w:after="60"/>
              <w:rPr>
                <w:sz w:val="20"/>
                <w:szCs w:val="20"/>
              </w:rPr>
            </w:pPr>
          </w:p>
        </w:tc>
        <w:tc>
          <w:tcPr>
            <w:tcW w:w="3402" w:type="dxa"/>
            <w:tcMar>
              <w:top w:w="0" w:type="dxa"/>
              <w:left w:w="108" w:type="dxa"/>
              <w:bottom w:w="0" w:type="dxa"/>
              <w:right w:w="108" w:type="dxa"/>
            </w:tcMar>
            <w:hideMark/>
          </w:tcPr>
          <w:p w14:paraId="042AA63F" w14:textId="77777777" w:rsidR="00CC703E" w:rsidRDefault="00E37FDB">
            <w:pPr>
              <w:tabs>
                <w:tab w:val="clear" w:pos="567"/>
              </w:tabs>
              <w:spacing w:before="60" w:after="60"/>
              <w:rPr>
                <w:sz w:val="20"/>
                <w:szCs w:val="20"/>
              </w:rPr>
            </w:pPr>
            <w:r>
              <w:rPr>
                <w:sz w:val="20"/>
                <w:szCs w:val="20"/>
              </w:rPr>
              <w:t>Uncooked prawns and uncooked prawn meat from New Caledonia</w:t>
            </w:r>
          </w:p>
        </w:tc>
        <w:tc>
          <w:tcPr>
            <w:tcW w:w="3903" w:type="dxa"/>
            <w:tcMar>
              <w:top w:w="0" w:type="dxa"/>
              <w:left w:w="108" w:type="dxa"/>
              <w:bottom w:w="0" w:type="dxa"/>
              <w:right w:w="108" w:type="dxa"/>
            </w:tcMar>
          </w:tcPr>
          <w:p w14:paraId="73386C11" w14:textId="3BFEB2D7" w:rsidR="00CC703E" w:rsidRDefault="00E37FDB">
            <w:pPr>
              <w:spacing w:before="60" w:after="60"/>
              <w:rPr>
                <w:sz w:val="20"/>
                <w:szCs w:val="20"/>
              </w:rPr>
            </w:pPr>
            <w:r>
              <w:rPr>
                <w:sz w:val="20"/>
                <w:szCs w:val="20"/>
              </w:rPr>
              <w:t>Exempted from suspension—continuation of previous import conditions</w:t>
            </w:r>
          </w:p>
        </w:tc>
      </w:tr>
      <w:tr w:rsidR="00CC703E" w14:paraId="19E08D1C" w14:textId="77777777" w:rsidTr="009C1BB3">
        <w:trPr>
          <w:trHeight w:val="1130"/>
        </w:trPr>
        <w:tc>
          <w:tcPr>
            <w:tcW w:w="1701" w:type="dxa"/>
            <w:vMerge/>
            <w:tcMar>
              <w:top w:w="0" w:type="dxa"/>
              <w:left w:w="108" w:type="dxa"/>
              <w:bottom w:w="0" w:type="dxa"/>
              <w:right w:w="108" w:type="dxa"/>
            </w:tcMar>
          </w:tcPr>
          <w:p w14:paraId="6EDD423A" w14:textId="77777777" w:rsidR="00CC703E" w:rsidRDefault="00CC703E">
            <w:pPr>
              <w:spacing w:before="60" w:after="60"/>
              <w:rPr>
                <w:sz w:val="20"/>
                <w:szCs w:val="20"/>
              </w:rPr>
            </w:pPr>
          </w:p>
        </w:tc>
        <w:tc>
          <w:tcPr>
            <w:tcW w:w="3402" w:type="dxa"/>
            <w:tcMar>
              <w:top w:w="0" w:type="dxa"/>
              <w:left w:w="108" w:type="dxa"/>
              <w:bottom w:w="0" w:type="dxa"/>
              <w:right w:w="108" w:type="dxa"/>
            </w:tcMar>
          </w:tcPr>
          <w:p w14:paraId="39428E20" w14:textId="5714A224" w:rsidR="00CC703E" w:rsidRDefault="00E37FDB">
            <w:pPr>
              <w:tabs>
                <w:tab w:val="clear" w:pos="567"/>
              </w:tabs>
              <w:spacing w:before="60" w:after="60"/>
              <w:rPr>
                <w:sz w:val="20"/>
                <w:szCs w:val="20"/>
              </w:rPr>
            </w:pPr>
            <w:r>
              <w:rPr>
                <w:sz w:val="20"/>
                <w:szCs w:val="20"/>
              </w:rPr>
              <w:t>Uncooked prawns and uncooked prawn meat processed into dumplings, spring rolls, samosas, rolls, dim</w:t>
            </w:r>
            <w:r w:rsidRPr="00766BC7">
              <w:rPr>
                <w:sz w:val="20"/>
                <w:szCs w:val="20"/>
              </w:rPr>
              <w:t xml:space="preserve"> </w:t>
            </w:r>
            <w:r>
              <w:rPr>
                <w:sz w:val="20"/>
                <w:szCs w:val="20"/>
              </w:rPr>
              <w:t>sums or similar products</w:t>
            </w:r>
          </w:p>
        </w:tc>
        <w:tc>
          <w:tcPr>
            <w:tcW w:w="3903" w:type="dxa"/>
            <w:tcMar>
              <w:top w:w="0" w:type="dxa"/>
              <w:left w:w="108" w:type="dxa"/>
              <w:bottom w:w="0" w:type="dxa"/>
              <w:right w:w="108" w:type="dxa"/>
            </w:tcMar>
          </w:tcPr>
          <w:p w14:paraId="4953408F" w14:textId="2010D2B1" w:rsidR="00CC703E" w:rsidRDefault="00E37FDB">
            <w:pPr>
              <w:spacing w:before="60" w:after="60"/>
              <w:rPr>
                <w:sz w:val="20"/>
                <w:szCs w:val="20"/>
              </w:rPr>
            </w:pPr>
            <w:r>
              <w:rPr>
                <w:sz w:val="20"/>
                <w:szCs w:val="20"/>
              </w:rPr>
              <w:t>Exempted from suspension—continuation of previous import conditions</w:t>
            </w:r>
          </w:p>
        </w:tc>
      </w:tr>
      <w:tr w:rsidR="00CC703E" w14:paraId="5F9A915E" w14:textId="77777777" w:rsidTr="009C1BB3">
        <w:trPr>
          <w:trHeight w:val="1253"/>
        </w:trPr>
        <w:tc>
          <w:tcPr>
            <w:tcW w:w="1701" w:type="dxa"/>
            <w:vMerge/>
            <w:tcMar>
              <w:top w:w="0" w:type="dxa"/>
              <w:left w:w="108" w:type="dxa"/>
              <w:bottom w:w="0" w:type="dxa"/>
              <w:right w:w="108" w:type="dxa"/>
            </w:tcMar>
          </w:tcPr>
          <w:p w14:paraId="569238DF" w14:textId="77777777" w:rsidR="00CC703E" w:rsidRDefault="00CC703E">
            <w:pPr>
              <w:spacing w:before="60" w:after="60"/>
              <w:rPr>
                <w:sz w:val="20"/>
                <w:szCs w:val="20"/>
              </w:rPr>
            </w:pPr>
          </w:p>
        </w:tc>
        <w:tc>
          <w:tcPr>
            <w:tcW w:w="3402" w:type="dxa"/>
            <w:tcMar>
              <w:top w:w="0" w:type="dxa"/>
              <w:left w:w="108" w:type="dxa"/>
              <w:bottom w:w="0" w:type="dxa"/>
              <w:right w:w="108" w:type="dxa"/>
            </w:tcMar>
          </w:tcPr>
          <w:p w14:paraId="429CAAB6" w14:textId="77777777" w:rsidR="00CC703E" w:rsidRDefault="00E37FDB">
            <w:pPr>
              <w:tabs>
                <w:tab w:val="clear" w:pos="567"/>
              </w:tabs>
              <w:spacing w:before="60" w:after="60"/>
              <w:rPr>
                <w:sz w:val="20"/>
                <w:szCs w:val="20"/>
              </w:rPr>
            </w:pPr>
            <w:r>
              <w:rPr>
                <w:sz w:val="20"/>
                <w:szCs w:val="20"/>
              </w:rPr>
              <w:t>Uncooked breaded, crumbed or battered prawns and uncooked prawn meat</w:t>
            </w:r>
          </w:p>
        </w:tc>
        <w:tc>
          <w:tcPr>
            <w:tcW w:w="3903" w:type="dxa"/>
            <w:tcMar>
              <w:top w:w="0" w:type="dxa"/>
              <w:left w:w="108" w:type="dxa"/>
              <w:bottom w:w="0" w:type="dxa"/>
              <w:right w:w="108" w:type="dxa"/>
            </w:tcMar>
          </w:tcPr>
          <w:p w14:paraId="0F4DF0F2" w14:textId="2D399583" w:rsidR="00CC703E" w:rsidRDefault="00E37FDB">
            <w:pPr>
              <w:tabs>
                <w:tab w:val="clear" w:pos="567"/>
              </w:tabs>
              <w:spacing w:before="60" w:after="60"/>
              <w:rPr>
                <w:sz w:val="20"/>
                <w:szCs w:val="20"/>
              </w:rPr>
            </w:pPr>
            <w:r>
              <w:rPr>
                <w:sz w:val="20"/>
                <w:szCs w:val="20"/>
              </w:rPr>
              <w:t>Exempted from suspension—continuation of previous import conditions</w:t>
            </w:r>
          </w:p>
          <w:p w14:paraId="3C212BD0" w14:textId="315552BE" w:rsidR="00CC703E" w:rsidRDefault="00E37FDB" w:rsidP="00766BC7">
            <w:pPr>
              <w:tabs>
                <w:tab w:val="clear" w:pos="567"/>
              </w:tabs>
              <w:spacing w:before="60" w:after="60"/>
              <w:rPr>
                <w:sz w:val="20"/>
                <w:szCs w:val="20"/>
              </w:rPr>
            </w:pPr>
            <w:r>
              <w:rPr>
                <w:sz w:val="20"/>
                <w:szCs w:val="20"/>
              </w:rPr>
              <w:t>On 22 March inspection rate increased from 25% to 100%, and goods subject to seals-intact inspection.</w:t>
            </w:r>
          </w:p>
        </w:tc>
      </w:tr>
      <w:tr w:rsidR="00CC703E" w14:paraId="3A844810" w14:textId="77777777" w:rsidTr="009C1BB3">
        <w:trPr>
          <w:trHeight w:val="689"/>
        </w:trPr>
        <w:tc>
          <w:tcPr>
            <w:tcW w:w="1701" w:type="dxa"/>
            <w:vMerge w:val="restart"/>
            <w:tcMar>
              <w:top w:w="0" w:type="dxa"/>
              <w:left w:w="108" w:type="dxa"/>
              <w:bottom w:w="0" w:type="dxa"/>
              <w:right w:w="108" w:type="dxa"/>
            </w:tcMar>
          </w:tcPr>
          <w:p w14:paraId="47C7B5F0" w14:textId="77777777" w:rsidR="00CC703E" w:rsidRDefault="00E37FDB">
            <w:pPr>
              <w:spacing w:before="60" w:after="60"/>
              <w:rPr>
                <w:sz w:val="20"/>
                <w:szCs w:val="20"/>
              </w:rPr>
            </w:pPr>
            <w:r>
              <w:rPr>
                <w:sz w:val="20"/>
                <w:szCs w:val="20"/>
              </w:rPr>
              <w:t>6 February 2017</w:t>
            </w:r>
          </w:p>
        </w:tc>
        <w:tc>
          <w:tcPr>
            <w:tcW w:w="3402" w:type="dxa"/>
            <w:tcMar>
              <w:top w:w="0" w:type="dxa"/>
              <w:left w:w="108" w:type="dxa"/>
              <w:bottom w:w="0" w:type="dxa"/>
              <w:right w:w="108" w:type="dxa"/>
            </w:tcMar>
          </w:tcPr>
          <w:p w14:paraId="539B9C84" w14:textId="77777777" w:rsidR="00CC703E" w:rsidRDefault="00E37FDB">
            <w:pPr>
              <w:tabs>
                <w:tab w:val="clear" w:pos="567"/>
              </w:tabs>
              <w:spacing w:before="60" w:after="60"/>
              <w:rPr>
                <w:sz w:val="20"/>
                <w:szCs w:val="20"/>
              </w:rPr>
            </w:pPr>
            <w:r>
              <w:rPr>
                <w:sz w:val="20"/>
                <w:szCs w:val="20"/>
              </w:rPr>
              <w:t>Dried prawns and shelf-stable prawn-based food products</w:t>
            </w:r>
          </w:p>
        </w:tc>
        <w:tc>
          <w:tcPr>
            <w:tcW w:w="3903" w:type="dxa"/>
            <w:tcMar>
              <w:top w:w="0" w:type="dxa"/>
              <w:left w:w="108" w:type="dxa"/>
              <w:bottom w:w="0" w:type="dxa"/>
              <w:right w:w="108" w:type="dxa"/>
            </w:tcMar>
          </w:tcPr>
          <w:p w14:paraId="13D0561D" w14:textId="06CB95F3" w:rsidR="00CC703E" w:rsidRDefault="00E37FDB">
            <w:pPr>
              <w:spacing w:before="60" w:after="60"/>
              <w:rPr>
                <w:sz w:val="20"/>
                <w:szCs w:val="20"/>
              </w:rPr>
            </w:pPr>
            <w:r>
              <w:rPr>
                <w:sz w:val="20"/>
                <w:szCs w:val="20"/>
              </w:rPr>
              <w:t>Exempted from suspension—continuation of previous import conditions</w:t>
            </w:r>
          </w:p>
        </w:tc>
      </w:tr>
      <w:tr w:rsidR="00CC703E" w14:paraId="7DA8F06C" w14:textId="77777777" w:rsidTr="009C1BB3">
        <w:tc>
          <w:tcPr>
            <w:tcW w:w="1701" w:type="dxa"/>
            <w:vMerge/>
            <w:tcMar>
              <w:top w:w="0" w:type="dxa"/>
              <w:left w:w="108" w:type="dxa"/>
              <w:bottom w:w="0" w:type="dxa"/>
              <w:right w:w="108" w:type="dxa"/>
            </w:tcMar>
          </w:tcPr>
          <w:p w14:paraId="7FCD6A1F" w14:textId="77777777" w:rsidR="00CC703E" w:rsidRDefault="00CC703E">
            <w:pPr>
              <w:spacing w:before="60" w:after="60"/>
              <w:rPr>
                <w:sz w:val="20"/>
                <w:szCs w:val="20"/>
              </w:rPr>
            </w:pPr>
          </w:p>
        </w:tc>
        <w:tc>
          <w:tcPr>
            <w:tcW w:w="3402" w:type="dxa"/>
            <w:tcMar>
              <w:top w:w="0" w:type="dxa"/>
              <w:left w:w="108" w:type="dxa"/>
              <w:bottom w:w="0" w:type="dxa"/>
              <w:right w:w="108" w:type="dxa"/>
            </w:tcMar>
          </w:tcPr>
          <w:p w14:paraId="066D1F13" w14:textId="77777777" w:rsidR="00CC703E" w:rsidRDefault="00E37FDB">
            <w:pPr>
              <w:tabs>
                <w:tab w:val="clear" w:pos="567"/>
              </w:tabs>
              <w:spacing w:before="60" w:after="60"/>
              <w:rPr>
                <w:sz w:val="20"/>
                <w:szCs w:val="20"/>
              </w:rPr>
            </w:pPr>
            <w:r>
              <w:rPr>
                <w:sz w:val="20"/>
                <w:szCs w:val="20"/>
              </w:rPr>
              <w:t>Irradiated bait for aquatic use, pet fish food and aquaculture feed</w:t>
            </w:r>
          </w:p>
        </w:tc>
        <w:tc>
          <w:tcPr>
            <w:tcW w:w="3903" w:type="dxa"/>
            <w:tcMar>
              <w:top w:w="0" w:type="dxa"/>
              <w:left w:w="108" w:type="dxa"/>
              <w:bottom w:w="0" w:type="dxa"/>
              <w:right w:w="108" w:type="dxa"/>
            </w:tcMar>
          </w:tcPr>
          <w:p w14:paraId="234DE077" w14:textId="4B44408D" w:rsidR="00CC703E" w:rsidRDefault="00E37FDB">
            <w:pPr>
              <w:spacing w:before="60" w:after="60"/>
              <w:rPr>
                <w:sz w:val="20"/>
                <w:szCs w:val="20"/>
              </w:rPr>
            </w:pPr>
            <w:r>
              <w:rPr>
                <w:sz w:val="20"/>
                <w:szCs w:val="20"/>
              </w:rPr>
              <w:t>Exempted from suspension—continuation of previous import conditions</w:t>
            </w:r>
          </w:p>
        </w:tc>
      </w:tr>
      <w:tr w:rsidR="00CC703E" w14:paraId="2EF82E5E" w14:textId="77777777" w:rsidTr="009C1BB3">
        <w:tc>
          <w:tcPr>
            <w:tcW w:w="1701" w:type="dxa"/>
            <w:vMerge/>
            <w:tcMar>
              <w:top w:w="0" w:type="dxa"/>
              <w:left w:w="108" w:type="dxa"/>
              <w:bottom w:w="0" w:type="dxa"/>
              <w:right w:w="108" w:type="dxa"/>
            </w:tcMar>
          </w:tcPr>
          <w:p w14:paraId="551C4C1B" w14:textId="77777777" w:rsidR="00CC703E" w:rsidRDefault="00CC703E">
            <w:pPr>
              <w:spacing w:before="60" w:after="60"/>
              <w:rPr>
                <w:sz w:val="20"/>
                <w:szCs w:val="20"/>
              </w:rPr>
            </w:pPr>
          </w:p>
        </w:tc>
        <w:tc>
          <w:tcPr>
            <w:tcW w:w="3402" w:type="dxa"/>
            <w:tcMar>
              <w:top w:w="0" w:type="dxa"/>
              <w:left w:w="108" w:type="dxa"/>
              <w:bottom w:w="0" w:type="dxa"/>
              <w:right w:w="108" w:type="dxa"/>
            </w:tcMar>
          </w:tcPr>
          <w:p w14:paraId="39A07ECD" w14:textId="3E573CC9" w:rsidR="00CC703E" w:rsidRDefault="00E37FDB">
            <w:pPr>
              <w:tabs>
                <w:tab w:val="clear" w:pos="567"/>
              </w:tabs>
              <w:spacing w:before="60" w:after="60"/>
              <w:rPr>
                <w:sz w:val="20"/>
                <w:szCs w:val="20"/>
              </w:rPr>
            </w:pPr>
            <w:r>
              <w:rPr>
                <w:sz w:val="20"/>
                <w:szCs w:val="20"/>
              </w:rPr>
              <w:t>Uncooked prawns from Australia’s exclusive economic zone beyond 12 nautical miles, excluding Australian caught prawns that had been exported to another country for processing</w:t>
            </w:r>
          </w:p>
        </w:tc>
        <w:tc>
          <w:tcPr>
            <w:tcW w:w="3903" w:type="dxa"/>
            <w:tcMar>
              <w:top w:w="0" w:type="dxa"/>
              <w:left w:w="108" w:type="dxa"/>
              <w:bottom w:w="0" w:type="dxa"/>
              <w:right w:w="108" w:type="dxa"/>
            </w:tcMar>
          </w:tcPr>
          <w:p w14:paraId="5D2D53E4" w14:textId="1B640F70" w:rsidR="00CC703E" w:rsidRDefault="00E37FDB">
            <w:pPr>
              <w:spacing w:before="60" w:after="60"/>
              <w:rPr>
                <w:sz w:val="20"/>
                <w:szCs w:val="20"/>
                <w:lang w:val="en"/>
              </w:rPr>
            </w:pPr>
            <w:r>
              <w:rPr>
                <w:sz w:val="20"/>
                <w:szCs w:val="20"/>
              </w:rPr>
              <w:t>Exempted from suspension—continuation of previous import conditions</w:t>
            </w:r>
          </w:p>
        </w:tc>
      </w:tr>
      <w:tr w:rsidR="00CC703E" w14:paraId="14002298" w14:textId="77777777" w:rsidTr="009C1BB3">
        <w:tc>
          <w:tcPr>
            <w:tcW w:w="1701" w:type="dxa"/>
            <w:vMerge w:val="restart"/>
            <w:tcMar>
              <w:top w:w="0" w:type="dxa"/>
              <w:left w:w="108" w:type="dxa"/>
              <w:bottom w:w="0" w:type="dxa"/>
              <w:right w:w="108" w:type="dxa"/>
            </w:tcMar>
            <w:hideMark/>
          </w:tcPr>
          <w:p w14:paraId="02178C24" w14:textId="77777777" w:rsidR="00CC703E" w:rsidRDefault="00E37FDB">
            <w:pPr>
              <w:spacing w:before="60" w:after="60"/>
              <w:rPr>
                <w:sz w:val="20"/>
                <w:szCs w:val="20"/>
              </w:rPr>
            </w:pPr>
            <w:r>
              <w:rPr>
                <w:sz w:val="20"/>
                <w:szCs w:val="20"/>
              </w:rPr>
              <w:t>28 February 2017</w:t>
            </w:r>
          </w:p>
        </w:tc>
        <w:tc>
          <w:tcPr>
            <w:tcW w:w="3402" w:type="dxa"/>
            <w:tcMar>
              <w:top w:w="0" w:type="dxa"/>
              <w:left w:w="108" w:type="dxa"/>
              <w:bottom w:w="0" w:type="dxa"/>
              <w:right w:w="108" w:type="dxa"/>
            </w:tcMar>
            <w:hideMark/>
          </w:tcPr>
          <w:p w14:paraId="5C67F933" w14:textId="2E4472BC" w:rsidR="00CC703E" w:rsidRDefault="00E37FDB">
            <w:pPr>
              <w:spacing w:before="60" w:after="60"/>
              <w:rPr>
                <w:sz w:val="20"/>
                <w:szCs w:val="20"/>
              </w:rPr>
            </w:pPr>
            <w:r>
              <w:rPr>
                <w:sz w:val="20"/>
                <w:szCs w:val="20"/>
              </w:rPr>
              <w:t xml:space="preserve">Uncooked prawns and uncooked prawn meat harvested in Australia (other than the area </w:t>
            </w:r>
            <w:r w:rsidRPr="0018567A">
              <w:rPr>
                <w:sz w:val="20"/>
                <w:szCs w:val="20"/>
              </w:rPr>
              <w:t>that the Movement Control Order relate</w:t>
            </w:r>
            <w:r>
              <w:rPr>
                <w:sz w:val="20"/>
                <w:szCs w:val="20"/>
              </w:rPr>
              <w:t>s to) and sent to the external territories</w:t>
            </w:r>
          </w:p>
        </w:tc>
        <w:tc>
          <w:tcPr>
            <w:tcW w:w="3903" w:type="dxa"/>
            <w:tcMar>
              <w:top w:w="0" w:type="dxa"/>
              <w:left w:w="108" w:type="dxa"/>
              <w:bottom w:w="0" w:type="dxa"/>
              <w:right w:w="108" w:type="dxa"/>
            </w:tcMar>
          </w:tcPr>
          <w:p w14:paraId="1BCFF53F" w14:textId="7AD84DAB" w:rsidR="00CC703E" w:rsidRDefault="00E37FDB">
            <w:pPr>
              <w:spacing w:before="60" w:after="60"/>
              <w:rPr>
                <w:sz w:val="20"/>
                <w:szCs w:val="20"/>
              </w:rPr>
            </w:pPr>
            <w:r>
              <w:rPr>
                <w:sz w:val="20"/>
                <w:szCs w:val="20"/>
              </w:rPr>
              <w:t>Exempted from suspension—continuation of previous import conditions</w:t>
            </w:r>
          </w:p>
        </w:tc>
      </w:tr>
      <w:tr w:rsidR="00CC703E" w14:paraId="205C19F9" w14:textId="77777777" w:rsidTr="009C1BB3">
        <w:tc>
          <w:tcPr>
            <w:tcW w:w="1701" w:type="dxa"/>
            <w:vMerge/>
            <w:tcMar>
              <w:top w:w="0" w:type="dxa"/>
              <w:left w:w="108" w:type="dxa"/>
              <w:bottom w:w="0" w:type="dxa"/>
              <w:right w:w="108" w:type="dxa"/>
            </w:tcMar>
          </w:tcPr>
          <w:p w14:paraId="643BD73D" w14:textId="77777777" w:rsidR="00CC703E" w:rsidRDefault="00CC703E">
            <w:pPr>
              <w:spacing w:before="60" w:after="60"/>
              <w:rPr>
                <w:sz w:val="20"/>
                <w:szCs w:val="20"/>
              </w:rPr>
            </w:pPr>
          </w:p>
        </w:tc>
        <w:tc>
          <w:tcPr>
            <w:tcW w:w="3402" w:type="dxa"/>
            <w:tcMar>
              <w:top w:w="0" w:type="dxa"/>
              <w:left w:w="108" w:type="dxa"/>
              <w:bottom w:w="0" w:type="dxa"/>
              <w:right w:w="108" w:type="dxa"/>
            </w:tcMar>
          </w:tcPr>
          <w:p w14:paraId="66BD3DF0" w14:textId="2A0B7C4B" w:rsidR="00CC703E" w:rsidRDefault="00E37FDB">
            <w:pPr>
              <w:tabs>
                <w:tab w:val="clear" w:pos="567"/>
              </w:tabs>
              <w:spacing w:before="60" w:after="60"/>
              <w:rPr>
                <w:sz w:val="20"/>
                <w:szCs w:val="20"/>
              </w:rPr>
            </w:pPr>
            <w:r>
              <w:rPr>
                <w:sz w:val="20"/>
                <w:szCs w:val="20"/>
              </w:rPr>
              <w:t>Uncooked prawns and uncooked prawn meat harvested from the external territories and imported into mainland Australia or moved between the external territories</w:t>
            </w:r>
          </w:p>
        </w:tc>
        <w:tc>
          <w:tcPr>
            <w:tcW w:w="3903" w:type="dxa"/>
            <w:tcMar>
              <w:top w:w="0" w:type="dxa"/>
              <w:left w:w="108" w:type="dxa"/>
              <w:bottom w:w="0" w:type="dxa"/>
              <w:right w:w="108" w:type="dxa"/>
            </w:tcMar>
          </w:tcPr>
          <w:p w14:paraId="04FE06EB" w14:textId="11BCB1FC" w:rsidR="00CC703E" w:rsidRDefault="00E37FDB">
            <w:pPr>
              <w:spacing w:before="60" w:after="60"/>
              <w:rPr>
                <w:sz w:val="20"/>
                <w:szCs w:val="20"/>
                <w:lang w:val="en"/>
              </w:rPr>
            </w:pPr>
            <w:r>
              <w:rPr>
                <w:sz w:val="20"/>
                <w:szCs w:val="20"/>
              </w:rPr>
              <w:t>Exempted from suspension—continuation of previous import conditions</w:t>
            </w:r>
          </w:p>
        </w:tc>
      </w:tr>
      <w:tr w:rsidR="00CC703E" w14:paraId="5C908577" w14:textId="77777777" w:rsidTr="009C1BB3">
        <w:trPr>
          <w:trHeight w:val="1836"/>
        </w:trPr>
        <w:tc>
          <w:tcPr>
            <w:tcW w:w="1701" w:type="dxa"/>
            <w:vMerge/>
            <w:tcMar>
              <w:top w:w="0" w:type="dxa"/>
              <w:left w:w="108" w:type="dxa"/>
              <w:bottom w:w="0" w:type="dxa"/>
              <w:right w:w="108" w:type="dxa"/>
            </w:tcMar>
          </w:tcPr>
          <w:p w14:paraId="085D2C91" w14:textId="77777777" w:rsidR="00CC703E" w:rsidRDefault="00CC703E">
            <w:pPr>
              <w:spacing w:before="60" w:after="60"/>
              <w:rPr>
                <w:sz w:val="20"/>
                <w:szCs w:val="20"/>
              </w:rPr>
            </w:pPr>
          </w:p>
        </w:tc>
        <w:tc>
          <w:tcPr>
            <w:tcW w:w="3402" w:type="dxa"/>
            <w:tcMar>
              <w:top w:w="0" w:type="dxa"/>
              <w:left w:w="108" w:type="dxa"/>
              <w:bottom w:w="0" w:type="dxa"/>
              <w:right w:w="108" w:type="dxa"/>
            </w:tcMar>
          </w:tcPr>
          <w:p w14:paraId="7983789C" w14:textId="05CAE4C2" w:rsidR="00CC703E" w:rsidRDefault="00E37FDB">
            <w:pPr>
              <w:tabs>
                <w:tab w:val="clear" w:pos="567"/>
              </w:tabs>
              <w:spacing w:before="60" w:after="60"/>
              <w:rPr>
                <w:sz w:val="20"/>
                <w:szCs w:val="20"/>
              </w:rPr>
            </w:pPr>
            <w:r>
              <w:rPr>
                <w:sz w:val="20"/>
                <w:szCs w:val="20"/>
              </w:rPr>
              <w:t>Uncooked prawns harvested in Australia (wild-caught in Australian territory other than the area that the Movement Control Order relates to) exported for processing in a facility approved by the Thailand Department of Fisheries and re-exported to Australia</w:t>
            </w:r>
          </w:p>
        </w:tc>
        <w:tc>
          <w:tcPr>
            <w:tcW w:w="3903" w:type="dxa"/>
            <w:tcMar>
              <w:top w:w="0" w:type="dxa"/>
              <w:left w:w="108" w:type="dxa"/>
              <w:bottom w:w="0" w:type="dxa"/>
              <w:right w:w="108" w:type="dxa"/>
            </w:tcMar>
          </w:tcPr>
          <w:p w14:paraId="43B6F2E1" w14:textId="53384246" w:rsidR="00CC703E" w:rsidRDefault="00E37FDB">
            <w:pPr>
              <w:spacing w:before="60" w:after="60"/>
              <w:rPr>
                <w:sz w:val="20"/>
                <w:szCs w:val="20"/>
                <w:lang w:val="en"/>
              </w:rPr>
            </w:pPr>
            <w:r>
              <w:rPr>
                <w:sz w:val="20"/>
                <w:szCs w:val="20"/>
              </w:rPr>
              <w:t>Exempted from suspension—continuation of previous import conditions</w:t>
            </w:r>
          </w:p>
        </w:tc>
      </w:tr>
      <w:tr w:rsidR="00CC703E" w14:paraId="5B70CB3B" w14:textId="77777777" w:rsidTr="009C1BB3">
        <w:tc>
          <w:tcPr>
            <w:tcW w:w="1701" w:type="dxa"/>
            <w:vMerge/>
            <w:tcMar>
              <w:top w:w="0" w:type="dxa"/>
              <w:left w:w="108" w:type="dxa"/>
              <w:bottom w:w="0" w:type="dxa"/>
              <w:right w:w="108" w:type="dxa"/>
            </w:tcMar>
          </w:tcPr>
          <w:p w14:paraId="2F5D1D5E" w14:textId="77777777" w:rsidR="00CC703E" w:rsidRDefault="00CC703E">
            <w:pPr>
              <w:spacing w:before="60" w:after="60"/>
              <w:rPr>
                <w:sz w:val="20"/>
                <w:szCs w:val="20"/>
              </w:rPr>
            </w:pPr>
          </w:p>
        </w:tc>
        <w:tc>
          <w:tcPr>
            <w:tcW w:w="3402" w:type="dxa"/>
            <w:tcMar>
              <w:top w:w="0" w:type="dxa"/>
              <w:left w:w="108" w:type="dxa"/>
              <w:bottom w:w="0" w:type="dxa"/>
              <w:right w:w="108" w:type="dxa"/>
            </w:tcMar>
          </w:tcPr>
          <w:p w14:paraId="223C71A6" w14:textId="060B8522" w:rsidR="00CC703E" w:rsidRDefault="00E37FDB">
            <w:pPr>
              <w:tabs>
                <w:tab w:val="clear" w:pos="567"/>
              </w:tabs>
              <w:spacing w:before="60" w:after="60"/>
              <w:rPr>
                <w:sz w:val="20"/>
                <w:szCs w:val="20"/>
              </w:rPr>
            </w:pPr>
            <w:r>
              <w:rPr>
                <w:sz w:val="20"/>
                <w:szCs w:val="20"/>
              </w:rPr>
              <w:t>Uncooked prawns and uncooked prawn meat imported into Australia as transhipped goods for outgoing passenger vessels engaged in international travel and as laboratory or food samples for analysis</w:t>
            </w:r>
          </w:p>
        </w:tc>
        <w:tc>
          <w:tcPr>
            <w:tcW w:w="3903" w:type="dxa"/>
            <w:tcMar>
              <w:top w:w="0" w:type="dxa"/>
              <w:left w:w="108" w:type="dxa"/>
              <w:bottom w:w="0" w:type="dxa"/>
              <w:right w:w="108" w:type="dxa"/>
            </w:tcMar>
          </w:tcPr>
          <w:p w14:paraId="03E0A043" w14:textId="77777777" w:rsidR="00CC703E" w:rsidRDefault="00E37FDB">
            <w:pPr>
              <w:spacing w:before="60" w:after="60"/>
              <w:rPr>
                <w:sz w:val="20"/>
                <w:szCs w:val="20"/>
              </w:rPr>
            </w:pPr>
            <w:r>
              <w:rPr>
                <w:sz w:val="20"/>
                <w:szCs w:val="20"/>
                <w:lang w:val="en"/>
              </w:rPr>
              <w:t>Permitted to transit without testing</w:t>
            </w:r>
          </w:p>
        </w:tc>
      </w:tr>
      <w:tr w:rsidR="00CC703E" w14:paraId="7F87D9D0" w14:textId="77777777" w:rsidTr="009C1BB3">
        <w:tc>
          <w:tcPr>
            <w:tcW w:w="1701" w:type="dxa"/>
            <w:tcMar>
              <w:top w:w="0" w:type="dxa"/>
              <w:left w:w="108" w:type="dxa"/>
              <w:bottom w:w="0" w:type="dxa"/>
              <w:right w:w="108" w:type="dxa"/>
            </w:tcMar>
            <w:hideMark/>
          </w:tcPr>
          <w:p w14:paraId="11318CAC" w14:textId="77777777" w:rsidR="00CC703E" w:rsidRDefault="00E37FDB">
            <w:pPr>
              <w:spacing w:before="60" w:after="60"/>
              <w:rPr>
                <w:sz w:val="20"/>
                <w:szCs w:val="20"/>
              </w:rPr>
            </w:pPr>
            <w:r>
              <w:rPr>
                <w:sz w:val="20"/>
                <w:szCs w:val="20"/>
              </w:rPr>
              <w:t>15 May 2017</w:t>
            </w:r>
          </w:p>
        </w:tc>
        <w:tc>
          <w:tcPr>
            <w:tcW w:w="3402" w:type="dxa"/>
            <w:tcMar>
              <w:top w:w="0" w:type="dxa"/>
              <w:left w:w="108" w:type="dxa"/>
              <w:bottom w:w="0" w:type="dxa"/>
              <w:right w:w="108" w:type="dxa"/>
            </w:tcMar>
            <w:hideMark/>
          </w:tcPr>
          <w:p w14:paraId="34EE6E17" w14:textId="77777777" w:rsidR="00CC703E" w:rsidRDefault="00E37FDB">
            <w:pPr>
              <w:tabs>
                <w:tab w:val="clear" w:pos="567"/>
              </w:tabs>
              <w:spacing w:before="60" w:after="60"/>
              <w:rPr>
                <w:sz w:val="20"/>
                <w:szCs w:val="20"/>
              </w:rPr>
            </w:pPr>
            <w:r>
              <w:rPr>
                <w:sz w:val="20"/>
                <w:szCs w:val="20"/>
              </w:rPr>
              <w:t>Uncooked marinated prawns</w:t>
            </w:r>
          </w:p>
        </w:tc>
        <w:tc>
          <w:tcPr>
            <w:tcW w:w="3903" w:type="dxa"/>
            <w:tcMar>
              <w:top w:w="0" w:type="dxa"/>
              <w:left w:w="108" w:type="dxa"/>
              <w:bottom w:w="0" w:type="dxa"/>
              <w:right w:w="108" w:type="dxa"/>
            </w:tcMar>
          </w:tcPr>
          <w:p w14:paraId="3A022666" w14:textId="273398A2" w:rsidR="00CC703E" w:rsidRDefault="00E37FDB">
            <w:pPr>
              <w:spacing w:before="60" w:after="60"/>
              <w:rPr>
                <w:sz w:val="20"/>
                <w:szCs w:val="20"/>
              </w:rPr>
            </w:pPr>
            <w:r>
              <w:rPr>
                <w:sz w:val="20"/>
                <w:szCs w:val="20"/>
              </w:rPr>
              <w:t>Exempted from suspension, subject to overseas testing for freedom from WSSV and YHV and on-arrival seals-intact inspection and testing</w:t>
            </w:r>
          </w:p>
        </w:tc>
      </w:tr>
      <w:tr w:rsidR="00CC703E" w14:paraId="5A65D2C9" w14:textId="77777777" w:rsidTr="009C1BB3">
        <w:tc>
          <w:tcPr>
            <w:tcW w:w="1701" w:type="dxa"/>
            <w:tcMar>
              <w:top w:w="0" w:type="dxa"/>
              <w:left w:w="108" w:type="dxa"/>
              <w:bottom w:w="0" w:type="dxa"/>
              <w:right w:w="108" w:type="dxa"/>
            </w:tcMar>
          </w:tcPr>
          <w:p w14:paraId="19BBFAB3" w14:textId="77777777" w:rsidR="00CC703E" w:rsidRDefault="00E37FDB">
            <w:pPr>
              <w:spacing w:before="60" w:after="60"/>
              <w:rPr>
                <w:sz w:val="20"/>
                <w:szCs w:val="20"/>
              </w:rPr>
            </w:pPr>
            <w:r w:rsidRPr="00C961FD">
              <w:rPr>
                <w:sz w:val="20"/>
                <w:szCs w:val="20"/>
              </w:rPr>
              <w:t>7</w:t>
            </w:r>
            <w:r>
              <w:rPr>
                <w:sz w:val="20"/>
                <w:szCs w:val="20"/>
              </w:rPr>
              <w:t xml:space="preserve"> July 2017</w:t>
            </w:r>
          </w:p>
        </w:tc>
        <w:tc>
          <w:tcPr>
            <w:tcW w:w="3402" w:type="dxa"/>
            <w:tcMar>
              <w:top w:w="0" w:type="dxa"/>
              <w:left w:w="108" w:type="dxa"/>
              <w:bottom w:w="0" w:type="dxa"/>
              <w:right w:w="108" w:type="dxa"/>
            </w:tcMar>
          </w:tcPr>
          <w:p w14:paraId="5B8D5B80" w14:textId="77777777" w:rsidR="00CC703E" w:rsidRDefault="00E37FDB">
            <w:pPr>
              <w:tabs>
                <w:tab w:val="clear" w:pos="567"/>
              </w:tabs>
              <w:spacing w:before="60" w:after="60"/>
              <w:rPr>
                <w:sz w:val="20"/>
                <w:szCs w:val="20"/>
              </w:rPr>
            </w:pPr>
            <w:r>
              <w:rPr>
                <w:sz w:val="20"/>
                <w:szCs w:val="20"/>
              </w:rPr>
              <w:t>Uncooked (including marinated) prawns</w:t>
            </w:r>
          </w:p>
        </w:tc>
        <w:tc>
          <w:tcPr>
            <w:tcW w:w="3903" w:type="dxa"/>
            <w:tcMar>
              <w:top w:w="0" w:type="dxa"/>
              <w:left w:w="108" w:type="dxa"/>
              <w:bottom w:w="0" w:type="dxa"/>
              <w:right w:w="108" w:type="dxa"/>
            </w:tcMar>
          </w:tcPr>
          <w:p w14:paraId="58FC195C" w14:textId="48684E1F" w:rsidR="00CC703E" w:rsidRDefault="00E37FDB">
            <w:pPr>
              <w:spacing w:before="60" w:after="60"/>
              <w:rPr>
                <w:sz w:val="20"/>
                <w:szCs w:val="20"/>
              </w:rPr>
            </w:pPr>
            <w:r>
              <w:rPr>
                <w:sz w:val="20"/>
                <w:szCs w:val="20"/>
              </w:rPr>
              <w:t>Suspension lifted, subject to overseas testing for freedom from WSSV and YHV and on-arrival seals-intact inspection and testing</w:t>
            </w:r>
          </w:p>
        </w:tc>
      </w:tr>
    </w:tbl>
    <w:p w14:paraId="33B88D0F" w14:textId="23EC1A84" w:rsidR="00573BEC" w:rsidRPr="00C961FD" w:rsidRDefault="00573BEC" w:rsidP="0087638C">
      <w:pPr>
        <w:spacing w:before="360"/>
      </w:pPr>
      <w:r w:rsidRPr="00C961FD">
        <w:t>After Operation East Leichhardt, from 2014, some highly processed prawn products (</w:t>
      </w:r>
      <w:r w:rsidR="00C961FD" w:rsidRPr="00C961FD">
        <w:t>‘</w:t>
      </w:r>
      <w:r w:rsidRPr="00C961FD">
        <w:t xml:space="preserve">marinated </w:t>
      </w:r>
      <w:r w:rsidR="00077F2F" w:rsidRPr="00C961FD">
        <w:t>and marinara mix</w:t>
      </w:r>
      <w:r w:rsidR="00C961FD" w:rsidRPr="00C961FD">
        <w:t>’</w:t>
      </w:r>
      <w:r w:rsidR="00077F2F" w:rsidRPr="00C961FD">
        <w:t xml:space="preserve"> </w:t>
      </w:r>
      <w:r w:rsidRPr="00C961FD">
        <w:t xml:space="preserve">and </w:t>
      </w:r>
      <w:r w:rsidR="00C961FD" w:rsidRPr="00C961FD">
        <w:t>‘</w:t>
      </w:r>
      <w:r w:rsidRPr="00C961FD">
        <w:t>breaded</w:t>
      </w:r>
      <w:r w:rsidR="00077F2F" w:rsidRPr="00C961FD">
        <w:t>, crumbed or battered</w:t>
      </w:r>
      <w:r w:rsidR="00C961FD" w:rsidRPr="00C961FD">
        <w:t>’</w:t>
      </w:r>
      <w:r w:rsidRPr="00C961FD">
        <w:t xml:space="preserve">) had been subjected to 25 per cent inspection </w:t>
      </w:r>
      <w:r w:rsidR="00077F2F" w:rsidRPr="00C961FD">
        <w:t xml:space="preserve">on arrival in Australia </w:t>
      </w:r>
      <w:r w:rsidRPr="00C961FD">
        <w:t>to verify that they were sufficiently marinated or breaded.</w:t>
      </w:r>
      <w:r w:rsidR="00242B77">
        <w:t xml:space="preserve"> </w:t>
      </w:r>
      <w:r w:rsidRPr="00C961FD">
        <w:t xml:space="preserve">Both categories had been exempt from </w:t>
      </w:r>
      <w:r w:rsidR="00077F2F" w:rsidRPr="00C961FD">
        <w:t xml:space="preserve">sampling and </w:t>
      </w:r>
      <w:r w:rsidRPr="00C961FD">
        <w:t>testing.</w:t>
      </w:r>
    </w:p>
    <w:p w14:paraId="2F171DC7" w14:textId="7B778A6B" w:rsidR="00CC703E" w:rsidRPr="008C1CE4" w:rsidRDefault="00E37FDB" w:rsidP="00DA6735">
      <w:r w:rsidRPr="00DA6735">
        <w:rPr>
          <w:rStyle w:val="Strong"/>
        </w:rPr>
        <w:t>Marinated prawns and marinara mix</w:t>
      </w:r>
      <w:r w:rsidR="00B5034D" w:rsidRPr="00C961FD">
        <w:t xml:space="preserve"> </w:t>
      </w:r>
      <w:r w:rsidRPr="00C961FD">
        <w:t>were included in the initial January 2017 suspension due to their very high rate of WSSV and the possibility that they might be washed post-border and presented for retail sale as uncooked prawns.</w:t>
      </w:r>
    </w:p>
    <w:p w14:paraId="76CC8305" w14:textId="299B7BFC" w:rsidR="00CC703E" w:rsidRPr="008C1CE4" w:rsidRDefault="00E37FDB" w:rsidP="00DA6735">
      <w:r w:rsidRPr="00DA6735">
        <w:rPr>
          <w:rStyle w:val="Strong"/>
        </w:rPr>
        <w:t>Breaded, crumbed or battered prawns</w:t>
      </w:r>
      <w:r w:rsidR="00B5034D" w:rsidRPr="00C961FD">
        <w:t xml:space="preserve"> </w:t>
      </w:r>
      <w:r w:rsidRPr="00C961FD">
        <w:t>were considered less likely to be diverted for sale as uncooked prawns. They did not require testing, but the department decided to standardise the criteria for ‘adequate coverage’ of the prawns by crumbs or batter and require 25 per cent of randomly selected consignments to undergo full seals-intact inspections.</w:t>
      </w:r>
    </w:p>
    <w:p w14:paraId="41E0069C" w14:textId="7A5DB4AD" w:rsidR="00573BEC" w:rsidRDefault="00E37FDB">
      <w:pPr>
        <w:spacing w:after="0"/>
      </w:pPr>
      <w:r>
        <w:t xml:space="preserve">Some prawn importers </w:t>
      </w:r>
      <w:r w:rsidR="007F51B2">
        <w:t>began importing</w:t>
      </w:r>
      <w:r>
        <w:t xml:space="preserve"> different categories of uncooked prawns</w:t>
      </w:r>
      <w:r w:rsidR="00B5034D">
        <w:t xml:space="preserve"> </w:t>
      </w:r>
      <w:r w:rsidR="007F51B2">
        <w:t>that did</w:t>
      </w:r>
      <w:r w:rsidR="00B5034D">
        <w:t xml:space="preserve"> not require enhanced inspection and testing.</w:t>
      </w:r>
      <w:r>
        <w:t xml:space="preserve"> For example, </w:t>
      </w:r>
      <w:r w:rsidR="00B5034D">
        <w:t>after</w:t>
      </w:r>
      <w:r>
        <w:t xml:space="preserve"> marinated prawn imports were suspended </w:t>
      </w:r>
      <w:r w:rsidR="00B5034D">
        <w:t>i</w:t>
      </w:r>
      <w:r>
        <w:t>n January 2017 imports of breaded and battered prawn consignments increased fourfold (February to March 2016). In response, on 22 March the department increased the inspection rate for this category t</w:t>
      </w:r>
      <w:r w:rsidR="00CF019C">
        <w:t>o 100 per cent of consignments.</w:t>
      </w:r>
    </w:p>
    <w:p w14:paraId="058BD158" w14:textId="5A062E72" w:rsidR="00C961FD" w:rsidRDefault="00E37FDB" w:rsidP="00C619AB">
      <w:pPr>
        <w:spacing w:after="0"/>
      </w:pPr>
      <w:r>
        <w:t xml:space="preserve">As the failure rate of </w:t>
      </w:r>
      <w:r w:rsidR="00573BEC">
        <w:t xml:space="preserve">different categories of prawn products </w:t>
      </w:r>
      <w:r>
        <w:t xml:space="preserve">became apparent, some importers </w:t>
      </w:r>
      <w:r w:rsidR="00EC29DC">
        <w:t xml:space="preserve">simply </w:t>
      </w:r>
      <w:r>
        <w:t xml:space="preserve">turned containers around for re-export, so </w:t>
      </w:r>
      <w:r w:rsidR="00573BEC">
        <w:t xml:space="preserve">that </w:t>
      </w:r>
      <w:r>
        <w:t>they were never inspected</w:t>
      </w:r>
      <w:r w:rsidR="00037B0D">
        <w:t xml:space="preserve"> (</w:t>
      </w:r>
      <w:r w:rsidR="00037B0D">
        <w:fldChar w:fldCharType="begin"/>
      </w:r>
      <w:r w:rsidR="00037B0D">
        <w:instrText xml:space="preserve"> REF _Ref499323961 \h </w:instrText>
      </w:r>
      <w:r w:rsidR="00037B0D">
        <w:fldChar w:fldCharType="separate"/>
      </w:r>
      <w:r w:rsidR="00121BC1">
        <w:t xml:space="preserve">Table </w:t>
      </w:r>
      <w:r w:rsidR="00121BC1">
        <w:rPr>
          <w:noProof/>
        </w:rPr>
        <w:t>16</w:t>
      </w:r>
      <w:r w:rsidR="00037B0D">
        <w:fldChar w:fldCharType="end"/>
      </w:r>
      <w:r w:rsidR="00037B0D">
        <w:t>)</w:t>
      </w:r>
      <w:r w:rsidR="00EB6865">
        <w:t>.</w:t>
      </w:r>
      <w:bookmarkStart w:id="232" w:name="_Ref496178769"/>
    </w:p>
    <w:p w14:paraId="5C78AA78" w14:textId="1C3093D7" w:rsidR="00750E24" w:rsidRDefault="00750E24" w:rsidP="00750E24">
      <w:pPr>
        <w:pStyle w:val="Caption"/>
      </w:pPr>
      <w:bookmarkStart w:id="233" w:name="_Ref499323961"/>
      <w:bookmarkStart w:id="234" w:name="_Toc500508493"/>
      <w:bookmarkEnd w:id="232"/>
      <w:r>
        <w:lastRenderedPageBreak/>
        <w:t xml:space="preserve">Table </w:t>
      </w:r>
      <w:r w:rsidR="00F329C0">
        <w:fldChar w:fldCharType="begin"/>
      </w:r>
      <w:r w:rsidR="00F329C0">
        <w:instrText xml:space="preserve"> SEQ Table \* ARABIC </w:instrText>
      </w:r>
      <w:r w:rsidR="00F329C0">
        <w:fldChar w:fldCharType="separate"/>
      </w:r>
      <w:r w:rsidR="00121BC1">
        <w:rPr>
          <w:noProof/>
        </w:rPr>
        <w:t>16</w:t>
      </w:r>
      <w:r w:rsidR="00F329C0">
        <w:rPr>
          <w:noProof/>
        </w:rPr>
        <w:fldChar w:fldCharType="end"/>
      </w:r>
      <w:bookmarkEnd w:id="233"/>
      <w:r w:rsidRPr="00750E24">
        <w:t xml:space="preserve"> </w:t>
      </w:r>
      <w:r w:rsidRPr="00400A72">
        <w:t>Prawn consignments re-exported without inspection, 9 January to 17 October 2017</w:t>
      </w:r>
      <w:bookmarkEnd w:id="234"/>
    </w:p>
    <w:tbl>
      <w:tblPr>
        <w:tblW w:w="5815" w:type="dxa"/>
        <w:tblInd w:w="-3"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547"/>
        <w:gridCol w:w="2268"/>
      </w:tblGrid>
      <w:tr w:rsidR="00CC703E" w14:paraId="5548956D" w14:textId="77777777" w:rsidTr="00766BC7">
        <w:trPr>
          <w:trHeight w:val="300"/>
        </w:trPr>
        <w:tc>
          <w:tcPr>
            <w:tcW w:w="3547" w:type="dxa"/>
            <w:noWrap/>
            <w:tcMar>
              <w:top w:w="0" w:type="dxa"/>
              <w:left w:w="108" w:type="dxa"/>
              <w:bottom w:w="0" w:type="dxa"/>
              <w:right w:w="108" w:type="dxa"/>
            </w:tcMar>
            <w:vAlign w:val="bottom"/>
            <w:hideMark/>
          </w:tcPr>
          <w:p w14:paraId="505216AE" w14:textId="77777777" w:rsidR="00CC703E" w:rsidRDefault="00E37FDB">
            <w:pPr>
              <w:pStyle w:val="Tableheading"/>
            </w:pPr>
            <w:r>
              <w:t>Types of prawn/prawn product</w:t>
            </w:r>
          </w:p>
        </w:tc>
        <w:tc>
          <w:tcPr>
            <w:tcW w:w="2268" w:type="dxa"/>
            <w:noWrap/>
            <w:tcMar>
              <w:top w:w="0" w:type="dxa"/>
              <w:left w:w="108" w:type="dxa"/>
              <w:bottom w:w="0" w:type="dxa"/>
              <w:right w:w="108" w:type="dxa"/>
            </w:tcMar>
            <w:vAlign w:val="bottom"/>
            <w:hideMark/>
          </w:tcPr>
          <w:p w14:paraId="783CF324" w14:textId="77777777" w:rsidR="00CC703E" w:rsidRDefault="00E37FDB" w:rsidP="00766BC7">
            <w:pPr>
              <w:pStyle w:val="Tableheading"/>
              <w:jc w:val="right"/>
            </w:pPr>
            <w:r>
              <w:t>Consignments (no.)</w:t>
            </w:r>
          </w:p>
        </w:tc>
      </w:tr>
      <w:tr w:rsidR="00CC703E" w14:paraId="152A1EF2" w14:textId="77777777" w:rsidTr="00766BC7">
        <w:trPr>
          <w:trHeight w:val="300"/>
        </w:trPr>
        <w:tc>
          <w:tcPr>
            <w:tcW w:w="3547" w:type="dxa"/>
            <w:noWrap/>
            <w:tcMar>
              <w:top w:w="0" w:type="dxa"/>
              <w:left w:w="108" w:type="dxa"/>
              <w:bottom w:w="0" w:type="dxa"/>
              <w:right w:w="108" w:type="dxa"/>
            </w:tcMar>
            <w:vAlign w:val="bottom"/>
            <w:hideMark/>
          </w:tcPr>
          <w:p w14:paraId="5C995F6C" w14:textId="77777777" w:rsidR="00CC703E" w:rsidRDefault="00E37FDB">
            <w:pPr>
              <w:pStyle w:val="Tabletext"/>
            </w:pPr>
            <w:r>
              <w:t>Marinated, cooked/uncooked</w:t>
            </w:r>
          </w:p>
        </w:tc>
        <w:tc>
          <w:tcPr>
            <w:tcW w:w="2268" w:type="dxa"/>
            <w:noWrap/>
            <w:tcMar>
              <w:top w:w="0" w:type="dxa"/>
              <w:left w:w="108" w:type="dxa"/>
              <w:bottom w:w="0" w:type="dxa"/>
              <w:right w:w="108" w:type="dxa"/>
            </w:tcMar>
            <w:vAlign w:val="bottom"/>
            <w:hideMark/>
          </w:tcPr>
          <w:p w14:paraId="02EE9080" w14:textId="77777777" w:rsidR="00CC703E" w:rsidRDefault="00E37FDB" w:rsidP="00766BC7">
            <w:pPr>
              <w:pStyle w:val="Tabletext"/>
              <w:jc w:val="right"/>
            </w:pPr>
            <w:r>
              <w:t>23</w:t>
            </w:r>
          </w:p>
        </w:tc>
      </w:tr>
      <w:tr w:rsidR="00CC703E" w14:paraId="5DD46A47" w14:textId="77777777" w:rsidTr="00766BC7">
        <w:trPr>
          <w:trHeight w:val="300"/>
        </w:trPr>
        <w:tc>
          <w:tcPr>
            <w:tcW w:w="3547" w:type="dxa"/>
            <w:noWrap/>
            <w:tcMar>
              <w:top w:w="0" w:type="dxa"/>
              <w:left w:w="108" w:type="dxa"/>
              <w:bottom w:w="0" w:type="dxa"/>
              <w:right w:w="108" w:type="dxa"/>
            </w:tcMar>
            <w:vAlign w:val="bottom"/>
          </w:tcPr>
          <w:p w14:paraId="0BF1F659" w14:textId="77777777" w:rsidR="00CC703E" w:rsidRDefault="00E37FDB">
            <w:pPr>
              <w:pStyle w:val="Tabletext"/>
            </w:pPr>
            <w:r>
              <w:t>Raw</w:t>
            </w:r>
          </w:p>
        </w:tc>
        <w:tc>
          <w:tcPr>
            <w:tcW w:w="2268" w:type="dxa"/>
            <w:noWrap/>
            <w:tcMar>
              <w:top w:w="0" w:type="dxa"/>
              <w:left w:w="108" w:type="dxa"/>
              <w:bottom w:w="0" w:type="dxa"/>
              <w:right w:w="108" w:type="dxa"/>
            </w:tcMar>
            <w:vAlign w:val="bottom"/>
          </w:tcPr>
          <w:p w14:paraId="5C8462F0" w14:textId="77777777" w:rsidR="00CC703E" w:rsidRDefault="00E37FDB" w:rsidP="00766BC7">
            <w:pPr>
              <w:pStyle w:val="Tabletext"/>
              <w:jc w:val="right"/>
            </w:pPr>
            <w:r>
              <w:t>20</w:t>
            </w:r>
          </w:p>
        </w:tc>
      </w:tr>
      <w:tr w:rsidR="00CC703E" w14:paraId="08BAA8B7" w14:textId="77777777" w:rsidTr="00766BC7">
        <w:trPr>
          <w:trHeight w:val="300"/>
        </w:trPr>
        <w:tc>
          <w:tcPr>
            <w:tcW w:w="3547" w:type="dxa"/>
            <w:noWrap/>
            <w:tcMar>
              <w:top w:w="0" w:type="dxa"/>
              <w:left w:w="108" w:type="dxa"/>
              <w:bottom w:w="0" w:type="dxa"/>
              <w:right w:w="108" w:type="dxa"/>
            </w:tcMar>
            <w:vAlign w:val="bottom"/>
          </w:tcPr>
          <w:p w14:paraId="38FDFE82" w14:textId="77777777" w:rsidR="00CC703E" w:rsidRDefault="00E37FDB">
            <w:pPr>
              <w:pStyle w:val="Tabletext"/>
            </w:pPr>
            <w:r>
              <w:t>Battered breaded</w:t>
            </w:r>
          </w:p>
        </w:tc>
        <w:tc>
          <w:tcPr>
            <w:tcW w:w="2268" w:type="dxa"/>
            <w:noWrap/>
            <w:tcMar>
              <w:top w:w="0" w:type="dxa"/>
              <w:left w:w="108" w:type="dxa"/>
              <w:bottom w:w="0" w:type="dxa"/>
              <w:right w:w="108" w:type="dxa"/>
            </w:tcMar>
            <w:vAlign w:val="bottom"/>
          </w:tcPr>
          <w:p w14:paraId="03199D78" w14:textId="77777777" w:rsidR="00CC703E" w:rsidRDefault="00E37FDB" w:rsidP="00766BC7">
            <w:pPr>
              <w:pStyle w:val="Tabletext"/>
              <w:jc w:val="right"/>
            </w:pPr>
            <w:r>
              <w:t>9</w:t>
            </w:r>
          </w:p>
        </w:tc>
      </w:tr>
      <w:tr w:rsidR="00CC703E" w14:paraId="4FCCC6BE" w14:textId="77777777" w:rsidTr="00766BC7">
        <w:trPr>
          <w:trHeight w:val="300"/>
        </w:trPr>
        <w:tc>
          <w:tcPr>
            <w:tcW w:w="3547" w:type="dxa"/>
            <w:noWrap/>
            <w:tcMar>
              <w:top w:w="0" w:type="dxa"/>
              <w:left w:w="108" w:type="dxa"/>
              <w:bottom w:w="0" w:type="dxa"/>
              <w:right w:w="108" w:type="dxa"/>
            </w:tcMar>
            <w:vAlign w:val="bottom"/>
            <w:hideMark/>
          </w:tcPr>
          <w:p w14:paraId="7BE716B9" w14:textId="77777777" w:rsidR="00CC703E" w:rsidRDefault="00E37FDB">
            <w:pPr>
              <w:pStyle w:val="Tabletext"/>
            </w:pPr>
            <w:r>
              <w:t>Dried</w:t>
            </w:r>
          </w:p>
        </w:tc>
        <w:tc>
          <w:tcPr>
            <w:tcW w:w="2268" w:type="dxa"/>
            <w:noWrap/>
            <w:tcMar>
              <w:top w:w="0" w:type="dxa"/>
              <w:left w:w="108" w:type="dxa"/>
              <w:bottom w:w="0" w:type="dxa"/>
              <w:right w:w="108" w:type="dxa"/>
            </w:tcMar>
            <w:vAlign w:val="bottom"/>
            <w:hideMark/>
          </w:tcPr>
          <w:p w14:paraId="6B5FA869" w14:textId="77777777" w:rsidR="00CC703E" w:rsidRDefault="00E37FDB" w:rsidP="00766BC7">
            <w:pPr>
              <w:pStyle w:val="Tabletext"/>
              <w:jc w:val="right"/>
            </w:pPr>
            <w:r>
              <w:t>1</w:t>
            </w:r>
          </w:p>
        </w:tc>
      </w:tr>
    </w:tbl>
    <w:p w14:paraId="7DF157F0" w14:textId="77777777" w:rsidR="00CC703E" w:rsidRDefault="00E37FDB">
      <w:pPr>
        <w:pStyle w:val="FigureTableNoteSource"/>
      </w:pPr>
      <w:r>
        <w:t>Source: Department of Agriculture and Water Resources</w:t>
      </w:r>
    </w:p>
    <w:p w14:paraId="37BE09DE" w14:textId="7E2505EA" w:rsidR="00CC703E" w:rsidRDefault="00E37FDB" w:rsidP="00034DD1">
      <w:pPr>
        <w:spacing w:before="360"/>
      </w:pPr>
      <w:r>
        <w:t xml:space="preserve">Imports of </w:t>
      </w:r>
      <w:r w:rsidR="00573BEC">
        <w:t>cooked prawn</w:t>
      </w:r>
      <w:r>
        <w:t xml:space="preserve"> product increased markedly. Inspectors also noted a trend to import very lightly blanched prawn consignments, some with cartons marked ‘must be cooked further’. This raised the question of whether such imports contained infective WSSV and, noting the paucity of studies on inactivation of WSSV, the significance of positive tests on such products.</w:t>
      </w:r>
    </w:p>
    <w:p w14:paraId="108D661D" w14:textId="77777777" w:rsidR="00CC703E" w:rsidRDefault="00E37FDB" w:rsidP="00D20AC2">
      <w:pPr>
        <w:pStyle w:val="Heading4"/>
      </w:pPr>
      <w:r>
        <w:t>New interim import conditions after suspension expired</w:t>
      </w:r>
    </w:p>
    <w:p w14:paraId="1B931F8F" w14:textId="35EB2DD5" w:rsidR="00CC703E" w:rsidRDefault="00E37FDB" w:rsidP="00D20AC2">
      <w:r>
        <w:t xml:space="preserve">The import suspension on uncooked </w:t>
      </w:r>
      <w:r w:rsidRPr="0047068F">
        <w:t xml:space="preserve">prawns lapsed </w:t>
      </w:r>
      <w:r w:rsidR="00573BEC" w:rsidRPr="003B251A">
        <w:t>at midnight</w:t>
      </w:r>
      <w:r w:rsidRPr="003B251A">
        <w:t xml:space="preserve"> 6</w:t>
      </w:r>
      <w:r>
        <w:t xml:space="preserve"> July 2017</w:t>
      </w:r>
      <w:r w:rsidR="00B92FA7" w:rsidRPr="0087638C">
        <w:rPr>
          <w:vertAlign w:val="superscript"/>
        </w:rPr>
        <w:t>1</w:t>
      </w:r>
      <w:r w:rsidR="00051CD5">
        <w:rPr>
          <w:vertAlign w:val="superscript"/>
        </w:rPr>
        <w:t>4</w:t>
      </w:r>
      <w:r w:rsidR="001E20FB">
        <w:rPr>
          <w:vertAlign w:val="superscript"/>
        </w:rPr>
        <w:t>4</w:t>
      </w:r>
      <w:r>
        <w:t xml:space="preserve"> and enhanced </w:t>
      </w:r>
      <w:r w:rsidRPr="0047068F">
        <w:t>import conditions</w:t>
      </w:r>
      <w:r w:rsidR="00B33A0D" w:rsidRPr="0087638C">
        <w:rPr>
          <w:vertAlign w:val="superscript"/>
        </w:rPr>
        <w:t>14</w:t>
      </w:r>
      <w:r w:rsidR="001E20FB">
        <w:rPr>
          <w:vertAlign w:val="superscript"/>
        </w:rPr>
        <w:t>5</w:t>
      </w:r>
      <w:r>
        <w:t xml:space="preserve"> for prawns and prawn products were implemented </w:t>
      </w:r>
      <w:r w:rsidR="00736DD6">
        <w:t>from</w:t>
      </w:r>
      <w:r>
        <w:t xml:space="preserve"> 7 July 2017. </w:t>
      </w:r>
      <w:r>
        <w:rPr>
          <w:lang w:val="en"/>
        </w:rPr>
        <w:t>Uncooked prawns, marinated prawns and Australian prawns processed overseas (excluding those processed in an Australian Government–approved supply chain) were consolidated into the one product class—uncooked prawns.</w:t>
      </w:r>
    </w:p>
    <w:p w14:paraId="762E6D30" w14:textId="53BD3BC6" w:rsidR="00CC703E" w:rsidRDefault="00E37FDB" w:rsidP="00D20AC2">
      <w:r>
        <w:t xml:space="preserve">The country of origin’s competent authority was required to certify that each batch (limited to a total size of one container load) of uncooked prawn imports had been found to be free of WSD and YHD. This would be achieved through post-processing and pre-export sampling and testing </w:t>
      </w:r>
      <w:r>
        <w:rPr>
          <w:rFonts w:eastAsia="Times New Roman"/>
        </w:rPr>
        <w:t>based on methods recognised by the OIE</w:t>
      </w:r>
      <w:r>
        <w:t>.</w:t>
      </w:r>
    </w:p>
    <w:p w14:paraId="6E1FCC23" w14:textId="511D411E" w:rsidR="00CC703E" w:rsidRDefault="00E37FDB" w:rsidP="00D20AC2">
      <w:r>
        <w:t xml:space="preserve">On arrival, each shipment would also be subject to a full seals-intact inspection, with further </w:t>
      </w:r>
      <w:r>
        <w:rPr>
          <w:szCs w:val="24"/>
          <w:lang w:eastAsia="en-AU"/>
        </w:rPr>
        <w:t>sampling</w:t>
      </w:r>
      <w:r>
        <w:t xml:space="preserve"> and testing of each batch at an approved Australian screening laboratory, using a standardised </w:t>
      </w:r>
      <w:r w:rsidRPr="00C961FD">
        <w:t>qPCR</w:t>
      </w:r>
      <w:r>
        <w:t xml:space="preserve"> testing method. Any sample with C</w:t>
      </w:r>
      <w:r>
        <w:rPr>
          <w:vertAlign w:val="subscript"/>
        </w:rPr>
        <w:t>t</w:t>
      </w:r>
      <w:r>
        <w:t xml:space="preserve"> values of up to 44 would be considered positive. Samples giving readings over 40 would be submitted to AAHL for confirmatory testing. Only batches that passed testing for both WSSV and YHD would be released from biosecurity control.</w:t>
      </w:r>
    </w:p>
    <w:p w14:paraId="4A44A8CB" w14:textId="1A0436EA" w:rsidR="00761AA1" w:rsidRPr="00927201" w:rsidRDefault="00E37FDB" w:rsidP="00D20AC2">
      <w:r>
        <w:t>By 26 September 2017 eight countries (</w:t>
      </w:r>
      <w:r>
        <w:rPr>
          <w:szCs w:val="24"/>
          <w:lang w:eastAsia="en-AU"/>
        </w:rPr>
        <w:t xml:space="preserve">Bangladesh, Brunei Darussalam, China, Denmark, India, Malaysia, Thailand and Vietnam) </w:t>
      </w:r>
      <w:r>
        <w:t>had provided written confirmation that they could meet these new offshore testing and certification conditions.</w:t>
      </w:r>
      <w:r w:rsidR="005B0926">
        <w:t xml:space="preserve"> These countries were placed on an ‘approved </w:t>
      </w:r>
      <w:r w:rsidR="005B0926" w:rsidRPr="00927201">
        <w:t>country’ list for uncooked prawn imports.</w:t>
      </w:r>
    </w:p>
    <w:p w14:paraId="54E744BD" w14:textId="22690AB6" w:rsidR="00CC703E" w:rsidRDefault="00E37FDB" w:rsidP="00D20AC2">
      <w:r w:rsidRPr="0012200D">
        <w:t xml:space="preserve">By </w:t>
      </w:r>
      <w:r w:rsidR="008E6BF8" w:rsidRPr="0012200D">
        <w:t>1 December</w:t>
      </w:r>
      <w:r w:rsidRPr="0012200D">
        <w:t xml:space="preserve"> 2017, </w:t>
      </w:r>
      <w:r w:rsidR="008E6BF8" w:rsidRPr="0012200D">
        <w:t xml:space="preserve">142 </w:t>
      </w:r>
      <w:r w:rsidRPr="0012200D">
        <w:t>consignments</w:t>
      </w:r>
      <w:r w:rsidR="000A05EA" w:rsidRPr="0012200D">
        <w:t xml:space="preserve"> (</w:t>
      </w:r>
      <w:r w:rsidR="008E6BF8" w:rsidRPr="0012200D">
        <w:t>191</w:t>
      </w:r>
      <w:r w:rsidR="000A05EA" w:rsidRPr="0012200D">
        <w:t xml:space="preserve"> batches)</w:t>
      </w:r>
      <w:r w:rsidRPr="0012200D">
        <w:t xml:space="preserve"> of uncooked prawns had been imported under the enhanced import conditions</w:t>
      </w:r>
      <w:r w:rsidR="000A05EA" w:rsidRPr="0012200D">
        <w:t xml:space="preserve"> and</w:t>
      </w:r>
      <w:r w:rsidR="0037074B" w:rsidRPr="0012200D">
        <w:t xml:space="preserve"> </w:t>
      </w:r>
      <w:r w:rsidR="008E6BF8" w:rsidRPr="0012200D">
        <w:t xml:space="preserve">22 </w:t>
      </w:r>
      <w:r w:rsidR="000A05EA" w:rsidRPr="0012200D">
        <w:t xml:space="preserve">more </w:t>
      </w:r>
      <w:r w:rsidR="0037074B" w:rsidRPr="0012200D">
        <w:t xml:space="preserve">consignments were in transit. </w:t>
      </w:r>
      <w:r w:rsidR="000C7250" w:rsidRPr="0012200D">
        <w:t>Of the</w:t>
      </w:r>
      <w:r w:rsidR="00B5515D" w:rsidRPr="0012200D">
        <w:t>se</w:t>
      </w:r>
      <w:r w:rsidR="000C7250" w:rsidRPr="0012200D">
        <w:t xml:space="preserve"> </w:t>
      </w:r>
      <w:r w:rsidR="008E6BF8" w:rsidRPr="0012200D">
        <w:t xml:space="preserve">142 </w:t>
      </w:r>
      <w:r w:rsidR="00D35052" w:rsidRPr="0012200D">
        <w:t>consignments</w:t>
      </w:r>
      <w:r w:rsidR="0037074B" w:rsidRPr="0012200D">
        <w:t>,</w:t>
      </w:r>
      <w:r w:rsidR="00D35052" w:rsidRPr="0012200D">
        <w:t xml:space="preserve"> </w:t>
      </w:r>
      <w:r w:rsidR="008E6BF8" w:rsidRPr="0012200D">
        <w:t xml:space="preserve">100 </w:t>
      </w:r>
      <w:r w:rsidR="000B3D87" w:rsidRPr="0012200D">
        <w:t>consignments (</w:t>
      </w:r>
      <w:r w:rsidR="008E6BF8" w:rsidRPr="0012200D">
        <w:t xml:space="preserve">133 </w:t>
      </w:r>
      <w:r w:rsidR="000B3D87" w:rsidRPr="0012200D">
        <w:t xml:space="preserve">batches) </w:t>
      </w:r>
      <w:r w:rsidR="000A05EA" w:rsidRPr="0012200D">
        <w:t xml:space="preserve">had </w:t>
      </w:r>
      <w:r w:rsidR="00D35052" w:rsidRPr="0012200D">
        <w:t>tested negative for WWSV</w:t>
      </w:r>
      <w:r w:rsidR="0037074B" w:rsidRPr="0012200D">
        <w:t xml:space="preserve">, </w:t>
      </w:r>
      <w:r w:rsidR="008E6BF8" w:rsidRPr="0012200D">
        <w:t xml:space="preserve">3 </w:t>
      </w:r>
      <w:r w:rsidR="000B3D87" w:rsidRPr="0012200D">
        <w:t>consignments (</w:t>
      </w:r>
      <w:r w:rsidR="008E6BF8" w:rsidRPr="0012200D">
        <w:t xml:space="preserve">3 </w:t>
      </w:r>
      <w:r w:rsidR="000B3D87" w:rsidRPr="0012200D">
        <w:t xml:space="preserve">batches) </w:t>
      </w:r>
      <w:r w:rsidR="000A05EA" w:rsidRPr="0012200D">
        <w:t xml:space="preserve">had </w:t>
      </w:r>
      <w:r w:rsidR="0037074B" w:rsidRPr="0012200D">
        <w:t xml:space="preserve">tested positive and the remaining </w:t>
      </w:r>
      <w:r w:rsidR="00AA642C" w:rsidRPr="0012200D">
        <w:t>39</w:t>
      </w:r>
      <w:r w:rsidR="008E6BF8" w:rsidRPr="0012200D">
        <w:t xml:space="preserve"> </w:t>
      </w:r>
      <w:r w:rsidR="0037074B" w:rsidRPr="0012200D">
        <w:t xml:space="preserve">consignments </w:t>
      </w:r>
      <w:r w:rsidR="000B3D87" w:rsidRPr="0012200D">
        <w:t>(</w:t>
      </w:r>
      <w:r w:rsidR="008E6BF8" w:rsidRPr="0012200D">
        <w:t xml:space="preserve">55 </w:t>
      </w:r>
      <w:r w:rsidR="000B3D87" w:rsidRPr="0012200D">
        <w:t xml:space="preserve">batches) </w:t>
      </w:r>
      <w:r w:rsidR="0037074B" w:rsidRPr="0012200D">
        <w:t xml:space="preserve">were </w:t>
      </w:r>
      <w:r w:rsidR="000A05EA" w:rsidRPr="0012200D">
        <w:t xml:space="preserve">held </w:t>
      </w:r>
      <w:r w:rsidR="0037074B" w:rsidRPr="0012200D">
        <w:t>under biosecurity control pend</w:t>
      </w:r>
      <w:r w:rsidR="0037074B" w:rsidRPr="0012200D">
        <w:lastRenderedPageBreak/>
        <w:t>ing test results</w:t>
      </w:r>
      <w:r w:rsidR="00D35052" w:rsidRPr="0012200D">
        <w:t xml:space="preserve">. </w:t>
      </w:r>
      <w:r w:rsidR="00BA3FDB" w:rsidRPr="0012200D">
        <w:t xml:space="preserve">Two </w:t>
      </w:r>
      <w:r w:rsidR="00761AA1" w:rsidRPr="0012200D">
        <w:t xml:space="preserve">of </w:t>
      </w:r>
      <w:r w:rsidR="00BA3FDB" w:rsidRPr="0012200D">
        <w:t>the</w:t>
      </w:r>
      <w:r w:rsidR="0037074B" w:rsidRPr="0012200D">
        <w:t xml:space="preserve"> </w:t>
      </w:r>
      <w:r w:rsidR="00761AA1" w:rsidRPr="0012200D">
        <w:t>consignment</w:t>
      </w:r>
      <w:r w:rsidR="00927201">
        <w:t>s</w:t>
      </w:r>
      <w:r w:rsidR="00761AA1" w:rsidRPr="0012200D">
        <w:t xml:space="preserve"> </w:t>
      </w:r>
      <w:r w:rsidR="000C7250" w:rsidRPr="0012200D">
        <w:t xml:space="preserve">that </w:t>
      </w:r>
      <w:r w:rsidR="00761AA1" w:rsidRPr="0012200D">
        <w:t>test</w:t>
      </w:r>
      <w:r w:rsidR="000C7250" w:rsidRPr="0012200D">
        <w:t>ed</w:t>
      </w:r>
      <w:r w:rsidR="00761AA1" w:rsidRPr="0012200D">
        <w:t xml:space="preserve"> positive </w:t>
      </w:r>
      <w:r w:rsidR="00BA3FDB" w:rsidRPr="0012200D">
        <w:t xml:space="preserve">were to be re-exported while the owner of the third </w:t>
      </w:r>
      <w:r w:rsidR="008E6BF8" w:rsidRPr="0012200D">
        <w:t>was yet to decide whether</w:t>
      </w:r>
      <w:r w:rsidR="0037074B" w:rsidRPr="0012200D">
        <w:t xml:space="preserve"> to </w:t>
      </w:r>
      <w:r w:rsidR="008E6BF8" w:rsidRPr="0012200D">
        <w:t xml:space="preserve">request </w:t>
      </w:r>
      <w:r w:rsidR="00761AA1" w:rsidRPr="0012200D">
        <w:t>confirmatory testing at AAHL</w:t>
      </w:r>
      <w:r w:rsidR="008E6BF8" w:rsidRPr="0012200D">
        <w:t xml:space="preserve"> or re-export</w:t>
      </w:r>
      <w:r w:rsidR="00761AA1" w:rsidRPr="0012200D">
        <w:t>.</w:t>
      </w:r>
    </w:p>
    <w:p w14:paraId="4744E166" w14:textId="6952FC80" w:rsidR="00CC703E" w:rsidRDefault="00E37FDB" w:rsidP="00D20AC2">
      <w:pPr>
        <w:pStyle w:val="Heading2"/>
      </w:pPr>
      <w:bookmarkStart w:id="235" w:name="_Toc490040504"/>
      <w:bookmarkStart w:id="236" w:name="_Toc500508421"/>
      <w:bookmarkEnd w:id="210"/>
      <w:r>
        <w:lastRenderedPageBreak/>
        <w:t>Future pre-border and border measures for trade in prawns</w:t>
      </w:r>
      <w:bookmarkEnd w:id="235"/>
      <w:bookmarkEnd w:id="236"/>
    </w:p>
    <w:p w14:paraId="3887DE9F" w14:textId="7AC395C8" w:rsidR="00CC703E" w:rsidRPr="00D20AC2" w:rsidRDefault="00E37FDB" w:rsidP="00D20AC2">
      <w:pPr>
        <w:pStyle w:val="Heading3"/>
        <w:rPr>
          <w:rStyle w:val="Heading3Char"/>
          <w:rFonts w:eastAsia="Calibri"/>
          <w:b/>
          <w:bCs/>
        </w:rPr>
      </w:pPr>
      <w:bookmarkStart w:id="237" w:name="_Toc500508422"/>
      <w:r w:rsidRPr="00D20AC2">
        <w:rPr>
          <w:rStyle w:val="Heading3Char"/>
          <w:rFonts w:eastAsia="Calibri"/>
          <w:b/>
          <w:bCs/>
        </w:rPr>
        <w:t>Revising prawn import conditions</w:t>
      </w:r>
      <w:bookmarkEnd w:id="237"/>
    </w:p>
    <w:p w14:paraId="4F744810" w14:textId="2D9CF54C" w:rsidR="00CC703E" w:rsidRDefault="00E37FDB">
      <w:pPr>
        <w:spacing w:after="0"/>
      </w:pPr>
      <w:r>
        <w:t>It is clear that the previous prawn import conditions (as they were applied from 2010 to 2016), which relied largely on border biosecurity risk management measures, were singularly ineffective at keeping WSSV out of Australia. The cumulative effect of failures of pre-border and border measures is shown by:</w:t>
      </w:r>
    </w:p>
    <w:p w14:paraId="3AFD6089" w14:textId="39545D78" w:rsidR="00CC703E" w:rsidRDefault="00E37FDB" w:rsidP="00D20AC2">
      <w:pPr>
        <w:pStyle w:val="ListBullet"/>
      </w:pPr>
      <w:r>
        <w:t>high levels of WSSV found in retail prawns during Operation Cattai</w:t>
      </w:r>
    </w:p>
    <w:p w14:paraId="256D2FA1" w14:textId="113428B1" w:rsidR="00CC703E" w:rsidRDefault="00E37FDB" w:rsidP="00D20AC2">
      <w:pPr>
        <w:pStyle w:val="ListBullet"/>
      </w:pPr>
      <w:r>
        <w:t>the high batch failure rate of prawns imported in 2015</w:t>
      </w:r>
      <w:r>
        <w:rPr>
          <w:rFonts w:ascii="Calibri" w:hAnsi="Calibri"/>
        </w:rPr>
        <w:t>–</w:t>
      </w:r>
      <w:r>
        <w:t>16 (as re-estimated in early 2017)</w:t>
      </w:r>
    </w:p>
    <w:p w14:paraId="68C8EE61" w14:textId="1F4319D7" w:rsidR="00CC703E" w:rsidRDefault="00E37FDB" w:rsidP="00D20AC2">
      <w:pPr>
        <w:pStyle w:val="ListBullet"/>
      </w:pPr>
      <w:r>
        <w:t>the detection in 2017 of over 70 per cent of WSSV positivity in uncooked prawn batches imported in 2016 (as found by the post-suspension prawn withdrawal and testing described in section 9.2)</w:t>
      </w:r>
      <w:r w:rsidR="0018567A">
        <w:t>, and</w:t>
      </w:r>
    </w:p>
    <w:p w14:paraId="7F6DF698" w14:textId="7492A46D" w:rsidR="00CC703E" w:rsidRDefault="00CE1401" w:rsidP="00D20AC2">
      <w:pPr>
        <w:pStyle w:val="ListBullet"/>
      </w:pPr>
      <w:r>
        <w:t>possibly</w:t>
      </w:r>
      <w:r w:rsidR="00E37FDB">
        <w:t xml:space="preserve"> the WSD outbreak in south-east Queensland.</w:t>
      </w:r>
    </w:p>
    <w:p w14:paraId="389A32FC" w14:textId="266FE097" w:rsidR="00CC703E" w:rsidRDefault="00E37FDB">
      <w:pPr>
        <w:autoSpaceDE w:val="0"/>
        <w:autoSpaceDN w:val="0"/>
        <w:adjustRightInd w:val="0"/>
        <w:spacing w:after="0"/>
        <w:rPr>
          <w:szCs w:val="24"/>
        </w:rPr>
      </w:pPr>
      <w:r>
        <w:rPr>
          <w:szCs w:val="24"/>
        </w:rPr>
        <w:t xml:space="preserve">Following the 2016–17 WSD outbreak, </w:t>
      </w:r>
      <w:r w:rsidR="00A51122">
        <w:rPr>
          <w:szCs w:val="24"/>
        </w:rPr>
        <w:t xml:space="preserve">and </w:t>
      </w:r>
      <w:r>
        <w:rPr>
          <w:szCs w:val="24"/>
        </w:rPr>
        <w:t>progressive elucidation of the whole prawn import history and findings described in this report, the department announced on 16 May 2017 that it would undertake a review of the biosecurity risks of and the import conditions for prawns and prawn products for human consumption from all countries</w:t>
      </w:r>
      <w:r w:rsidR="00510BDC">
        <w:rPr>
          <w:szCs w:val="24"/>
          <w:vertAlign w:val="superscript"/>
        </w:rPr>
        <w:t>14</w:t>
      </w:r>
      <w:r w:rsidR="001E20FB">
        <w:rPr>
          <w:szCs w:val="24"/>
          <w:vertAlign w:val="superscript"/>
        </w:rPr>
        <w:t>6</w:t>
      </w:r>
      <w:r>
        <w:rPr>
          <w:szCs w:val="24"/>
        </w:rPr>
        <w:t xml:space="preserve">. This review was expected to take at least two years and would also presumably take into account the findings of the IGB and Senate reviews and re-examine risk management measures </w:t>
      </w:r>
      <w:r w:rsidR="00CE1401">
        <w:rPr>
          <w:szCs w:val="24"/>
        </w:rPr>
        <w:t>need</w:t>
      </w:r>
      <w:r>
        <w:rPr>
          <w:szCs w:val="24"/>
        </w:rPr>
        <w:t>ed to achieve Australia’s ALOP.</w:t>
      </w:r>
    </w:p>
    <w:p w14:paraId="0EA2BA80" w14:textId="5FE70B95" w:rsidR="00CC703E" w:rsidRDefault="00E37FDB">
      <w:pPr>
        <w:autoSpaceDE w:val="0"/>
        <w:autoSpaceDN w:val="0"/>
        <w:adjustRightInd w:val="0"/>
        <w:spacing w:after="0"/>
        <w:rPr>
          <w:szCs w:val="24"/>
        </w:rPr>
      </w:pPr>
      <w:r>
        <w:rPr>
          <w:szCs w:val="24"/>
        </w:rPr>
        <w:t xml:space="preserve">The department continually assesses and updates its response to biosecurity threats. Since 2009 the IRA process has been refined and the Act replaced. However, resource constraints make full reviews of IRAs challenging. For example, it took the department 12 years to develop the 2009 </w:t>
      </w:r>
      <w:r w:rsidR="00AA273E">
        <w:rPr>
          <w:szCs w:val="24"/>
        </w:rPr>
        <w:t xml:space="preserve">prawn </w:t>
      </w:r>
      <w:r>
        <w:rPr>
          <w:szCs w:val="24"/>
        </w:rPr>
        <w:t>IRA</w:t>
      </w:r>
      <w:r w:rsidR="00E37F35">
        <w:rPr>
          <w:szCs w:val="24"/>
        </w:rPr>
        <w:t xml:space="preserve"> (</w:t>
      </w:r>
      <w:r w:rsidR="00C961FD">
        <w:rPr>
          <w:szCs w:val="24"/>
        </w:rPr>
        <w:t>c</w:t>
      </w:r>
      <w:r w:rsidR="00E37F35">
        <w:rPr>
          <w:szCs w:val="24"/>
        </w:rPr>
        <w:t>hapter 5)</w:t>
      </w:r>
      <w:r>
        <w:rPr>
          <w:szCs w:val="24"/>
        </w:rPr>
        <w:t xml:space="preserve">. </w:t>
      </w:r>
      <w:r w:rsidRPr="0018567A">
        <w:rPr>
          <w:szCs w:val="24"/>
        </w:rPr>
        <w:t xml:space="preserve">Resource constraints also </w:t>
      </w:r>
      <w:r w:rsidR="00A51122">
        <w:rPr>
          <w:szCs w:val="24"/>
        </w:rPr>
        <w:t xml:space="preserve">potentially </w:t>
      </w:r>
      <w:r w:rsidRPr="0018567A">
        <w:rPr>
          <w:szCs w:val="24"/>
        </w:rPr>
        <w:t xml:space="preserve">affect </w:t>
      </w:r>
      <w:r w:rsidR="00E37F35">
        <w:rPr>
          <w:szCs w:val="24"/>
        </w:rPr>
        <w:t xml:space="preserve">the </w:t>
      </w:r>
      <w:r w:rsidR="00A51122">
        <w:rPr>
          <w:szCs w:val="24"/>
        </w:rPr>
        <w:t xml:space="preserve">department’s </w:t>
      </w:r>
      <w:r w:rsidR="00E37F35">
        <w:rPr>
          <w:szCs w:val="24"/>
        </w:rPr>
        <w:t xml:space="preserve">ability to conduct the </w:t>
      </w:r>
      <w:r w:rsidR="00AA273E">
        <w:rPr>
          <w:szCs w:val="24"/>
        </w:rPr>
        <w:t>depth</w:t>
      </w:r>
      <w:r w:rsidR="00E37F35">
        <w:rPr>
          <w:szCs w:val="24"/>
        </w:rPr>
        <w:t xml:space="preserve"> of </w:t>
      </w:r>
      <w:r w:rsidRPr="0018567A">
        <w:rPr>
          <w:szCs w:val="24"/>
        </w:rPr>
        <w:t xml:space="preserve">stakeholder consultation and </w:t>
      </w:r>
      <w:r w:rsidR="00AA273E">
        <w:rPr>
          <w:szCs w:val="24"/>
        </w:rPr>
        <w:t>to</w:t>
      </w:r>
      <w:r w:rsidRPr="0018567A">
        <w:rPr>
          <w:szCs w:val="24"/>
        </w:rPr>
        <w:t xml:space="preserve"> commission research </w:t>
      </w:r>
      <w:r w:rsidR="00E37F35">
        <w:rPr>
          <w:szCs w:val="24"/>
        </w:rPr>
        <w:t>in res</w:t>
      </w:r>
      <w:r w:rsidR="00AA273E">
        <w:rPr>
          <w:szCs w:val="24"/>
        </w:rPr>
        <w:t>p</w:t>
      </w:r>
      <w:r w:rsidR="00E37F35">
        <w:rPr>
          <w:szCs w:val="24"/>
        </w:rPr>
        <w:t xml:space="preserve">onse to </w:t>
      </w:r>
      <w:r w:rsidRPr="0018567A">
        <w:rPr>
          <w:szCs w:val="24"/>
        </w:rPr>
        <w:t>challenges to specific conditions and appeals</w:t>
      </w:r>
      <w:r w:rsidR="00AA273E">
        <w:rPr>
          <w:szCs w:val="24"/>
        </w:rPr>
        <w:t xml:space="preserve">, which </w:t>
      </w:r>
      <w:r w:rsidR="00A51122">
        <w:rPr>
          <w:szCs w:val="24"/>
        </w:rPr>
        <w:t xml:space="preserve">it </w:t>
      </w:r>
      <w:r w:rsidR="00AA273E">
        <w:rPr>
          <w:szCs w:val="24"/>
        </w:rPr>
        <w:t>was a</w:t>
      </w:r>
      <w:r w:rsidR="00A51122">
        <w:rPr>
          <w:szCs w:val="24"/>
        </w:rPr>
        <w:t>ble to do</w:t>
      </w:r>
      <w:r w:rsidR="00AA273E">
        <w:rPr>
          <w:szCs w:val="24"/>
        </w:rPr>
        <w:t xml:space="preserve"> </w:t>
      </w:r>
      <w:r w:rsidR="00C05D28">
        <w:rPr>
          <w:szCs w:val="24"/>
        </w:rPr>
        <w:t>in developing the previous IRA up to</w:t>
      </w:r>
      <w:r w:rsidR="00AA273E">
        <w:rPr>
          <w:szCs w:val="24"/>
        </w:rPr>
        <w:t xml:space="preserve"> 2009</w:t>
      </w:r>
      <w:r>
        <w:rPr>
          <w:szCs w:val="24"/>
        </w:rPr>
        <w:t>.</w:t>
      </w:r>
    </w:p>
    <w:p w14:paraId="13D988E2" w14:textId="548FEE47" w:rsidR="00CC703E" w:rsidRDefault="00E37FDB">
      <w:pPr>
        <w:spacing w:after="0"/>
      </w:pPr>
      <w:r>
        <w:t>A number of submissions to both this review</w:t>
      </w:r>
      <w:r w:rsidR="00C4751E">
        <w:t xml:space="preserve"> (submissions 1 to 3 in </w:t>
      </w:r>
      <w:r w:rsidR="00A01E13" w:rsidRPr="00A01E13">
        <w:t>Appendix C</w:t>
      </w:r>
      <w:r w:rsidR="00C4751E">
        <w:t>)</w:t>
      </w:r>
      <w:r>
        <w:t xml:space="preserve"> and the Senate review</w:t>
      </w:r>
      <w:r w:rsidR="00362706">
        <w:rPr>
          <w:vertAlign w:val="superscript"/>
        </w:rPr>
        <w:t>4</w:t>
      </w:r>
      <w:r w:rsidR="009C1BB3">
        <w:t xml:space="preserve"> </w:t>
      </w:r>
      <w:r>
        <w:t xml:space="preserve">put the case for importing only cooked prawns into Australia to avoid the risks of (re)-importing WSSV and other known or emerging prawn diseases. These submissions argued that limiting </w:t>
      </w:r>
      <w:r w:rsidR="00A51122">
        <w:t xml:space="preserve">prawn </w:t>
      </w:r>
      <w:r>
        <w:t>imports</w:t>
      </w:r>
      <w:r w:rsidR="00A51122">
        <w:t xml:space="preserve"> to cooked or irradiated product </w:t>
      </w:r>
      <w:r>
        <w:t xml:space="preserve">would remove the need for certain pre-border or border </w:t>
      </w:r>
      <w:r w:rsidR="00A51122">
        <w:t>biosecurity</w:t>
      </w:r>
      <w:r>
        <w:t xml:space="preserve"> measures </w:t>
      </w:r>
      <w:r w:rsidR="00A51122">
        <w:t xml:space="preserve">(notably sampling and testing of individual consignments) </w:t>
      </w:r>
      <w:r>
        <w:t>that had proven to be either ineffective or difficult to implement. They drew parallels with the far more stringent import requirements for different terrestrial animal products such as beef, pork and chicken meat, where cooking is a precautionary risk management measure imposed on most products from countries that are not free of key exotic diseases</w:t>
      </w:r>
      <w:r w:rsidR="00362706">
        <w:rPr>
          <w:vertAlign w:val="superscript"/>
        </w:rPr>
        <w:t>8</w:t>
      </w:r>
      <w:r w:rsidR="00656A9A">
        <w:rPr>
          <w:vertAlign w:val="superscript"/>
        </w:rPr>
        <w:t>,</w:t>
      </w:r>
      <w:r w:rsidR="00656A9A" w:rsidRPr="00656A9A">
        <w:rPr>
          <w:vertAlign w:val="superscript"/>
          <w:lang w:eastAsia="ja-JP"/>
        </w:rPr>
        <w:t xml:space="preserve"> </w:t>
      </w:r>
      <w:r w:rsidR="00362706">
        <w:rPr>
          <w:vertAlign w:val="superscript"/>
        </w:rPr>
        <w:t>14</w:t>
      </w:r>
      <w:r w:rsidR="00790119">
        <w:rPr>
          <w:vertAlign w:val="superscript"/>
        </w:rPr>
        <w:t>7</w:t>
      </w:r>
      <w:r>
        <w:t>.</w:t>
      </w:r>
    </w:p>
    <w:p w14:paraId="1B650B6A" w14:textId="609458ED" w:rsidR="00CC703E" w:rsidRDefault="00E37FDB">
      <w:pPr>
        <w:spacing w:after="0"/>
        <w:rPr>
          <w:rStyle w:val="Heading3Char"/>
          <w:rFonts w:eastAsia="Calibri"/>
          <w:b w:val="0"/>
          <w:bCs w:val="0"/>
          <w:color w:val="auto"/>
          <w:szCs w:val="22"/>
        </w:rPr>
      </w:pPr>
      <w:r>
        <w:lastRenderedPageBreak/>
        <w:t>It is clear that requiring cooking or irradiation of prawns, either offshore or in an approved premise in Australia, would minimise the risk of</w:t>
      </w:r>
      <w:r w:rsidR="00037EB8">
        <w:t xml:space="preserve"> entry of</w:t>
      </w:r>
      <w:r>
        <w:t xml:space="preserve"> </w:t>
      </w:r>
      <w:r w:rsidR="00037EB8">
        <w:t>infected</w:t>
      </w:r>
      <w:r>
        <w:t xml:space="preserve"> uncooked prawns </w:t>
      </w:r>
      <w:r w:rsidR="00037EB8">
        <w:t xml:space="preserve">to Australia and their subsequent availability </w:t>
      </w:r>
      <w:r>
        <w:t>on the Australian retail market. This would be analogous to arrangements for imported pork products, such that no uncooked product is permitted post-border entry</w:t>
      </w:r>
      <w:r w:rsidR="003B5B02">
        <w:rPr>
          <w:vertAlign w:val="superscript"/>
        </w:rPr>
        <w:t>14</w:t>
      </w:r>
      <w:r w:rsidR="00790119">
        <w:rPr>
          <w:vertAlign w:val="superscript"/>
        </w:rPr>
        <w:t>8</w:t>
      </w:r>
      <w:r>
        <w:rPr>
          <w:rStyle w:val="Heading3Char"/>
          <w:rFonts w:eastAsia="Calibri"/>
          <w:b w:val="0"/>
          <w:bCs w:val="0"/>
          <w:color w:val="auto"/>
          <w:szCs w:val="22"/>
        </w:rPr>
        <w:t>.</w:t>
      </w:r>
      <w:r w:rsidR="00B874F9">
        <w:rPr>
          <w:rStyle w:val="Heading3Char"/>
          <w:rFonts w:eastAsia="Calibri"/>
          <w:b w:val="0"/>
          <w:bCs w:val="0"/>
          <w:color w:val="auto"/>
          <w:szCs w:val="22"/>
        </w:rPr>
        <w:t xml:space="preserve"> </w:t>
      </w:r>
      <w:r w:rsidR="00B874F9">
        <w:t>However, there remain questions about whether virus in ‘cooked’ product is truly inactivated, especially in lightly cooked product imported with labels indicating that further cooking is required (section 5.3.3; Recommendation 3).</w:t>
      </w:r>
    </w:p>
    <w:p w14:paraId="0E7395A9" w14:textId="3B1B65C3" w:rsidR="00CC703E" w:rsidRDefault="00E37FDB">
      <w:pPr>
        <w:spacing w:after="0"/>
      </w:pPr>
      <w:r>
        <w:t xml:space="preserve">Nevertheless, the department has </w:t>
      </w:r>
      <w:r w:rsidR="00CE1401">
        <w:t xml:space="preserve">already </w:t>
      </w:r>
      <w:r>
        <w:t xml:space="preserve">implemented several changes </w:t>
      </w:r>
      <w:r w:rsidR="00CE1401">
        <w:t xml:space="preserve">to prawn </w:t>
      </w:r>
      <w:r>
        <w:t xml:space="preserve">import conditions during and since the import suspension, and </w:t>
      </w:r>
      <w:r w:rsidR="00CE1401">
        <w:t xml:space="preserve">uncooked prawn imports have recommenced under the enhanced conditions described in Section 9.3. </w:t>
      </w:r>
      <w:r>
        <w:t>It therefore seems likely that uncooked prawn products will continue to be imported into Australia for at least the next two years. For these reasons, we must consider how the biosecurity risks of uncooked prawn imports can be managed better in future.</w:t>
      </w:r>
    </w:p>
    <w:p w14:paraId="207A8A2C" w14:textId="047E9A40" w:rsidR="00CC703E" w:rsidRPr="00FF1541" w:rsidRDefault="00E37FDB" w:rsidP="00FF1541">
      <w:pPr>
        <w:pStyle w:val="Heading3"/>
        <w:rPr>
          <w:rStyle w:val="Heading3Char"/>
          <w:rFonts w:eastAsia="Calibri"/>
          <w:b/>
          <w:bCs/>
        </w:rPr>
      </w:pPr>
      <w:bookmarkStart w:id="238" w:name="_Toc500508423"/>
      <w:r w:rsidRPr="00FF1541">
        <w:rPr>
          <w:rStyle w:val="Heading3Char"/>
          <w:rFonts w:eastAsia="Calibri"/>
          <w:b/>
          <w:bCs/>
        </w:rPr>
        <w:t>Future pre-border biosecurity risk management for trade in prawns</w:t>
      </w:r>
      <w:bookmarkEnd w:id="238"/>
    </w:p>
    <w:p w14:paraId="18137AE0" w14:textId="044076D4" w:rsidR="00CC703E" w:rsidRDefault="00E37FDB">
      <w:pPr>
        <w:autoSpaceDE w:val="0"/>
        <w:autoSpaceDN w:val="0"/>
        <w:adjustRightInd w:val="0"/>
        <w:spacing w:after="0"/>
        <w:rPr>
          <w:rFonts w:cs="TimesNewRomanPSMT"/>
          <w:szCs w:val="24"/>
        </w:rPr>
      </w:pPr>
      <w:r>
        <w:rPr>
          <w:rFonts w:cs="TimesNewRomanPSMT"/>
          <w:szCs w:val="24"/>
        </w:rPr>
        <w:t xml:space="preserve">When the prawn IRA was being developed over a decade ago, the department considered it impractical to rely much on pre-border risk </w:t>
      </w:r>
      <w:r>
        <w:rPr>
          <w:szCs w:val="24"/>
        </w:rPr>
        <w:t>management</w:t>
      </w:r>
      <w:r>
        <w:rPr>
          <w:rFonts w:cs="TimesNewRomanPSMT"/>
          <w:szCs w:val="24"/>
        </w:rPr>
        <w:t xml:space="preserve"> activities because arrangements between the department and competent authorities (CAs) were often poorly formalised. Since that time, the department has improved its pre-border risk management processes. The requirement for CAs to certify that uncooked prawn imports have passed offshore WSSV and YHD testing, with further seals-intact inspection and testing on arrival, is a step forward in keeping infected prawns out of the country.</w:t>
      </w:r>
    </w:p>
    <w:p w14:paraId="5960F37B" w14:textId="1D9DA974" w:rsidR="00037EB8" w:rsidRDefault="00037EB8" w:rsidP="00FF1541">
      <w:r w:rsidRPr="00CB58BA">
        <w:t>However, prawn sampling and testing regimes</w:t>
      </w:r>
      <w:r>
        <w:t xml:space="preserve">, even </w:t>
      </w:r>
      <w:r w:rsidR="00341520">
        <w:t>as</w:t>
      </w:r>
      <w:r>
        <w:t xml:space="preserve"> enhanced recently by the department, can </w:t>
      </w:r>
      <w:r w:rsidRPr="00CB58BA">
        <w:t>only be expected to exclude most but not all infected prawn batches</w:t>
      </w:r>
      <w:r>
        <w:t>.</w:t>
      </w:r>
      <w:r w:rsidR="00242B77">
        <w:t xml:space="preserve"> </w:t>
      </w:r>
      <w:r>
        <w:t xml:space="preserve">Hence their limitations </w:t>
      </w:r>
      <w:r w:rsidRPr="00CB58BA">
        <w:t>will still apply when this pre-export testing is carried out.</w:t>
      </w:r>
      <w:r>
        <w:t xml:space="preserve"> Some batches cleared overseas will still be found to be WSSV positive by border sampling and testing on arrival—even those subjected to a rigorously applied sampling and testing regime that aims to detect a 5 per cent within-batch prevalence with 95 per cent confidence</w:t>
      </w:r>
      <w:r w:rsidR="00341520">
        <w:t>. E</w:t>
      </w:r>
      <w:r>
        <w:t>ven with this repeated batch testing</w:t>
      </w:r>
      <w:r w:rsidR="00341520">
        <w:t xml:space="preserve"> implemented perfectly</w:t>
      </w:r>
      <w:r>
        <w:t xml:space="preserve">, a small number of </w:t>
      </w:r>
      <w:r w:rsidR="00341520">
        <w:t>virus-</w:t>
      </w:r>
      <w:r>
        <w:t xml:space="preserve">infected batches </w:t>
      </w:r>
      <w:r w:rsidR="00341520">
        <w:t xml:space="preserve">of prawns </w:t>
      </w:r>
      <w:r>
        <w:t>will enter Australia.</w:t>
      </w:r>
    </w:p>
    <w:p w14:paraId="00066A62" w14:textId="77777777" w:rsidR="0044578C" w:rsidRPr="0044578C" w:rsidRDefault="0044578C" w:rsidP="0044578C">
      <w:pPr>
        <w:tabs>
          <w:tab w:val="clear" w:pos="567"/>
        </w:tabs>
        <w:spacing w:after="0"/>
      </w:pPr>
      <w:r w:rsidRPr="0044578C">
        <w:t>The department interacts regularly with key pre-border and border stakeholders to promote better understanding and awareness of biosecurity risks in the prawn trade. Stakeholders include overseas competent authorities and embassies, brokers and importers, and owners and managers of approved arrangements (warehouses and laboratories). The department updates these stakeholders on import conditions, and encourages their enhanced compliance with biosecurity requirements and controls, by:</w:t>
      </w:r>
    </w:p>
    <w:p w14:paraId="112BEE5F" w14:textId="702E447F" w:rsidR="0044578C" w:rsidRPr="0044578C" w:rsidRDefault="0044578C" w:rsidP="0044578C">
      <w:pPr>
        <w:numPr>
          <w:ilvl w:val="0"/>
          <w:numId w:val="39"/>
        </w:numPr>
        <w:tabs>
          <w:tab w:val="clear" w:pos="567"/>
        </w:tabs>
        <w:spacing w:after="0"/>
      </w:pPr>
      <w:r w:rsidRPr="003B5B02">
        <w:t>updating import requirements in</w:t>
      </w:r>
      <w:r w:rsidRPr="0044578C">
        <w:t xml:space="preserve"> </w:t>
      </w:r>
      <w:r w:rsidR="00AA6CD1">
        <w:t xml:space="preserve">its </w:t>
      </w:r>
      <w:r w:rsidR="00A01E13" w:rsidRPr="00A01E13">
        <w:t>Biosecurity Import Conditions (BICON) system</w:t>
      </w:r>
      <w:r w:rsidR="003B5B02" w:rsidRPr="0087638C">
        <w:rPr>
          <w:vertAlign w:val="superscript"/>
        </w:rPr>
        <w:t>13</w:t>
      </w:r>
      <w:r w:rsidR="00790119">
        <w:rPr>
          <w:vertAlign w:val="superscript"/>
        </w:rPr>
        <w:t>0</w:t>
      </w:r>
      <w:r w:rsidRPr="0044578C">
        <w:t xml:space="preserve"> as it identifies changes in biosecurity risk in source countries, as a result </w:t>
      </w:r>
      <w:r w:rsidRPr="0044578C">
        <w:lastRenderedPageBreak/>
        <w:t>of ongoing surveillance and intelligence activities, OIE notifications and International Biosecurity Intelligence System alerts, and</w:t>
      </w:r>
    </w:p>
    <w:p w14:paraId="5D6471E7" w14:textId="77777777" w:rsidR="0044578C" w:rsidRPr="0044578C" w:rsidRDefault="0044578C" w:rsidP="0044578C">
      <w:pPr>
        <w:numPr>
          <w:ilvl w:val="0"/>
          <w:numId w:val="39"/>
        </w:numPr>
        <w:tabs>
          <w:tab w:val="clear" w:pos="567"/>
        </w:tabs>
        <w:spacing w:after="0"/>
      </w:pPr>
      <w:r w:rsidRPr="0044578C">
        <w:t>issuing BICON alert notices when required on changes to import requirements, outbreak of a pest in a country of origin or an area within a country, on test regimes and laboratories approved for testing WSSV and YHV.</w:t>
      </w:r>
    </w:p>
    <w:p w14:paraId="43CB3BB1" w14:textId="77777777" w:rsidR="00AA6CD1" w:rsidRDefault="00AA6CD1" w:rsidP="00AA6CD1">
      <w:pPr>
        <w:tabs>
          <w:tab w:val="clear" w:pos="567"/>
        </w:tabs>
      </w:pPr>
      <w:r>
        <w:t>The current import requirements in the BICON system for uncooked peeled prawns require accompanying official government certificate to state the following:</w:t>
      </w:r>
    </w:p>
    <w:p w14:paraId="125DDC77" w14:textId="66BDDCB3" w:rsidR="0044578C" w:rsidRPr="0044578C" w:rsidRDefault="00AA6CD1" w:rsidP="0087638C">
      <w:pPr>
        <w:pStyle w:val="Quote"/>
      </w:pPr>
      <w:r>
        <w:t>Product from each batch has been found post-processing to be free of white spot syndrome virus and yellow head virus based on a sampling and testing method recognised by the World Organisation for Animal Health (OIE) for demonstrating absence of disease.</w:t>
      </w:r>
    </w:p>
    <w:p w14:paraId="0AB0A334" w14:textId="0E7AB673" w:rsidR="00CC703E" w:rsidRDefault="0044578C" w:rsidP="0087638C">
      <w:pPr>
        <w:tabs>
          <w:tab w:val="clear" w:pos="567"/>
        </w:tabs>
        <w:spacing w:before="360" w:after="0"/>
      </w:pPr>
      <w:r>
        <w:t>However</w:t>
      </w:r>
      <w:r w:rsidRPr="003B5B02">
        <w:t>, t</w:t>
      </w:r>
      <w:r w:rsidR="00E37FDB" w:rsidRPr="003B5B02">
        <w:t>here is no method in the OIE</w:t>
      </w:r>
      <w:r w:rsidR="00E37FDB" w:rsidRPr="00BD3FAD">
        <w:t xml:space="preserve"> </w:t>
      </w:r>
      <w:r w:rsidR="00D06FCD" w:rsidRPr="00D06FCD">
        <w:rPr>
          <w:i/>
        </w:rPr>
        <w:t>Manual of diagnostic tests for aquatic animals</w:t>
      </w:r>
      <w:r w:rsidR="003B5B02" w:rsidRPr="002D2F6A">
        <w:rPr>
          <w:rStyle w:val="Hyperlink"/>
          <w:color w:val="auto"/>
          <w:u w:val="none"/>
          <w:vertAlign w:val="superscript"/>
        </w:rPr>
        <w:t>1</w:t>
      </w:r>
      <w:r w:rsidR="00790119" w:rsidRPr="00494835">
        <w:rPr>
          <w:rStyle w:val="Hyperlink"/>
          <w:color w:val="auto"/>
          <w:u w:val="none"/>
          <w:vertAlign w:val="superscript"/>
        </w:rPr>
        <w:t>49</w:t>
      </w:r>
      <w:r w:rsidR="00E37FDB">
        <w:t xml:space="preserve"> for demonstrating complete absence of disease </w:t>
      </w:r>
      <w:r w:rsidR="00E37FDB" w:rsidRPr="00EB0F61">
        <w:t>in a consignment.</w:t>
      </w:r>
      <w:r w:rsidR="00E37FDB">
        <w:t xml:space="preserve"> </w:t>
      </w:r>
      <w:r w:rsidR="00AA6CD1">
        <w:t xml:space="preserve">Article 1.4.8 of the </w:t>
      </w:r>
      <w:r w:rsidR="00D06FCD" w:rsidRPr="00D06FCD">
        <w:rPr>
          <w:i/>
        </w:rPr>
        <w:t>Aquatic Animal Health Code</w:t>
      </w:r>
      <w:r w:rsidR="001E20FB" w:rsidRPr="002D2F6A">
        <w:rPr>
          <w:rStyle w:val="Hyperlink"/>
          <w:color w:val="auto"/>
          <w:u w:val="none"/>
          <w:vertAlign w:val="superscript"/>
        </w:rPr>
        <w:t>23</w:t>
      </w:r>
      <w:r w:rsidR="00E37FDB">
        <w:t>:</w:t>
      </w:r>
    </w:p>
    <w:p w14:paraId="3571BD16" w14:textId="6B01523F" w:rsidR="00CC703E" w:rsidRPr="0018567A" w:rsidRDefault="00E37FDB" w:rsidP="0018567A">
      <w:pPr>
        <w:pStyle w:val="Quote"/>
        <w:rPr>
          <w:rStyle w:val="QuoteChar"/>
        </w:rPr>
      </w:pPr>
      <w:r w:rsidRPr="0018567A">
        <w:rPr>
          <w:rStyle w:val="QuoteChar"/>
        </w:rPr>
        <w:t>Scientific methods cannot provide absolute certainty of the absence of disease. Demonstrating freedom from disease involves providing sufficient evidence to demonstrate (to a level of confidence acceptable to member countries) that disease with a specified pathogen is not present in a population. In practice, it is not possible to prove (that is, be 100 per cent confident) that a population is free from disease. Instead, the aim is to provide adequate evidence (to an acceptable level of confidence), that disease, if present, is present in less than a specified proportion of the population (that is, threshold prevalence).</w:t>
      </w:r>
    </w:p>
    <w:p w14:paraId="676FBB7F" w14:textId="5EC129E3" w:rsidR="00CC703E" w:rsidRDefault="00E37FDB" w:rsidP="00BD3FAD">
      <w:pPr>
        <w:tabs>
          <w:tab w:val="clear" w:pos="567"/>
        </w:tabs>
        <w:spacing w:before="240" w:after="0"/>
      </w:pPr>
      <w:r>
        <w:t>This is why the</w:t>
      </w:r>
      <w:r w:rsidR="00341520">
        <w:t xml:space="preserve"> 2009 </w:t>
      </w:r>
      <w:r>
        <w:t xml:space="preserve">IRA conditions specified ‘95 per cent confidence in detecting a batch prevalence of 5 per cent or greater’. Indeed, the OIE suggests that for a test that is 100 per cent sensitive and specific, a random sample size of 150 prawns will still only detect an infection at 2 per cent or greater in </w:t>
      </w:r>
      <w:r w:rsidR="00341520">
        <w:t>a</w:t>
      </w:r>
      <w:r>
        <w:t xml:space="preserve"> population.</w:t>
      </w:r>
    </w:p>
    <w:p w14:paraId="0B94909E" w14:textId="1CB4D1AE" w:rsidR="00AA6CD1" w:rsidRDefault="002024CF" w:rsidP="0087638C">
      <w:pPr>
        <w:tabs>
          <w:tab w:val="clear" w:pos="567"/>
        </w:tabs>
        <w:spacing w:after="0"/>
      </w:pPr>
      <w:r w:rsidRPr="002024CF">
        <w:t>It would be useful for the department to review import requirements currently in the BICON system and align them with OIE terminology.</w:t>
      </w:r>
    </w:p>
    <w:p w14:paraId="7FD3C397" w14:textId="77777777" w:rsidR="00AA6CD1" w:rsidRPr="00AA6CD1" w:rsidRDefault="00AA6CD1" w:rsidP="0087638C">
      <w:pPr>
        <w:pStyle w:val="Heading3"/>
        <w:numPr>
          <w:ilvl w:val="0"/>
          <w:numId w:val="0"/>
        </w:numPr>
        <w:pBdr>
          <w:top w:val="single" w:sz="4" w:space="1" w:color="auto"/>
          <w:left w:val="single" w:sz="4" w:space="1" w:color="auto"/>
          <w:bottom w:val="single" w:sz="4" w:space="1" w:color="auto"/>
          <w:right w:val="single" w:sz="4" w:space="1" w:color="auto"/>
        </w:pBdr>
        <w:ind w:left="794" w:hanging="794"/>
      </w:pPr>
      <w:bookmarkStart w:id="239" w:name="_Toc499963176"/>
      <w:bookmarkStart w:id="240" w:name="_Toc500162482"/>
      <w:bookmarkStart w:id="241" w:name="_Toc500238739"/>
      <w:bookmarkStart w:id="242" w:name="_Toc500508424"/>
      <w:r w:rsidRPr="00AA6CD1">
        <w:t xml:space="preserve">Recommendation </w:t>
      </w:r>
      <w:r w:rsidR="00F329C0">
        <w:fldChar w:fldCharType="begin"/>
      </w:r>
      <w:r w:rsidR="00F329C0">
        <w:instrText xml:space="preserve"> SEQ Recommendation \* ARABIC </w:instrText>
      </w:r>
      <w:r w:rsidR="00F329C0">
        <w:fldChar w:fldCharType="separate"/>
      </w:r>
      <w:r w:rsidR="00121BC1">
        <w:rPr>
          <w:noProof/>
        </w:rPr>
        <w:t>4</w:t>
      </w:r>
      <w:bookmarkEnd w:id="239"/>
      <w:bookmarkEnd w:id="240"/>
      <w:bookmarkEnd w:id="241"/>
      <w:bookmarkEnd w:id="242"/>
      <w:r w:rsidR="00F329C0">
        <w:rPr>
          <w:noProof/>
        </w:rPr>
        <w:fldChar w:fldCharType="end"/>
      </w:r>
    </w:p>
    <w:p w14:paraId="7A036DF0" w14:textId="00D076BE" w:rsidR="00AA6CD1" w:rsidRPr="00AA6CD1" w:rsidRDefault="00AA6CD1" w:rsidP="0087638C">
      <w:pPr>
        <w:pBdr>
          <w:top w:val="single" w:sz="4" w:space="1" w:color="auto"/>
          <w:left w:val="single" w:sz="4" w:space="1" w:color="auto"/>
          <w:bottom w:val="single" w:sz="4" w:space="1" w:color="auto"/>
          <w:right w:val="single" w:sz="4" w:space="1" w:color="auto"/>
        </w:pBdr>
        <w:tabs>
          <w:tab w:val="clear" w:pos="567"/>
        </w:tabs>
        <w:spacing w:before="0" w:after="0"/>
      </w:pPr>
      <w:r w:rsidRPr="00AA6CD1">
        <w:t xml:space="preserve">The department should review import conditions for uncooked prawns listed on </w:t>
      </w:r>
      <w:r w:rsidR="009664DA">
        <w:t>its</w:t>
      </w:r>
      <w:r w:rsidRPr="00AA6CD1">
        <w:t xml:space="preserve"> Biosecurity Import Conditions (BICON) </w:t>
      </w:r>
      <w:r w:rsidR="009664DA" w:rsidRPr="00AA6CD1">
        <w:t xml:space="preserve">system </w:t>
      </w:r>
      <w:r w:rsidRPr="00AA6CD1">
        <w:t>to ensure clarity and consistency with OIE terminology, scientific accuracy and usefulness for verification at the border.</w:t>
      </w:r>
    </w:p>
    <w:p w14:paraId="167BFADA" w14:textId="3D94A1E2" w:rsidR="00AA6CD1" w:rsidRPr="00C4292B" w:rsidRDefault="00AA6CD1" w:rsidP="0087638C">
      <w:pPr>
        <w:pBdr>
          <w:top w:val="single" w:sz="4" w:space="1" w:color="auto"/>
          <w:left w:val="single" w:sz="4" w:space="1" w:color="auto"/>
          <w:bottom w:val="single" w:sz="4" w:space="1" w:color="auto"/>
          <w:right w:val="single" w:sz="4" w:space="1" w:color="auto"/>
        </w:pBdr>
      </w:pPr>
      <w:r w:rsidRPr="00AA6CD1">
        <w:rPr>
          <w:b/>
        </w:rPr>
        <w:t>Department’s response:</w:t>
      </w:r>
      <w:r w:rsidR="00C4292B">
        <w:t xml:space="preserve"> </w:t>
      </w:r>
      <w:r w:rsidR="00C4292B" w:rsidRPr="00C4292B">
        <w:t>Agree. Import conditions have been reviewed and updated and will be further reviewed and updated as the risk review progresses.</w:t>
      </w:r>
    </w:p>
    <w:p w14:paraId="767A2ECC" w14:textId="16342C37" w:rsidR="00341520" w:rsidRDefault="00341520" w:rsidP="009C11AF">
      <w:pPr>
        <w:autoSpaceDE w:val="0"/>
        <w:autoSpaceDN w:val="0"/>
        <w:adjustRightInd w:val="0"/>
        <w:spacing w:before="360" w:after="0"/>
        <w:rPr>
          <w:rFonts w:cs="TimesNewRomanPSMT"/>
          <w:szCs w:val="24"/>
        </w:rPr>
      </w:pPr>
      <w:r w:rsidRPr="00CB58BA">
        <w:rPr>
          <w:rFonts w:cs="TimesNewRomanPSMT"/>
          <w:szCs w:val="24"/>
        </w:rPr>
        <w:t>After resumption of imports</w:t>
      </w:r>
      <w:r>
        <w:rPr>
          <w:rFonts w:cs="TimesNewRomanPSMT"/>
          <w:szCs w:val="24"/>
        </w:rPr>
        <w:t xml:space="preserve"> in July 2017, the department</w:t>
      </w:r>
      <w:r w:rsidRPr="00CB58BA">
        <w:rPr>
          <w:rFonts w:cs="TimesNewRomanPSMT"/>
          <w:szCs w:val="24"/>
        </w:rPr>
        <w:t xml:space="preserve"> moved to an ‘approved country’ list (</w:t>
      </w:r>
      <w:r>
        <w:rPr>
          <w:rFonts w:cs="TimesNewRomanPSMT"/>
          <w:szCs w:val="24"/>
        </w:rPr>
        <w:t>section</w:t>
      </w:r>
      <w:r w:rsidRPr="00CB58BA">
        <w:t xml:space="preserve"> 9</w:t>
      </w:r>
      <w:r>
        <w:t>.3</w:t>
      </w:r>
      <w:r w:rsidRPr="00CB58BA">
        <w:rPr>
          <w:rFonts w:cs="TimesNewRomanPSMT"/>
          <w:szCs w:val="24"/>
        </w:rPr>
        <w:t>)</w:t>
      </w:r>
      <w:r w:rsidRPr="00CB58BA">
        <w:t>,</w:t>
      </w:r>
      <w:r>
        <w:t xml:space="preserve"> enabling it to provide the </w:t>
      </w:r>
      <w:r w:rsidR="007B2607">
        <w:t>competent authority (</w:t>
      </w:r>
      <w:r>
        <w:t>CA</w:t>
      </w:r>
      <w:r w:rsidR="007B2607">
        <w:t>)</w:t>
      </w:r>
      <w:r>
        <w:t xml:space="preserve"> in an approved country with feedback on non-compliance by a supplier. This would allow </w:t>
      </w:r>
      <w:r>
        <w:lastRenderedPageBreak/>
        <w:t>the CA to take corrective action,</w:t>
      </w:r>
      <w:r>
        <w:rPr>
          <w:rFonts w:cs="TimesNewRomanPSMT"/>
          <w:szCs w:val="24"/>
        </w:rPr>
        <w:t xml:space="preserve"> with provisions to delist exporters or </w:t>
      </w:r>
      <w:r>
        <w:t xml:space="preserve">suspend imports from a country </w:t>
      </w:r>
      <w:r>
        <w:rPr>
          <w:rFonts w:cs="TimesNewRomanPSMT"/>
          <w:szCs w:val="24"/>
        </w:rPr>
        <w:t>if an exporter consistently failed to meet import requirements.</w:t>
      </w:r>
      <w:r>
        <w:t xml:space="preserve"> </w:t>
      </w:r>
      <w:r w:rsidR="002F38A4">
        <w:rPr>
          <w:rFonts w:cs="TimesNewRomanPSMT"/>
          <w:szCs w:val="24"/>
        </w:rPr>
        <w:t>The department intended</w:t>
      </w:r>
      <w:r>
        <w:rPr>
          <w:rFonts w:cs="TimesNewRomanPSMT"/>
          <w:szCs w:val="24"/>
        </w:rPr>
        <w:t xml:space="preserve"> to audit CAs and evaluate compartments and zones that are free of WSSV and YHV in the near future.</w:t>
      </w:r>
    </w:p>
    <w:p w14:paraId="4478F46B" w14:textId="5F4F11B9" w:rsidR="00CC703E" w:rsidRDefault="00E37FDB">
      <w:pPr>
        <w:autoSpaceDE w:val="0"/>
        <w:autoSpaceDN w:val="0"/>
        <w:adjustRightInd w:val="0"/>
        <w:spacing w:after="0"/>
        <w:rPr>
          <w:rFonts w:cs="TimesNewRomanPSMT"/>
          <w:szCs w:val="24"/>
        </w:rPr>
      </w:pPr>
      <w:r>
        <w:rPr>
          <w:rFonts w:cs="TimesNewRomanPSMT"/>
          <w:szCs w:val="24"/>
        </w:rPr>
        <w:t xml:space="preserve">The </w:t>
      </w:r>
      <w:r w:rsidR="00341520">
        <w:rPr>
          <w:rFonts w:cs="TimesNewRomanPSMT"/>
          <w:szCs w:val="24"/>
        </w:rPr>
        <w:t xml:space="preserve">new import </w:t>
      </w:r>
      <w:r>
        <w:rPr>
          <w:rFonts w:cs="TimesNewRomanPSMT"/>
          <w:szCs w:val="24"/>
        </w:rPr>
        <w:t xml:space="preserve">requirements provide an opportunity for countries </w:t>
      </w:r>
      <w:r w:rsidR="002F38A4">
        <w:rPr>
          <w:rFonts w:cs="TimesNewRomanPSMT"/>
          <w:szCs w:val="24"/>
        </w:rPr>
        <w:t xml:space="preserve">(and specifically their CAs) </w:t>
      </w:r>
      <w:r>
        <w:rPr>
          <w:rFonts w:cs="TimesNewRomanPSMT"/>
          <w:szCs w:val="24"/>
        </w:rPr>
        <w:t xml:space="preserve">to work with their prawn industries and major companies to establish specific pathogen free (SPF) biosecure supply chains. </w:t>
      </w:r>
      <w:r w:rsidR="002F38A4">
        <w:rPr>
          <w:rFonts w:cs="TimesNewRomanPSMT"/>
          <w:szCs w:val="24"/>
        </w:rPr>
        <w:t xml:space="preserve">Many global examples </w:t>
      </w:r>
      <w:r w:rsidR="0095120F">
        <w:rPr>
          <w:rFonts w:cs="TimesNewRomanPSMT"/>
          <w:szCs w:val="24"/>
        </w:rPr>
        <w:t>of such</w:t>
      </w:r>
      <w:r w:rsidR="00C05D28">
        <w:rPr>
          <w:rFonts w:cs="TimesNewRomanPSMT"/>
          <w:szCs w:val="24"/>
        </w:rPr>
        <w:t xml:space="preserve"> </w:t>
      </w:r>
      <w:r w:rsidR="0095120F">
        <w:rPr>
          <w:rFonts w:cs="TimesNewRomanPSMT"/>
          <w:szCs w:val="24"/>
        </w:rPr>
        <w:t xml:space="preserve">chains </w:t>
      </w:r>
      <w:r w:rsidR="002F38A4">
        <w:rPr>
          <w:rFonts w:cs="TimesNewRomanPSMT"/>
          <w:szCs w:val="24"/>
        </w:rPr>
        <w:t xml:space="preserve">exist, </w:t>
      </w:r>
      <w:r w:rsidR="00C57150">
        <w:rPr>
          <w:rFonts w:cs="TimesNewRomanPSMT"/>
          <w:szCs w:val="24"/>
        </w:rPr>
        <w:t>for</w:t>
      </w:r>
      <w:r w:rsidR="002F38A4">
        <w:rPr>
          <w:rFonts w:cs="TimesNewRomanPSMT"/>
          <w:szCs w:val="24"/>
        </w:rPr>
        <w:t xml:space="preserve"> varied agricultural commodities, </w:t>
      </w:r>
      <w:r w:rsidR="00C05D28">
        <w:rPr>
          <w:rFonts w:cs="TimesNewRomanPSMT"/>
          <w:szCs w:val="24"/>
        </w:rPr>
        <w:t>with</w:t>
      </w:r>
      <w:r w:rsidR="002F38A4">
        <w:rPr>
          <w:rFonts w:cs="TimesNewRomanPSMT"/>
          <w:szCs w:val="24"/>
        </w:rPr>
        <w:t xml:space="preserve"> </w:t>
      </w:r>
      <w:r>
        <w:t xml:space="preserve">biosecure arrangements </w:t>
      </w:r>
      <w:r w:rsidR="002F38A4">
        <w:t xml:space="preserve">‘from farm to fork’ </w:t>
      </w:r>
      <w:r w:rsidR="0095120F">
        <w:t>underpinned by</w:t>
      </w:r>
      <w:r w:rsidR="00C57150">
        <w:t xml:space="preserve"> v</w:t>
      </w:r>
      <w:r w:rsidR="0095120F">
        <w:t xml:space="preserve">erifiable </w:t>
      </w:r>
      <w:r>
        <w:t>quality assur</w:t>
      </w:r>
      <w:r w:rsidR="00C57150">
        <w:t>ed</w:t>
      </w:r>
      <w:r w:rsidR="0095120F">
        <w:t>,</w:t>
      </w:r>
      <w:r>
        <w:t xml:space="preserve"> hazard analysis and critical control point (HACCP)-based systems. Such arrangements </w:t>
      </w:r>
      <w:r w:rsidR="00C05D28">
        <w:t>will require overseas</w:t>
      </w:r>
      <w:r w:rsidR="0095120F">
        <w:t xml:space="preserve"> prawn farms </w:t>
      </w:r>
      <w:r w:rsidR="00C05D28">
        <w:t xml:space="preserve">to maintain their freedom from WSSV and YHD by </w:t>
      </w:r>
      <w:r>
        <w:t>excellent on-farm biosecurity</w:t>
      </w:r>
      <w:r w:rsidR="007B2607">
        <w:t>. L</w:t>
      </w:r>
      <w:r>
        <w:t>inkages t</w:t>
      </w:r>
      <w:r w:rsidR="002F38A4">
        <w:t>hrough</w:t>
      </w:r>
      <w:r>
        <w:t xml:space="preserve"> their processing plant</w:t>
      </w:r>
      <w:r w:rsidR="007B2607">
        <w:t>s</w:t>
      </w:r>
      <w:r w:rsidR="002F38A4">
        <w:t xml:space="preserve"> to exporters</w:t>
      </w:r>
      <w:r>
        <w:t xml:space="preserve"> w</w:t>
      </w:r>
      <w:r w:rsidR="00C05D28">
        <w:t>ill</w:t>
      </w:r>
      <w:r>
        <w:t xml:space="preserve"> help ensure that the integrity of each batch is maintained throughout processing without contamination from or mixing with other batches.</w:t>
      </w:r>
    </w:p>
    <w:p w14:paraId="1B9010D9" w14:textId="63B50D38" w:rsidR="00FF1541" w:rsidRDefault="00E37FDB" w:rsidP="0087638C">
      <w:pPr>
        <w:autoSpaceDE w:val="0"/>
        <w:autoSpaceDN w:val="0"/>
        <w:adjustRightInd w:val="0"/>
        <w:spacing w:after="0"/>
      </w:pPr>
      <w:r>
        <w:rPr>
          <w:rFonts w:cs="TimesNewRomanPSMT"/>
          <w:szCs w:val="24"/>
        </w:rPr>
        <w:t xml:space="preserve">Some countries and companies are </w:t>
      </w:r>
      <w:r w:rsidR="0095120F">
        <w:rPr>
          <w:rFonts w:cs="TimesNewRomanPSMT"/>
          <w:szCs w:val="24"/>
        </w:rPr>
        <w:t xml:space="preserve">already </w:t>
      </w:r>
      <w:r>
        <w:rPr>
          <w:rFonts w:cs="TimesNewRomanPSMT"/>
          <w:szCs w:val="24"/>
        </w:rPr>
        <w:t xml:space="preserve">developing </w:t>
      </w:r>
      <w:r w:rsidR="007B2607">
        <w:rPr>
          <w:rFonts w:cs="TimesNewRomanPSMT"/>
          <w:szCs w:val="24"/>
        </w:rPr>
        <w:t xml:space="preserve">such </w:t>
      </w:r>
      <w:r>
        <w:rPr>
          <w:rFonts w:cs="TimesNewRomanPSMT"/>
          <w:szCs w:val="24"/>
        </w:rPr>
        <w:t xml:space="preserve">vertically integrated prawn production and processing facilities and quality assurance systems that help provide biosecurity and food safety guarantees. </w:t>
      </w:r>
      <w:r>
        <w:t xml:space="preserve">It might also be possible for some or all of the four large retailers </w:t>
      </w:r>
      <w:r w:rsidR="00C05D28">
        <w:t xml:space="preserve">in Australia </w:t>
      </w:r>
      <w:r>
        <w:t>to implement approved supplier arrangements with large offshore prawn produc</w:t>
      </w:r>
      <w:r w:rsidR="002F38A4">
        <w:t>ers</w:t>
      </w:r>
      <w:r>
        <w:t>, where they tightly source WSSV-</w:t>
      </w:r>
      <w:r w:rsidR="00C05D28">
        <w:t xml:space="preserve"> and YHD-</w:t>
      </w:r>
      <w:r>
        <w:t xml:space="preserve">negative prawns for import. </w:t>
      </w:r>
      <w:r w:rsidR="002F38A4">
        <w:t>However, i</w:t>
      </w:r>
      <w:r>
        <w:t xml:space="preserve">mplementation of vertically integrated systems </w:t>
      </w:r>
      <w:r w:rsidR="002F38A4">
        <w:t xml:space="preserve">all the way from overseas prawn farms to Australian retail chains </w:t>
      </w:r>
      <w:r>
        <w:t>over time may not be feasible, given the complexity and likelihood of changes in offshore prawn production and processing arrangements.</w:t>
      </w:r>
    </w:p>
    <w:p w14:paraId="1DDAD08B" w14:textId="3BF405D2" w:rsidR="00CC703E" w:rsidRDefault="00E37FDB" w:rsidP="00FF1541">
      <w:pPr>
        <w:pStyle w:val="Heading3"/>
        <w:numPr>
          <w:ilvl w:val="0"/>
          <w:numId w:val="0"/>
        </w:numPr>
        <w:pBdr>
          <w:top w:val="single" w:sz="4" w:space="1" w:color="auto"/>
          <w:left w:val="single" w:sz="4" w:space="1" w:color="auto"/>
          <w:bottom w:val="single" w:sz="4" w:space="1" w:color="auto"/>
          <w:right w:val="single" w:sz="4" w:space="1" w:color="auto"/>
        </w:pBdr>
        <w:ind w:left="794" w:hanging="794"/>
      </w:pPr>
      <w:bookmarkStart w:id="243" w:name="_Toc499132658"/>
      <w:bookmarkStart w:id="244" w:name="_Toc499963177"/>
      <w:bookmarkStart w:id="245" w:name="_Toc500162483"/>
      <w:bookmarkStart w:id="246" w:name="_Toc500238740"/>
      <w:bookmarkStart w:id="247" w:name="_Toc500508425"/>
      <w:r>
        <w:t xml:space="preserve">Recommendation </w:t>
      </w:r>
      <w:r w:rsidR="00F329C0">
        <w:fldChar w:fldCharType="begin"/>
      </w:r>
      <w:r w:rsidR="00F329C0">
        <w:instrText xml:space="preserve"> SEQ Recommendation \* ARABIC </w:instrText>
      </w:r>
      <w:r w:rsidR="00F329C0">
        <w:fldChar w:fldCharType="separate"/>
      </w:r>
      <w:r w:rsidR="00121BC1">
        <w:rPr>
          <w:noProof/>
        </w:rPr>
        <w:t>5</w:t>
      </w:r>
      <w:bookmarkEnd w:id="243"/>
      <w:bookmarkEnd w:id="244"/>
      <w:bookmarkEnd w:id="245"/>
      <w:bookmarkEnd w:id="246"/>
      <w:bookmarkEnd w:id="247"/>
      <w:r w:rsidR="00F329C0">
        <w:rPr>
          <w:noProof/>
        </w:rPr>
        <w:fldChar w:fldCharType="end"/>
      </w:r>
    </w:p>
    <w:p w14:paraId="4308344E" w14:textId="3FE21632" w:rsidR="00150A32" w:rsidRPr="00150A32" w:rsidRDefault="00150A32" w:rsidP="00FF1541">
      <w:pPr>
        <w:pStyle w:val="ListBullet"/>
        <w:numPr>
          <w:ilvl w:val="0"/>
          <w:numId w:val="0"/>
        </w:numPr>
        <w:pBdr>
          <w:top w:val="single" w:sz="4" w:space="1" w:color="auto"/>
          <w:left w:val="single" w:sz="4" w:space="1" w:color="auto"/>
          <w:bottom w:val="single" w:sz="4" w:space="1" w:color="auto"/>
          <w:right w:val="single" w:sz="4" w:space="1" w:color="auto"/>
        </w:pBdr>
        <w:spacing w:after="0"/>
      </w:pPr>
      <w:r w:rsidRPr="00150A32">
        <w:t xml:space="preserve">The department should work with competent authorities and industry to </w:t>
      </w:r>
      <w:r w:rsidR="00DC4ABB">
        <w:t>ensure that, where possible, uncooked prawn products are imported</w:t>
      </w:r>
      <w:r w:rsidRPr="00150A32">
        <w:t xml:space="preserve"> from specific pathogen-free countries, zones or compartments. This should be industry-driven and involve:</w:t>
      </w:r>
    </w:p>
    <w:p w14:paraId="2CCB66D5" w14:textId="77777777" w:rsidR="00150A32" w:rsidRPr="00150A32" w:rsidRDefault="00150A32" w:rsidP="00FF1541">
      <w:pPr>
        <w:pStyle w:val="ListBullet"/>
        <w:pBdr>
          <w:top w:val="single" w:sz="4" w:space="1" w:color="auto"/>
          <w:left w:val="single" w:sz="4" w:space="1" w:color="auto"/>
          <w:bottom w:val="single" w:sz="4" w:space="1" w:color="auto"/>
          <w:right w:val="single" w:sz="4" w:space="1" w:color="auto"/>
        </w:pBdr>
        <w:spacing w:before="60" w:after="0"/>
      </w:pPr>
      <w:r w:rsidRPr="00150A32">
        <w:t>quality-assured supply chain management</w:t>
      </w:r>
    </w:p>
    <w:p w14:paraId="1234D2B2" w14:textId="77777777" w:rsidR="00150A32" w:rsidRPr="00150A32" w:rsidRDefault="00150A32" w:rsidP="00FF1541">
      <w:pPr>
        <w:pStyle w:val="ListBullet"/>
        <w:pBdr>
          <w:top w:val="single" w:sz="4" w:space="1" w:color="auto"/>
          <w:left w:val="single" w:sz="4" w:space="1" w:color="auto"/>
          <w:bottom w:val="single" w:sz="4" w:space="1" w:color="auto"/>
          <w:right w:val="single" w:sz="4" w:space="1" w:color="auto"/>
        </w:pBdr>
        <w:spacing w:before="60" w:after="0"/>
      </w:pPr>
      <w:r w:rsidRPr="00150A32">
        <w:t>competent authority verification of pre-border status of consignments, and</w:t>
      </w:r>
    </w:p>
    <w:p w14:paraId="04918727" w14:textId="5D1FE7A2" w:rsidR="00CC703E" w:rsidRDefault="00150A32" w:rsidP="00FF1541">
      <w:pPr>
        <w:pStyle w:val="ListBullet"/>
        <w:numPr>
          <w:ilvl w:val="0"/>
          <w:numId w:val="19"/>
        </w:numPr>
        <w:pBdr>
          <w:top w:val="single" w:sz="4" w:space="1" w:color="auto"/>
          <w:left w:val="single" w:sz="4" w:space="1" w:color="auto"/>
          <w:bottom w:val="single" w:sz="4" w:space="1" w:color="auto"/>
          <w:right w:val="single" w:sz="4" w:space="1" w:color="auto"/>
        </w:pBdr>
        <w:spacing w:before="60" w:after="0"/>
      </w:pPr>
      <w:r w:rsidRPr="00150A32">
        <w:rPr>
          <w:rFonts w:eastAsia="Calibri" w:cs="Times New Roman"/>
        </w:rPr>
        <w:t>regular departmental offshore audits or verifications of these arrangements.</w:t>
      </w:r>
    </w:p>
    <w:p w14:paraId="5DFAA7BA" w14:textId="263E382A" w:rsidR="00CC703E" w:rsidRPr="000A4038" w:rsidRDefault="00E37FDB" w:rsidP="00FF1541">
      <w:pPr>
        <w:pBdr>
          <w:top w:val="single" w:sz="4" w:space="1" w:color="auto"/>
          <w:left w:val="single" w:sz="4" w:space="1" w:color="auto"/>
          <w:bottom w:val="single" w:sz="4" w:space="1" w:color="auto"/>
          <w:right w:val="single" w:sz="4" w:space="1" w:color="auto"/>
        </w:pBdr>
      </w:pPr>
      <w:r w:rsidRPr="00150A32">
        <w:rPr>
          <w:b/>
        </w:rPr>
        <w:t>Department’s response:</w:t>
      </w:r>
      <w:r w:rsidR="000A4038">
        <w:t xml:space="preserve"> Agree in principle. </w:t>
      </w:r>
      <w:r w:rsidR="000A4038" w:rsidRPr="000A4038">
        <w:t>In conducting the risk review, the department will consult with competent authorities and industry to consider the designation of specific pathogen-free countries, zones or compartments for the import of uncooked prawn products.</w:t>
      </w:r>
    </w:p>
    <w:p w14:paraId="74016C20" w14:textId="1E2F366B" w:rsidR="00CC703E" w:rsidRPr="00FF1541" w:rsidRDefault="00E37FDB" w:rsidP="00FF1541">
      <w:pPr>
        <w:pStyle w:val="Heading3"/>
        <w:rPr>
          <w:rStyle w:val="Heading3Char"/>
          <w:rFonts w:eastAsia="Calibri"/>
          <w:b/>
          <w:bCs/>
        </w:rPr>
      </w:pPr>
      <w:bookmarkStart w:id="248" w:name="_Toc500508426"/>
      <w:r w:rsidRPr="00FF1541">
        <w:rPr>
          <w:rStyle w:val="Heading3Char"/>
          <w:rFonts w:eastAsia="Calibri"/>
          <w:b/>
          <w:bCs/>
        </w:rPr>
        <w:t>Future border biosecurity compliance management</w:t>
      </w:r>
      <w:bookmarkEnd w:id="248"/>
    </w:p>
    <w:p w14:paraId="759DF47E" w14:textId="77777777" w:rsidR="00CC703E" w:rsidRDefault="00E37FDB" w:rsidP="00FF1541">
      <w:pPr>
        <w:pStyle w:val="Heading4"/>
      </w:pPr>
      <w:r>
        <w:t>Strengthened assessment</w:t>
      </w:r>
      <w:r>
        <w:rPr>
          <w:lang w:val="en-AU"/>
        </w:rPr>
        <w:t>s</w:t>
      </w:r>
      <w:r>
        <w:t xml:space="preserve"> and inspections must continue</w:t>
      </w:r>
    </w:p>
    <w:p w14:paraId="47B98321" w14:textId="464260A6" w:rsidR="00CC703E" w:rsidRDefault="00E37FDB">
      <w:pPr>
        <w:tabs>
          <w:tab w:val="clear" w:pos="567"/>
        </w:tabs>
        <w:autoSpaceDE w:val="0"/>
        <w:autoSpaceDN w:val="0"/>
        <w:adjustRightInd w:val="0"/>
        <w:spacing w:before="0" w:after="0"/>
        <w:rPr>
          <w:rFonts w:cs="HelveticaNeue"/>
          <w:szCs w:val="24"/>
          <w:lang w:eastAsia="en-AU"/>
        </w:rPr>
      </w:pPr>
      <w:r>
        <w:t xml:space="preserve">Future imports of prawns and other frozen foods should receive enhanced assessment and inspection over the longer term given the evidence of serious non-compliance and the </w:t>
      </w:r>
      <w:r w:rsidR="007F51B2">
        <w:t xml:space="preserve">apparent </w:t>
      </w:r>
      <w:r>
        <w:t xml:space="preserve">incentives to misdeclare or co-mingle prawn shipments with other products. </w:t>
      </w:r>
      <w:r>
        <w:rPr>
          <w:szCs w:val="24"/>
        </w:rPr>
        <w:t xml:space="preserve">Operation Cattai (2016) showed that targeted consignments </w:t>
      </w:r>
      <w:r>
        <w:rPr>
          <w:szCs w:val="24"/>
        </w:rPr>
        <w:lastRenderedPageBreak/>
        <w:t>did not always contain the declared products and that cartons inside did not always contain the product on the label. Other reports</w:t>
      </w:r>
      <w:r w:rsidR="00FD17F0">
        <w:rPr>
          <w:szCs w:val="24"/>
          <w:vertAlign w:val="superscript"/>
        </w:rPr>
        <w:t>15</w:t>
      </w:r>
      <w:r w:rsidR="00790119">
        <w:rPr>
          <w:szCs w:val="24"/>
          <w:vertAlign w:val="superscript"/>
        </w:rPr>
        <w:t>0</w:t>
      </w:r>
      <w:r w:rsidR="007773CD">
        <w:rPr>
          <w:szCs w:val="24"/>
          <w:vertAlign w:val="superscript"/>
        </w:rPr>
        <w:t>,</w:t>
      </w:r>
      <w:r w:rsidR="007773CD" w:rsidRPr="007773CD">
        <w:rPr>
          <w:vertAlign w:val="superscript"/>
        </w:rPr>
        <w:t xml:space="preserve"> </w:t>
      </w:r>
      <w:r w:rsidR="00FD17F0">
        <w:rPr>
          <w:szCs w:val="24"/>
          <w:vertAlign w:val="superscript"/>
        </w:rPr>
        <w:t>15</w:t>
      </w:r>
      <w:r w:rsidR="00790119">
        <w:rPr>
          <w:szCs w:val="24"/>
          <w:vertAlign w:val="superscript"/>
        </w:rPr>
        <w:t>1</w:t>
      </w:r>
      <w:r w:rsidR="009562DB">
        <w:rPr>
          <w:szCs w:val="24"/>
        </w:rPr>
        <w:t xml:space="preserve"> </w:t>
      </w:r>
      <w:r w:rsidR="00190105">
        <w:rPr>
          <w:rFonts w:cs="HelveticaNeue"/>
          <w:szCs w:val="24"/>
          <w:lang w:eastAsia="en-AU"/>
        </w:rPr>
        <w:t xml:space="preserve">regarding other seafood imports </w:t>
      </w:r>
      <w:r>
        <w:rPr>
          <w:szCs w:val="24"/>
        </w:rPr>
        <w:t xml:space="preserve">document </w:t>
      </w:r>
      <w:r>
        <w:rPr>
          <w:rFonts w:cs="HelveticaNeue"/>
          <w:szCs w:val="24"/>
          <w:lang w:eastAsia="en-AU"/>
        </w:rPr>
        <w:t xml:space="preserve">strategies such as </w:t>
      </w:r>
      <w:r w:rsidR="007F51B2">
        <w:rPr>
          <w:color w:val="292526"/>
          <w:szCs w:val="24"/>
          <w:lang w:eastAsia="en-AU"/>
        </w:rPr>
        <w:t xml:space="preserve">incorrect </w:t>
      </w:r>
      <w:r w:rsidRPr="0087638C">
        <w:rPr>
          <w:szCs w:val="24"/>
          <w:lang w:eastAsia="en-AU"/>
        </w:rPr>
        <w:t>labelling of consignments. Examples include labelling canned abalone as another product such as vegetables, mixing abalone with other product so it passes undetected on cursory inspection or placing a layer of lobster on top of a bin of abalone and declaring the entire consignment as ‘lobster’. Another documented method of avoiding inspection is simply to remove the goods from the docks, effectively ‘losing’ the container.</w:t>
      </w:r>
    </w:p>
    <w:p w14:paraId="32E85E7C" w14:textId="2FDC0984" w:rsidR="00CC703E" w:rsidRDefault="00E37FDB" w:rsidP="00FF1541">
      <w:r>
        <w:rPr>
          <w:szCs w:val="24"/>
        </w:rPr>
        <w:t>For these reasons, t</w:t>
      </w:r>
      <w:r>
        <w:t xml:space="preserve">he enhanced inspection protocols </w:t>
      </w:r>
      <w:r w:rsidR="00190105">
        <w:t xml:space="preserve">for imported uncooked prawns </w:t>
      </w:r>
      <w:r>
        <w:t>should place a high reliance on seals-intact inspections of containers. The process of collecting random samples from each batch of uncooked prawns in a consignment cannot be effectively carried out by a single inspector; it also requires two inspectors to be present for when each container is being unpacked.</w:t>
      </w:r>
    </w:p>
    <w:p w14:paraId="177D7831" w14:textId="3FD60445" w:rsidR="00CC703E" w:rsidRDefault="00E37FDB" w:rsidP="00FF1541">
      <w:pPr>
        <w:pStyle w:val="Heading3"/>
        <w:numPr>
          <w:ilvl w:val="0"/>
          <w:numId w:val="0"/>
        </w:numPr>
        <w:pBdr>
          <w:top w:val="single" w:sz="4" w:space="1" w:color="auto"/>
          <w:left w:val="single" w:sz="4" w:space="1" w:color="auto"/>
          <w:bottom w:val="single" w:sz="4" w:space="1" w:color="auto"/>
          <w:right w:val="single" w:sz="4" w:space="1" w:color="auto"/>
        </w:pBdr>
        <w:ind w:left="794" w:hanging="794"/>
      </w:pPr>
      <w:bookmarkStart w:id="249" w:name="_Toc499132660"/>
      <w:bookmarkStart w:id="250" w:name="_Toc499963179"/>
      <w:bookmarkStart w:id="251" w:name="_Toc500162485"/>
      <w:bookmarkStart w:id="252" w:name="_Toc500238742"/>
      <w:bookmarkStart w:id="253" w:name="_Toc500508427"/>
      <w:r>
        <w:t xml:space="preserve">Recommendation </w:t>
      </w:r>
      <w:r w:rsidRPr="00E37FDB">
        <w:fldChar w:fldCharType="begin"/>
      </w:r>
      <w:r>
        <w:instrText xml:space="preserve"> SEQ Recommendation \* ARABIC </w:instrText>
      </w:r>
      <w:r w:rsidRPr="00E37FDB">
        <w:fldChar w:fldCharType="separate"/>
      </w:r>
      <w:r w:rsidR="00121BC1">
        <w:rPr>
          <w:noProof/>
        </w:rPr>
        <w:t>6</w:t>
      </w:r>
      <w:bookmarkEnd w:id="249"/>
      <w:bookmarkEnd w:id="250"/>
      <w:bookmarkEnd w:id="251"/>
      <w:bookmarkEnd w:id="252"/>
      <w:bookmarkEnd w:id="253"/>
      <w:r w:rsidRPr="00E37FDB">
        <w:rPr>
          <w:noProof/>
        </w:rPr>
        <w:fldChar w:fldCharType="end"/>
      </w:r>
    </w:p>
    <w:p w14:paraId="4378ABAB" w14:textId="52EE5A8F" w:rsidR="00CC703E" w:rsidRDefault="009F5732" w:rsidP="00FF1541">
      <w:pPr>
        <w:pBdr>
          <w:top w:val="single" w:sz="4" w:space="1" w:color="auto"/>
          <w:left w:val="single" w:sz="4" w:space="1" w:color="auto"/>
          <w:bottom w:val="single" w:sz="4" w:space="1" w:color="auto"/>
          <w:right w:val="single" w:sz="4" w:space="1" w:color="auto"/>
        </w:pBdr>
        <w:tabs>
          <w:tab w:val="clear" w:pos="567"/>
        </w:tabs>
        <w:spacing w:before="0" w:after="0"/>
        <w:rPr>
          <w:szCs w:val="24"/>
        </w:rPr>
      </w:pPr>
      <w:r w:rsidRPr="009F5732">
        <w:rPr>
          <w:szCs w:val="24"/>
        </w:rPr>
        <w:t>The department should continue to conduct full seals-intact inspections of uncooked prawn imports (by at least two inspectors). It should also review measures to ensure integrity of the seals-intact containers until inspection.</w:t>
      </w:r>
    </w:p>
    <w:p w14:paraId="075E9DFC" w14:textId="5A105BE0" w:rsidR="00CC703E" w:rsidRPr="000A4038" w:rsidRDefault="00E37FDB" w:rsidP="00FF1541">
      <w:pPr>
        <w:pBdr>
          <w:top w:val="single" w:sz="4" w:space="1" w:color="auto"/>
          <w:left w:val="single" w:sz="4" w:space="1" w:color="auto"/>
          <w:bottom w:val="single" w:sz="4" w:space="1" w:color="auto"/>
          <w:right w:val="single" w:sz="4" w:space="1" w:color="auto"/>
        </w:pBdr>
      </w:pPr>
      <w:r>
        <w:rPr>
          <w:b/>
        </w:rPr>
        <w:t>Department’s response:</w:t>
      </w:r>
      <w:r w:rsidR="000A4038">
        <w:t xml:space="preserve"> </w:t>
      </w:r>
      <w:r w:rsidR="000A4038" w:rsidRPr="000A4038">
        <w:t>Agreed and implemented</w:t>
      </w:r>
      <w:r w:rsidR="000A4038">
        <w:t>.</w:t>
      </w:r>
    </w:p>
    <w:p w14:paraId="53DF7E60" w14:textId="7B4E2EB0" w:rsidR="00CC703E" w:rsidRDefault="00E37FDB">
      <w:pPr>
        <w:spacing w:before="360" w:after="0"/>
      </w:pPr>
      <w:r>
        <w:t xml:space="preserve">Rigorous assessment and inspection of declared consignments of uncooked prawns is unlikely to be sufficient to guard against </w:t>
      </w:r>
      <w:r w:rsidR="007F51B2">
        <w:t xml:space="preserve">non-compliant </w:t>
      </w:r>
      <w:r>
        <w:t>behaviour. Uncooked prawns must be imported as frozen product. Unscrupulous importers may try to bring in prawns labelled or otherwise presented as other frozen goods that do not have to go to approved arrangements but can proceed to an unregulated freezer</w:t>
      </w:r>
      <w:r w:rsidR="00FD17F0">
        <w:rPr>
          <w:vertAlign w:val="superscript"/>
        </w:rPr>
        <w:t>15</w:t>
      </w:r>
      <w:r w:rsidR="00790119">
        <w:rPr>
          <w:vertAlign w:val="superscript"/>
        </w:rPr>
        <w:t>0</w:t>
      </w:r>
      <w:r w:rsidR="007773CD">
        <w:rPr>
          <w:vertAlign w:val="superscript"/>
        </w:rPr>
        <w:t>,</w:t>
      </w:r>
      <w:r w:rsidR="007773CD" w:rsidRPr="007773CD">
        <w:rPr>
          <w:vertAlign w:val="superscript"/>
        </w:rPr>
        <w:t xml:space="preserve"> </w:t>
      </w:r>
      <w:r w:rsidR="00FD17F0">
        <w:rPr>
          <w:vertAlign w:val="superscript"/>
        </w:rPr>
        <w:t>15</w:t>
      </w:r>
      <w:r w:rsidR="00790119">
        <w:rPr>
          <w:vertAlign w:val="superscript"/>
        </w:rPr>
        <w:t>1</w:t>
      </w:r>
      <w:r>
        <w:t>. A way to discover and/or deter such behaviour is to implement and publicise an ongoing program of random seals-intact inspections of all frozen foods, including cooked prawns, other seafood and any other frozen food. This option will require consideration of the logistics and cost-recovery implications over time and at different ports.</w:t>
      </w:r>
      <w:r w:rsidR="00190105">
        <w:t xml:space="preserve"> This program will require implementation at a level</w:t>
      </w:r>
      <w:r w:rsidR="004435DA">
        <w:t>,</w:t>
      </w:r>
      <w:r w:rsidR="00190105">
        <w:t xml:space="preserve"> which will provide a real deterren</w:t>
      </w:r>
      <w:r w:rsidR="00065267">
        <w:t>ce</w:t>
      </w:r>
      <w:r w:rsidR="00190105">
        <w:t xml:space="preserve"> to non-compliance.</w:t>
      </w:r>
    </w:p>
    <w:p w14:paraId="3FFFFAB2" w14:textId="18BCBCD7" w:rsidR="00CC703E" w:rsidRDefault="00E37FDB">
      <w:pPr>
        <w:spacing w:after="0"/>
      </w:pPr>
      <w:r>
        <w:t xml:space="preserve">It should be possible to scale up or down to a higher or lower random inspection rate of cooked prawns and other foods depending on whether compliance is demonstrated. It would seem </w:t>
      </w:r>
      <w:r w:rsidR="00190105">
        <w:t xml:space="preserve">most </w:t>
      </w:r>
      <w:r>
        <w:t>unwise to revert to the previous regime of relying largely on importer declarations.</w:t>
      </w:r>
    </w:p>
    <w:p w14:paraId="5A4165FD" w14:textId="14F9A1DD" w:rsidR="00CC703E" w:rsidRPr="00014886" w:rsidRDefault="00E37FDB" w:rsidP="00FF1541">
      <w:pPr>
        <w:pStyle w:val="Heading3"/>
        <w:numPr>
          <w:ilvl w:val="0"/>
          <w:numId w:val="0"/>
        </w:numPr>
        <w:pBdr>
          <w:top w:val="single" w:sz="4" w:space="1" w:color="auto"/>
          <w:left w:val="single" w:sz="4" w:space="1" w:color="auto"/>
          <w:bottom w:val="single" w:sz="4" w:space="1" w:color="auto"/>
          <w:right w:val="single" w:sz="4" w:space="1" w:color="auto"/>
        </w:pBdr>
        <w:ind w:left="794" w:hanging="794"/>
      </w:pPr>
      <w:bookmarkStart w:id="254" w:name="_Toc499132661"/>
      <w:bookmarkStart w:id="255" w:name="_Toc499963180"/>
      <w:bookmarkStart w:id="256" w:name="_Toc500162486"/>
      <w:bookmarkStart w:id="257" w:name="_Toc500238743"/>
      <w:bookmarkStart w:id="258" w:name="_Toc500508428"/>
      <w:r w:rsidRPr="003D2AE7">
        <w:t xml:space="preserve">Recommendation </w:t>
      </w:r>
      <w:r w:rsidR="00F329C0">
        <w:fldChar w:fldCharType="begin"/>
      </w:r>
      <w:r w:rsidR="00F329C0">
        <w:instrText xml:space="preserve"> SEQ Recommendation \* ARABIC </w:instrText>
      </w:r>
      <w:r w:rsidR="00F329C0">
        <w:fldChar w:fldCharType="separate"/>
      </w:r>
      <w:r w:rsidR="00121BC1">
        <w:rPr>
          <w:noProof/>
        </w:rPr>
        <w:t>7</w:t>
      </w:r>
      <w:bookmarkEnd w:id="254"/>
      <w:bookmarkEnd w:id="255"/>
      <w:bookmarkEnd w:id="256"/>
      <w:bookmarkEnd w:id="257"/>
      <w:bookmarkEnd w:id="258"/>
      <w:r w:rsidR="00F329C0">
        <w:rPr>
          <w:noProof/>
        </w:rPr>
        <w:fldChar w:fldCharType="end"/>
      </w:r>
    </w:p>
    <w:p w14:paraId="19F28742" w14:textId="62E1E1D5" w:rsidR="00CC703E" w:rsidRPr="005676D7" w:rsidRDefault="009F5732" w:rsidP="00FF1541">
      <w:pPr>
        <w:pBdr>
          <w:top w:val="single" w:sz="4" w:space="1" w:color="auto"/>
          <w:left w:val="single" w:sz="4" w:space="1" w:color="auto"/>
          <w:bottom w:val="single" w:sz="4" w:space="1" w:color="auto"/>
          <w:right w:val="single" w:sz="4" w:space="1" w:color="auto"/>
        </w:pBdr>
        <w:tabs>
          <w:tab w:val="clear" w:pos="567"/>
        </w:tabs>
        <w:spacing w:before="0" w:after="0"/>
        <w:rPr>
          <w:szCs w:val="24"/>
        </w:rPr>
      </w:pPr>
      <w:r w:rsidRPr="005676D7">
        <w:rPr>
          <w:szCs w:val="24"/>
        </w:rPr>
        <w:t xml:space="preserve">The department should </w:t>
      </w:r>
      <w:r w:rsidR="00190105">
        <w:rPr>
          <w:szCs w:val="24"/>
        </w:rPr>
        <w:t>implement and publicise an ongoing program of</w:t>
      </w:r>
      <w:r w:rsidRPr="005676D7">
        <w:rPr>
          <w:szCs w:val="24"/>
        </w:rPr>
        <w:t xml:space="preserve"> random</w:t>
      </w:r>
      <w:r w:rsidR="00190105">
        <w:rPr>
          <w:szCs w:val="24"/>
        </w:rPr>
        <w:t xml:space="preserve"> and</w:t>
      </w:r>
      <w:r w:rsidRPr="005676D7">
        <w:rPr>
          <w:szCs w:val="24"/>
        </w:rPr>
        <w:t xml:space="preserve"> risk-based, seals-intact inspections of frozen goods to ensure that uncooked prawns are not being imported as other frozen foods.</w:t>
      </w:r>
    </w:p>
    <w:p w14:paraId="083BBB7B" w14:textId="46A97DE6" w:rsidR="00CC703E" w:rsidRPr="000A4038" w:rsidRDefault="00E37FDB" w:rsidP="00FF1541">
      <w:pPr>
        <w:pBdr>
          <w:top w:val="single" w:sz="4" w:space="1" w:color="auto"/>
          <w:left w:val="single" w:sz="4" w:space="1" w:color="auto"/>
          <w:bottom w:val="single" w:sz="4" w:space="1" w:color="auto"/>
          <w:right w:val="single" w:sz="4" w:space="1" w:color="auto"/>
        </w:pBdr>
      </w:pPr>
      <w:r w:rsidRPr="00014886">
        <w:rPr>
          <w:b/>
        </w:rPr>
        <w:t>Department’s response:</w:t>
      </w:r>
      <w:r w:rsidR="000A4038">
        <w:t xml:space="preserve"> </w:t>
      </w:r>
      <w:r w:rsidR="000A4038" w:rsidRPr="000A4038">
        <w:t>Agree. This may be implemented as part of the department’s cargo compliance verification program.</w:t>
      </w:r>
    </w:p>
    <w:p w14:paraId="7694229D" w14:textId="26086D9E" w:rsidR="00CC703E" w:rsidRDefault="00E37FDB" w:rsidP="009C11AF">
      <w:pPr>
        <w:spacing w:before="360" w:after="0"/>
        <w:rPr>
          <w:szCs w:val="24"/>
        </w:rPr>
      </w:pPr>
      <w:r>
        <w:lastRenderedPageBreak/>
        <w:t>The long</w:t>
      </w:r>
      <w:r>
        <w:rPr>
          <w:szCs w:val="24"/>
          <w:lang w:eastAsia="en-AU"/>
        </w:rPr>
        <w:t>standing</w:t>
      </w:r>
      <w:r>
        <w:rPr>
          <w:szCs w:val="24"/>
        </w:rPr>
        <w:t xml:space="preserve"> practice of having lone inspectors visit importers’ premises to inspect and/or sample </w:t>
      </w:r>
      <w:r>
        <w:rPr>
          <w:szCs w:val="24"/>
          <w:lang w:eastAsia="en-AU"/>
        </w:rPr>
        <w:t>imported</w:t>
      </w:r>
      <w:r>
        <w:rPr>
          <w:szCs w:val="24"/>
        </w:rPr>
        <w:t xml:space="preserve"> goods places these inspectors in</w:t>
      </w:r>
      <w:r w:rsidR="00BD3FAD">
        <w:rPr>
          <w:szCs w:val="24"/>
        </w:rPr>
        <w:t xml:space="preserve"> </w:t>
      </w:r>
      <w:r>
        <w:rPr>
          <w:szCs w:val="24"/>
        </w:rPr>
        <w:t>a difficult position. It creates potential for ‘client capture’ and for deliberate deception</w:t>
      </w:r>
      <w:r w:rsidR="002276E7">
        <w:rPr>
          <w:szCs w:val="24"/>
          <w:vertAlign w:val="superscript"/>
        </w:rPr>
        <w:t>15</w:t>
      </w:r>
      <w:r w:rsidR="00790119">
        <w:rPr>
          <w:szCs w:val="24"/>
          <w:vertAlign w:val="superscript"/>
        </w:rPr>
        <w:t>2</w:t>
      </w:r>
      <w:r w:rsidR="007773CD">
        <w:rPr>
          <w:szCs w:val="24"/>
          <w:vertAlign w:val="superscript"/>
        </w:rPr>
        <w:t>,</w:t>
      </w:r>
      <w:r w:rsidR="007773CD" w:rsidRPr="007773CD">
        <w:rPr>
          <w:vertAlign w:val="superscript"/>
        </w:rPr>
        <w:t xml:space="preserve"> </w:t>
      </w:r>
      <w:r w:rsidR="002276E7">
        <w:rPr>
          <w:szCs w:val="24"/>
          <w:vertAlign w:val="superscript"/>
        </w:rPr>
        <w:t>15</w:t>
      </w:r>
      <w:r w:rsidR="00790119">
        <w:rPr>
          <w:szCs w:val="24"/>
          <w:vertAlign w:val="superscript"/>
        </w:rPr>
        <w:t>3</w:t>
      </w:r>
      <w:r w:rsidR="007773CD">
        <w:rPr>
          <w:szCs w:val="24"/>
          <w:vertAlign w:val="superscript"/>
        </w:rPr>
        <w:t>,</w:t>
      </w:r>
      <w:r w:rsidR="007773CD" w:rsidRPr="007773CD">
        <w:rPr>
          <w:vertAlign w:val="superscript"/>
        </w:rPr>
        <w:t xml:space="preserve"> </w:t>
      </w:r>
      <w:r w:rsidR="002276E7">
        <w:rPr>
          <w:szCs w:val="24"/>
          <w:vertAlign w:val="superscript"/>
        </w:rPr>
        <w:t>15</w:t>
      </w:r>
      <w:r w:rsidR="00790119">
        <w:rPr>
          <w:szCs w:val="24"/>
          <w:vertAlign w:val="superscript"/>
        </w:rPr>
        <w:t>4</w:t>
      </w:r>
      <w:r>
        <w:rPr>
          <w:szCs w:val="24"/>
        </w:rPr>
        <w:t>. Frontline inspection staff are also under pressure to perform difficult tasks requiring judgement and concentration in potentially dangerous and hostile workplaces.</w:t>
      </w:r>
    </w:p>
    <w:p w14:paraId="2C00E56F" w14:textId="08D4329C" w:rsidR="00CC703E" w:rsidRPr="00B16443" w:rsidRDefault="00F10E2D">
      <w:pPr>
        <w:spacing w:before="240" w:after="0"/>
      </w:pPr>
      <w:r>
        <w:t>In 2008</w:t>
      </w:r>
      <w:r w:rsidR="00790119">
        <w:t>,</w:t>
      </w:r>
      <w:r>
        <w:t xml:space="preserve"> a</w:t>
      </w:r>
      <w:r w:rsidR="00E37FDB">
        <w:t xml:space="preserve">fter considering submissions about the department’s staff rotation policy, </w:t>
      </w:r>
      <w:r w:rsidR="007F51B2">
        <w:t>an independent review</w:t>
      </w:r>
      <w:r w:rsidR="00DC4ABB">
        <w:t xml:space="preserve"> </w:t>
      </w:r>
      <w:r>
        <w:t xml:space="preserve">by Beale et al. </w:t>
      </w:r>
      <w:r w:rsidR="00E37FDB" w:rsidRPr="00B16443">
        <w:t>noted:</w:t>
      </w:r>
    </w:p>
    <w:p w14:paraId="396EABAA" w14:textId="4FA64591" w:rsidR="00CC703E" w:rsidRDefault="00E37FDB">
      <w:pPr>
        <w:pStyle w:val="Quote"/>
      </w:pPr>
      <w:r w:rsidRPr="00B16443">
        <w:t>While there are obvious advantages to be gained through staff rotation, such as the avoidance of regulatory capture and the career development of staff, there are also disadvantages in terms of the loss of expertise, administrative expense and additional training and supervisory burdens for the organisation. The Panel found that the existing rotation policy was overly rigid and that in some cases, the rotation periods had been too short. The Panel observed that staff rotations were not always based on improving the capability and effectiveness of individual staff members. Instead they were sometimes influenced by industrial considerations, such as a perception of ‘equitable’ access to overtime or shift loadings, which are issues that should be dealt with through other mechanisms. The management of the Authority will need to develop a carefully thought through policy on staff rotation. In the Panel’s view, this policy should address more than just regional staff rotation, and be expanded to include the issue of rotating staff between policy and operational roles</w:t>
      </w:r>
      <w:r w:rsidR="00120F20">
        <w:rPr>
          <w:vertAlign w:val="superscript"/>
        </w:rPr>
        <w:t>85</w:t>
      </w:r>
      <w:r w:rsidR="00B16443">
        <w:rPr>
          <w:vertAlign w:val="superscript"/>
        </w:rPr>
        <w:t xml:space="preserve"> (pp. </w:t>
      </w:r>
      <w:r w:rsidR="00B16443" w:rsidRPr="00B16443">
        <w:rPr>
          <w:vertAlign w:val="superscript"/>
        </w:rPr>
        <w:t>216–17</w:t>
      </w:r>
      <w:r w:rsidR="00B16443">
        <w:rPr>
          <w:vertAlign w:val="superscript"/>
        </w:rPr>
        <w:t>)</w:t>
      </w:r>
      <w:r w:rsidRPr="00B16443">
        <w:t>.</w:t>
      </w:r>
    </w:p>
    <w:p w14:paraId="65BC7884" w14:textId="1DF2296E" w:rsidR="00CC703E" w:rsidRDefault="00E37FDB">
      <w:r>
        <w:t>The panel recommended that:</w:t>
      </w:r>
    </w:p>
    <w:p w14:paraId="0A683F0A" w14:textId="6734F26C" w:rsidR="00CC703E" w:rsidRDefault="00E37FDB">
      <w:pPr>
        <w:pStyle w:val="Quote"/>
      </w:pPr>
      <w:r>
        <w:t xml:space="preserve">[Recommendation 84] The National Biosecurity Authority should review staff training and rotation practices to ensure that they provide an optimum balance between development of broadly skilled officers, the deepening of expertise through experience in a role and the avoidance of regulatory failure through </w:t>
      </w:r>
      <w:r w:rsidRPr="00D63947">
        <w:t>officers developing inappropriately close relationships with</w:t>
      </w:r>
      <w:r w:rsidR="00D63947" w:rsidRPr="00D63947">
        <w:t xml:space="preserve"> the clients they are servicing</w:t>
      </w:r>
      <w:r w:rsidR="00120F20">
        <w:rPr>
          <w:vertAlign w:val="superscript"/>
        </w:rPr>
        <w:t>85</w:t>
      </w:r>
      <w:r w:rsidR="00D63947" w:rsidRPr="00D63947">
        <w:rPr>
          <w:vertAlign w:val="superscript"/>
        </w:rPr>
        <w:t> (p.</w:t>
      </w:r>
      <w:r w:rsidR="0025011B" w:rsidRPr="0025011B">
        <w:rPr>
          <w:vertAlign w:val="superscript"/>
        </w:rPr>
        <w:t> </w:t>
      </w:r>
      <w:r w:rsidR="00D63947" w:rsidRPr="00D63947">
        <w:rPr>
          <w:vertAlign w:val="superscript"/>
        </w:rPr>
        <w:t>217)</w:t>
      </w:r>
      <w:r w:rsidRPr="00D63947">
        <w:t>.</w:t>
      </w:r>
    </w:p>
    <w:p w14:paraId="3A94A9F9" w14:textId="02019F42" w:rsidR="00E252C9" w:rsidRPr="00C619AB" w:rsidRDefault="00E252C9" w:rsidP="00EE6F11">
      <w:pPr>
        <w:spacing w:before="240" w:after="0"/>
      </w:pPr>
      <w:r>
        <w:t xml:space="preserve">During Operation Cattai, the department found no evidence that there had been any ‘client capture’ or regulatory failure due to inspectors forming close relationships with prawn importers. Nevertheless, such behaviour remains a </w:t>
      </w:r>
      <w:r w:rsidRPr="007773CD">
        <w:t>possibility</w:t>
      </w:r>
      <w:r w:rsidR="006E00EA">
        <w:rPr>
          <w:vertAlign w:val="superscript"/>
        </w:rPr>
        <w:t>15</w:t>
      </w:r>
      <w:r w:rsidR="00592A9D">
        <w:rPr>
          <w:vertAlign w:val="superscript"/>
        </w:rPr>
        <w:t>5</w:t>
      </w:r>
      <w:r w:rsidR="007773CD" w:rsidRPr="007773CD">
        <w:rPr>
          <w:vertAlign w:val="superscript"/>
        </w:rPr>
        <w:t>,</w:t>
      </w:r>
      <w:r w:rsidR="00D63947">
        <w:rPr>
          <w:vertAlign w:val="superscript"/>
        </w:rPr>
        <w:t xml:space="preserve"> </w:t>
      </w:r>
      <w:r w:rsidR="006E00EA">
        <w:rPr>
          <w:vertAlign w:val="superscript"/>
        </w:rPr>
        <w:t>15</w:t>
      </w:r>
      <w:r w:rsidR="00592A9D">
        <w:rPr>
          <w:vertAlign w:val="superscript"/>
        </w:rPr>
        <w:t>6</w:t>
      </w:r>
      <w:r w:rsidR="007773CD" w:rsidRPr="007773CD">
        <w:rPr>
          <w:vertAlign w:val="superscript"/>
        </w:rPr>
        <w:t>,</w:t>
      </w:r>
      <w:r w:rsidR="00D63947">
        <w:rPr>
          <w:vertAlign w:val="superscript"/>
        </w:rPr>
        <w:t xml:space="preserve"> </w:t>
      </w:r>
      <w:r w:rsidR="006E00EA">
        <w:rPr>
          <w:vertAlign w:val="superscript"/>
        </w:rPr>
        <w:t>15</w:t>
      </w:r>
      <w:r w:rsidR="00592A9D">
        <w:rPr>
          <w:vertAlign w:val="superscript"/>
        </w:rPr>
        <w:t>7</w:t>
      </w:r>
      <w:r>
        <w:t>, which can be mitigated by periodically deploying two staff or by single staff rotation.</w:t>
      </w:r>
    </w:p>
    <w:p w14:paraId="5C47295D" w14:textId="53F0AB83" w:rsidR="00CC703E" w:rsidRDefault="00E37FDB" w:rsidP="00FF1541">
      <w:pPr>
        <w:pStyle w:val="Heading3"/>
        <w:numPr>
          <w:ilvl w:val="0"/>
          <w:numId w:val="0"/>
        </w:numPr>
        <w:pBdr>
          <w:top w:val="single" w:sz="4" w:space="1" w:color="auto"/>
          <w:left w:val="single" w:sz="4" w:space="1" w:color="auto"/>
          <w:bottom w:val="single" w:sz="4" w:space="1" w:color="auto"/>
          <w:right w:val="single" w:sz="4" w:space="1" w:color="auto"/>
        </w:pBdr>
        <w:ind w:left="794" w:hanging="794"/>
      </w:pPr>
      <w:bookmarkStart w:id="259" w:name="_Toc499132662"/>
      <w:bookmarkStart w:id="260" w:name="_Toc499963181"/>
      <w:bookmarkStart w:id="261" w:name="_Toc500162487"/>
      <w:bookmarkStart w:id="262" w:name="_Toc500238744"/>
      <w:bookmarkStart w:id="263" w:name="_Toc500508429"/>
      <w:r>
        <w:t xml:space="preserve">Recommendation </w:t>
      </w:r>
      <w:r w:rsidRPr="00E37FDB">
        <w:fldChar w:fldCharType="begin"/>
      </w:r>
      <w:r>
        <w:instrText xml:space="preserve"> SEQ Recommendation \* ARABIC </w:instrText>
      </w:r>
      <w:r w:rsidRPr="00E37FDB">
        <w:fldChar w:fldCharType="separate"/>
      </w:r>
      <w:r w:rsidR="00121BC1">
        <w:rPr>
          <w:noProof/>
        </w:rPr>
        <w:t>8</w:t>
      </w:r>
      <w:bookmarkEnd w:id="259"/>
      <w:bookmarkEnd w:id="260"/>
      <w:bookmarkEnd w:id="261"/>
      <w:bookmarkEnd w:id="262"/>
      <w:bookmarkEnd w:id="263"/>
      <w:r w:rsidRPr="00E37FDB">
        <w:rPr>
          <w:noProof/>
        </w:rPr>
        <w:fldChar w:fldCharType="end"/>
      </w:r>
    </w:p>
    <w:p w14:paraId="310AC09C" w14:textId="5C159FA0" w:rsidR="00CC703E" w:rsidRDefault="009F5732" w:rsidP="00FF1541">
      <w:pPr>
        <w:pBdr>
          <w:top w:val="single" w:sz="4" w:space="1" w:color="auto"/>
          <w:left w:val="single" w:sz="4" w:space="1" w:color="auto"/>
          <w:bottom w:val="single" w:sz="4" w:space="1" w:color="auto"/>
          <w:right w:val="single" w:sz="4" w:space="1" w:color="auto"/>
        </w:pBdr>
        <w:tabs>
          <w:tab w:val="clear" w:pos="567"/>
        </w:tabs>
        <w:spacing w:before="0" w:after="0"/>
        <w:rPr>
          <w:szCs w:val="24"/>
        </w:rPr>
      </w:pPr>
      <w:r w:rsidRPr="009F5732">
        <w:rPr>
          <w:szCs w:val="24"/>
        </w:rPr>
        <w:t>The department should ensure that inspections at approved arrangements, especially at regulated cold stores, are periodically carried out by two inspectors. If only single inspectors are available, they should be regularly rotated.</w:t>
      </w:r>
    </w:p>
    <w:p w14:paraId="048BE2C3" w14:textId="506A71EF" w:rsidR="00CC703E" w:rsidRPr="000A4038" w:rsidRDefault="00E37FDB" w:rsidP="00FF1541">
      <w:pPr>
        <w:pBdr>
          <w:top w:val="single" w:sz="4" w:space="1" w:color="auto"/>
          <w:left w:val="single" w:sz="4" w:space="1" w:color="auto"/>
          <w:bottom w:val="single" w:sz="4" w:space="1" w:color="auto"/>
          <w:right w:val="single" w:sz="4" w:space="1" w:color="auto"/>
        </w:pBdr>
      </w:pPr>
      <w:r>
        <w:rPr>
          <w:b/>
        </w:rPr>
        <w:t>Department’s response:</w:t>
      </w:r>
      <w:r w:rsidR="000A4038">
        <w:t xml:space="preserve"> Agree. </w:t>
      </w:r>
      <w:r w:rsidR="000A4038" w:rsidRPr="000A4038">
        <w:t>Revised processes have been implemented.</w:t>
      </w:r>
    </w:p>
    <w:p w14:paraId="05870E43" w14:textId="2DED6948" w:rsidR="00CC703E" w:rsidRDefault="00E37FDB" w:rsidP="009C11AF">
      <w:pPr>
        <w:spacing w:before="360"/>
      </w:pPr>
      <w:r>
        <w:t xml:space="preserve">The issuing of import permits and ‘approved arrangement’ status to individuals and companies must be monitored more closely. The department is strengthening </w:t>
      </w:r>
      <w:r>
        <w:lastRenderedPageBreak/>
        <w:t>processes to delist people and entities that do not pass a ‘fit and proper person’ test. This will need to be kept under review and appropriately resourced.</w:t>
      </w:r>
    </w:p>
    <w:p w14:paraId="293AD564" w14:textId="016204C3" w:rsidR="00CC703E" w:rsidRDefault="00E37FDB">
      <w:pPr>
        <w:spacing w:after="0"/>
      </w:pPr>
      <w:r>
        <w:t xml:space="preserve">Encouraging industry self-regulation and quality assurance programs through the supply chain, with government as the regulator of last resort, is a key means of achieving compliance while reducing unnecessary regulation. However, the pendulum can swing too far towards remote assessment and reliance on industry </w:t>
      </w:r>
      <w:r w:rsidR="00F32C79">
        <w:t>operating</w:t>
      </w:r>
      <w:r>
        <w:t xml:space="preserve"> approved arrangements. Self-regulation needs to be monitored more closely, with more risk-based, unannounced spot audits of approved arrangements.</w:t>
      </w:r>
    </w:p>
    <w:p w14:paraId="511927E2" w14:textId="40CBFCB4" w:rsidR="00CC703E" w:rsidRDefault="00E37FDB">
      <w:pPr>
        <w:spacing w:after="0"/>
      </w:pPr>
      <w:r>
        <w:t xml:space="preserve">The department’s culture of ‘service delivery’, </w:t>
      </w:r>
      <w:r w:rsidR="00190105">
        <w:t xml:space="preserve">was </w:t>
      </w:r>
      <w:r>
        <w:t xml:space="preserve">embodied in the </w:t>
      </w:r>
      <w:r w:rsidR="00F62F72">
        <w:t xml:space="preserve">previous </w:t>
      </w:r>
      <w:r>
        <w:t>name of the division that employs its assessment and inspection staff</w:t>
      </w:r>
      <w:r w:rsidR="00190105">
        <w:t xml:space="preserve">, </w:t>
      </w:r>
      <w:r>
        <w:t>and by a charter of client service that specifies an expectation of prompt service to facilitate trade</w:t>
      </w:r>
      <w:r w:rsidR="00190105">
        <w:t>.</w:t>
      </w:r>
      <w:r>
        <w:t xml:space="preserve"> </w:t>
      </w:r>
      <w:r w:rsidR="00190105">
        <w:t>T</w:t>
      </w:r>
      <w:r>
        <w:t>his approach</w:t>
      </w:r>
      <w:r w:rsidR="00190105">
        <w:t>, while commendable,</w:t>
      </w:r>
      <w:r>
        <w:t xml:space="preserve"> can reinforce a perception that biosecurity officers are there to do their job with as little interference as possible in the smooth progress of goods through required border biosecurity risk management operations. A balance must be struck between facilitating efficient trans-border movement of goods and ensuring that biosecurity risks are effectively managed, recognising that the final ‘clients’ of the biosecurity system are the Australian community, industries and the environment.</w:t>
      </w:r>
      <w:r w:rsidR="00190105">
        <w:t xml:space="preserve"> It is notable that the previous Service Delivery Division has more recently been renamed the Biosecurity Operations Division, which more accurately reflects its function.</w:t>
      </w:r>
    </w:p>
    <w:p w14:paraId="6E27125E" w14:textId="30524940" w:rsidR="005B674E" w:rsidRDefault="005B674E" w:rsidP="00E62D26">
      <w:pPr>
        <w:spacing w:after="0"/>
      </w:pPr>
      <w:r>
        <w:t>Upskilling and motivating staff is an ongoing issue in the face of rapidly changing working environments. Also needed are feedback and recognition for excellent work—sometimes as little as a letter of appreciation or a cup of coffee</w:t>
      </w:r>
      <w:r w:rsidR="001169D3">
        <w:rPr>
          <w:vertAlign w:val="superscript"/>
        </w:rPr>
        <w:t>15</w:t>
      </w:r>
      <w:r w:rsidR="00592A9D">
        <w:rPr>
          <w:vertAlign w:val="superscript"/>
        </w:rPr>
        <w:t>8</w:t>
      </w:r>
      <w:r>
        <w:t>—and processes that detect and deter poor work practices.</w:t>
      </w:r>
    </w:p>
    <w:p w14:paraId="4D1BD8AD" w14:textId="77777777" w:rsidR="00CC703E" w:rsidRDefault="00E37FDB" w:rsidP="0053691D">
      <w:pPr>
        <w:pStyle w:val="Heading3"/>
        <w:numPr>
          <w:ilvl w:val="0"/>
          <w:numId w:val="0"/>
        </w:numPr>
        <w:pBdr>
          <w:top w:val="single" w:sz="4" w:space="1" w:color="auto"/>
          <w:left w:val="single" w:sz="4" w:space="1" w:color="auto"/>
          <w:bottom w:val="single" w:sz="4" w:space="1" w:color="auto"/>
          <w:right w:val="single" w:sz="4" w:space="1" w:color="auto"/>
        </w:pBdr>
        <w:ind w:left="794" w:hanging="794"/>
      </w:pPr>
      <w:bookmarkStart w:id="264" w:name="_Toc499132663"/>
      <w:bookmarkStart w:id="265" w:name="_Toc499963182"/>
      <w:bookmarkStart w:id="266" w:name="_Toc500162488"/>
      <w:bookmarkStart w:id="267" w:name="_Toc500238745"/>
      <w:bookmarkStart w:id="268" w:name="_Toc500508430"/>
      <w:r>
        <w:t xml:space="preserve">Recommendation </w:t>
      </w:r>
      <w:r w:rsidRPr="00E37FDB">
        <w:fldChar w:fldCharType="begin"/>
      </w:r>
      <w:r>
        <w:instrText xml:space="preserve"> SEQ Recommendation \* ARABIC </w:instrText>
      </w:r>
      <w:r w:rsidRPr="00E37FDB">
        <w:fldChar w:fldCharType="separate"/>
      </w:r>
      <w:r w:rsidR="00121BC1">
        <w:rPr>
          <w:noProof/>
        </w:rPr>
        <w:t>9</w:t>
      </w:r>
      <w:bookmarkEnd w:id="264"/>
      <w:bookmarkEnd w:id="265"/>
      <w:bookmarkEnd w:id="266"/>
      <w:bookmarkEnd w:id="267"/>
      <w:bookmarkEnd w:id="268"/>
      <w:r w:rsidRPr="00E37FDB">
        <w:rPr>
          <w:noProof/>
        </w:rPr>
        <w:fldChar w:fldCharType="end"/>
      </w:r>
    </w:p>
    <w:p w14:paraId="40543AF1" w14:textId="1A5EAA3F" w:rsidR="00CC703E" w:rsidRDefault="009F5732" w:rsidP="0053691D">
      <w:pPr>
        <w:pBdr>
          <w:top w:val="single" w:sz="4" w:space="1" w:color="auto"/>
          <w:left w:val="single" w:sz="4" w:space="1" w:color="auto"/>
          <w:bottom w:val="single" w:sz="4" w:space="1" w:color="auto"/>
          <w:right w:val="single" w:sz="4" w:space="1" w:color="auto"/>
        </w:pBdr>
        <w:spacing w:after="0"/>
        <w:rPr>
          <w:szCs w:val="24"/>
        </w:rPr>
      </w:pPr>
      <w:r w:rsidRPr="009F5732">
        <w:rPr>
          <w:szCs w:val="24"/>
        </w:rPr>
        <w:t>The department should facilitate the development and implementation of a nationally consistent competence and verification framework covering staff involved in assessing and inspecting imported uncooked prawns</w:t>
      </w:r>
      <w:r w:rsidR="005B674E">
        <w:rPr>
          <w:szCs w:val="24"/>
        </w:rPr>
        <w:t xml:space="preserve"> and other commodities</w:t>
      </w:r>
      <w:r w:rsidRPr="009F5732">
        <w:rPr>
          <w:szCs w:val="24"/>
        </w:rPr>
        <w:t>. This should be regularly reviewed and adequately resourced.</w:t>
      </w:r>
    </w:p>
    <w:p w14:paraId="7A65FE13" w14:textId="32A7FDC9" w:rsidR="00CC703E" w:rsidRPr="004F721A" w:rsidRDefault="00E37FDB" w:rsidP="0053691D">
      <w:pPr>
        <w:pBdr>
          <w:top w:val="single" w:sz="4" w:space="1" w:color="auto"/>
          <w:left w:val="single" w:sz="4" w:space="1" w:color="auto"/>
          <w:bottom w:val="single" w:sz="4" w:space="1" w:color="auto"/>
          <w:right w:val="single" w:sz="4" w:space="1" w:color="auto"/>
        </w:pBdr>
      </w:pPr>
      <w:r>
        <w:rPr>
          <w:b/>
        </w:rPr>
        <w:t>Department’s response:</w:t>
      </w:r>
      <w:r w:rsidR="004F721A">
        <w:t xml:space="preserve"> Agree. </w:t>
      </w:r>
      <w:r w:rsidR="004F721A" w:rsidRPr="004F721A">
        <w:t>The Department has implemented a national competency and verification framework for prawn inspections</w:t>
      </w:r>
      <w:r w:rsidR="00B02575">
        <w:t>.</w:t>
      </w:r>
    </w:p>
    <w:p w14:paraId="01977A70" w14:textId="77777777" w:rsidR="00EE6F11" w:rsidRDefault="00E37FDB" w:rsidP="00F94281">
      <w:pPr>
        <w:spacing w:before="360"/>
      </w:pPr>
      <w:r>
        <w:t xml:space="preserve">Training processes, instructional material and work directions need ongoing review and monitoring by operational and technical senior staff to ensure that they are up to date </w:t>
      </w:r>
      <w:r w:rsidR="00E62D26">
        <w:t>and can be applied as intended.</w:t>
      </w:r>
    </w:p>
    <w:p w14:paraId="2EF44AFA" w14:textId="2B40CD91" w:rsidR="00CC703E" w:rsidRDefault="00E37FDB" w:rsidP="0053691D">
      <w:pPr>
        <w:pStyle w:val="Heading3"/>
        <w:numPr>
          <w:ilvl w:val="0"/>
          <w:numId w:val="0"/>
        </w:numPr>
        <w:pBdr>
          <w:top w:val="single" w:sz="4" w:space="1" w:color="auto"/>
          <w:left w:val="single" w:sz="4" w:space="1" w:color="auto"/>
          <w:bottom w:val="single" w:sz="4" w:space="1" w:color="auto"/>
          <w:right w:val="single" w:sz="4" w:space="1" w:color="auto"/>
        </w:pBdr>
        <w:ind w:left="794" w:hanging="794"/>
      </w:pPr>
      <w:bookmarkStart w:id="269" w:name="_Toc499132664"/>
      <w:bookmarkStart w:id="270" w:name="_Toc499963183"/>
      <w:bookmarkStart w:id="271" w:name="_Toc500162489"/>
      <w:bookmarkStart w:id="272" w:name="_Toc500238746"/>
      <w:bookmarkStart w:id="273" w:name="_Toc500508431"/>
      <w:r>
        <w:t xml:space="preserve">Recommendation </w:t>
      </w:r>
      <w:r w:rsidRPr="00E37FDB">
        <w:fldChar w:fldCharType="begin"/>
      </w:r>
      <w:r>
        <w:instrText xml:space="preserve"> SEQ Recommendation \* ARABIC </w:instrText>
      </w:r>
      <w:r w:rsidRPr="00E37FDB">
        <w:fldChar w:fldCharType="separate"/>
      </w:r>
      <w:r w:rsidR="00121BC1">
        <w:rPr>
          <w:noProof/>
        </w:rPr>
        <w:t>10</w:t>
      </w:r>
      <w:bookmarkEnd w:id="269"/>
      <w:bookmarkEnd w:id="270"/>
      <w:bookmarkEnd w:id="271"/>
      <w:bookmarkEnd w:id="272"/>
      <w:bookmarkEnd w:id="273"/>
      <w:r w:rsidRPr="00E37FDB">
        <w:fldChar w:fldCharType="end"/>
      </w:r>
    </w:p>
    <w:p w14:paraId="6CED1BCE" w14:textId="3555F03A" w:rsidR="00CC703E" w:rsidRDefault="009F5732" w:rsidP="0053691D">
      <w:pPr>
        <w:pBdr>
          <w:top w:val="single" w:sz="4" w:space="1" w:color="auto"/>
          <w:left w:val="single" w:sz="4" w:space="1" w:color="auto"/>
          <w:bottom w:val="single" w:sz="4" w:space="1" w:color="auto"/>
          <w:right w:val="single" w:sz="4" w:space="1" w:color="auto"/>
        </w:pBdr>
        <w:spacing w:after="0"/>
        <w:rPr>
          <w:b/>
          <w:szCs w:val="24"/>
        </w:rPr>
      </w:pPr>
      <w:r w:rsidRPr="009F5732">
        <w:rPr>
          <w:szCs w:val="24"/>
        </w:rPr>
        <w:t xml:space="preserve">The department should improve internal communication </w:t>
      </w:r>
      <w:r w:rsidR="005B674E">
        <w:rPr>
          <w:szCs w:val="24"/>
        </w:rPr>
        <w:t>to</w:t>
      </w:r>
      <w:r w:rsidRPr="009F5732">
        <w:rPr>
          <w:szCs w:val="24"/>
        </w:rPr>
        <w:t xml:space="preserve"> develop and implement training processes, instructional material and work directions that are technically sound, suit the conditions being experienced and are applied as intended. These should be monitored and regularly reviewed.</w:t>
      </w:r>
    </w:p>
    <w:p w14:paraId="5F509682" w14:textId="0865A5DB" w:rsidR="00CC703E" w:rsidRPr="00B02575" w:rsidRDefault="00E37FDB" w:rsidP="0053691D">
      <w:pPr>
        <w:pBdr>
          <w:top w:val="single" w:sz="4" w:space="1" w:color="auto"/>
          <w:left w:val="single" w:sz="4" w:space="1" w:color="auto"/>
          <w:bottom w:val="single" w:sz="4" w:space="1" w:color="auto"/>
          <w:right w:val="single" w:sz="4" w:space="1" w:color="auto"/>
        </w:pBdr>
      </w:pPr>
      <w:r>
        <w:rPr>
          <w:b/>
        </w:rPr>
        <w:lastRenderedPageBreak/>
        <w:t>Department’s response:</w:t>
      </w:r>
      <w:r w:rsidR="00B02575">
        <w:t xml:space="preserve"> </w:t>
      </w:r>
      <w:r w:rsidR="00B02575" w:rsidRPr="00B02575">
        <w:t xml:space="preserve">Agree. The </w:t>
      </w:r>
      <w:r w:rsidR="00B02575">
        <w:t>d</w:t>
      </w:r>
      <w:r w:rsidR="00B02575" w:rsidRPr="00B02575">
        <w:t>epartment has implemented improved internal communications arrangements, updated instructional material and has strengthened arrangements to ensure that the required processes are being applied as intended.</w:t>
      </w:r>
    </w:p>
    <w:p w14:paraId="31AAEFFD" w14:textId="18F24BEA" w:rsidR="00CC703E" w:rsidRPr="0087638C" w:rsidRDefault="00E37FDB" w:rsidP="00C45D06">
      <w:pPr>
        <w:pStyle w:val="Heading3"/>
        <w:rPr>
          <w:rStyle w:val="Heading3Char"/>
          <w:rFonts w:eastAsia="Calibri"/>
          <w:b/>
          <w:bCs/>
        </w:rPr>
      </w:pPr>
      <w:bookmarkStart w:id="274" w:name="_Toc490040516"/>
      <w:bookmarkStart w:id="275" w:name="_Toc500508432"/>
      <w:r w:rsidRPr="00FB139A">
        <w:rPr>
          <w:rStyle w:val="Heading3Char"/>
          <w:rFonts w:eastAsia="Calibri"/>
          <w:b/>
          <w:bCs/>
        </w:rPr>
        <w:t>Resourcing border biosecurity adequately into the future</w:t>
      </w:r>
      <w:bookmarkEnd w:id="274"/>
      <w:bookmarkEnd w:id="275"/>
    </w:p>
    <w:p w14:paraId="05C592EF" w14:textId="263AC40E" w:rsidR="00CC703E" w:rsidRDefault="00E37FDB">
      <w:pPr>
        <w:spacing w:after="0"/>
      </w:pPr>
      <w:bookmarkStart w:id="276" w:name="_Toc490040517"/>
      <w:r>
        <w:t>Strengthening pre-border and border biosecurity risk management measures to prevent unwanted pest and disease entry into Australia requires long-term secured funding.</w:t>
      </w:r>
    </w:p>
    <w:p w14:paraId="07A27C05" w14:textId="293D675E" w:rsidR="00CC703E" w:rsidRDefault="00E37FDB" w:rsidP="0053691D">
      <w:pPr>
        <w:pStyle w:val="Heading4"/>
      </w:pPr>
      <w:r>
        <w:t>Impact of cuts in frontline staff resources</w:t>
      </w:r>
    </w:p>
    <w:p w14:paraId="79F2B732" w14:textId="77777777" w:rsidR="009E11E9" w:rsidRDefault="00E37FDB">
      <w:pPr>
        <w:spacing w:before="60" w:after="0"/>
      </w:pPr>
      <w:r>
        <w:t>Frontline inspector numbers have fallen by 25 per cent over the past five years (</w:t>
      </w:r>
      <w:r w:rsidR="00C56554">
        <w:fldChar w:fldCharType="begin"/>
      </w:r>
      <w:r w:rsidR="00C56554">
        <w:instrText xml:space="preserve"> REF _Ref499325137 \h </w:instrText>
      </w:r>
      <w:r w:rsidR="00C56554">
        <w:fldChar w:fldCharType="separate"/>
      </w:r>
      <w:r w:rsidR="00121BC1">
        <w:t xml:space="preserve">Table </w:t>
      </w:r>
      <w:r w:rsidR="00121BC1">
        <w:rPr>
          <w:noProof/>
        </w:rPr>
        <w:t>17</w:t>
      </w:r>
      <w:r w:rsidR="00C56554">
        <w:fldChar w:fldCharType="end"/>
      </w:r>
      <w:r>
        <w:t>). However, the volumes of imported goods, mail and passengers continue to rise steadily.</w:t>
      </w:r>
    </w:p>
    <w:p w14:paraId="7F7C9132" w14:textId="6F6AE595" w:rsidR="00CC703E" w:rsidRDefault="009E11E9" w:rsidP="0012200D">
      <w:pPr>
        <w:spacing w:after="0"/>
      </w:pPr>
      <w:r>
        <w:t>Biosecurity risks are also increasing, with increased global population and food production intensification accelerating the spread of pests and diseases. Better use of IT, robotics, remote sensing and other technologies can vastly improve the efficiency of some biosecurity risk management processes and replace repetitive work, transforming work practices and organisational behaviour. Nevertheless, as shown with prawn imports, human inspection and enforcement need strengthening to detect and prevent sophisticated non-compliant behaviour. Flexibility in deploying inspection staff to targeted operations without compromising other biosecurity operations also requires sufficient staff availability.</w:t>
      </w:r>
    </w:p>
    <w:p w14:paraId="2EC69751" w14:textId="13A7BF18" w:rsidR="00750E24" w:rsidRDefault="00750E24" w:rsidP="00750E24">
      <w:pPr>
        <w:pStyle w:val="Caption"/>
      </w:pPr>
      <w:bookmarkStart w:id="277" w:name="_Ref499325137"/>
      <w:bookmarkStart w:id="278" w:name="_Toc500508494"/>
      <w:r>
        <w:t xml:space="preserve">Table </w:t>
      </w:r>
      <w:r w:rsidR="00F329C0">
        <w:fldChar w:fldCharType="begin"/>
      </w:r>
      <w:r w:rsidR="00F329C0">
        <w:instrText xml:space="preserve"> SEQ Table \* ARABIC </w:instrText>
      </w:r>
      <w:r w:rsidR="00F329C0">
        <w:fldChar w:fldCharType="separate"/>
      </w:r>
      <w:r w:rsidR="00121BC1">
        <w:rPr>
          <w:noProof/>
        </w:rPr>
        <w:t>17</w:t>
      </w:r>
      <w:r w:rsidR="00F329C0">
        <w:rPr>
          <w:noProof/>
        </w:rPr>
        <w:fldChar w:fldCharType="end"/>
      </w:r>
      <w:bookmarkEnd w:id="277"/>
      <w:r w:rsidRPr="00750E24">
        <w:t xml:space="preserve"> </w:t>
      </w:r>
      <w:r>
        <w:t>Inspector workforce, Department of Agriculture and Water Resources, 2013–14 to 2017–18</w:t>
      </w:r>
      <w:bookmarkEnd w:id="27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3118"/>
      </w:tblGrid>
      <w:tr w:rsidR="00CC703E" w14:paraId="017EE303" w14:textId="77777777">
        <w:tc>
          <w:tcPr>
            <w:tcW w:w="1560" w:type="dxa"/>
          </w:tcPr>
          <w:p w14:paraId="3C40B9B4" w14:textId="7E60DF80" w:rsidR="00CC703E" w:rsidRDefault="00E37FDB">
            <w:pPr>
              <w:pStyle w:val="Tableheading"/>
            </w:pPr>
            <w:r>
              <w:t>Year</w:t>
            </w:r>
          </w:p>
        </w:tc>
        <w:tc>
          <w:tcPr>
            <w:tcW w:w="3118" w:type="dxa"/>
          </w:tcPr>
          <w:p w14:paraId="1A211066" w14:textId="656B1CB8" w:rsidR="00CC703E" w:rsidRDefault="00E37FDB">
            <w:pPr>
              <w:pStyle w:val="Tableheading"/>
              <w:jc w:val="right"/>
            </w:pPr>
            <w:r>
              <w:t>Staff (full-time equivalent)</w:t>
            </w:r>
          </w:p>
        </w:tc>
      </w:tr>
      <w:tr w:rsidR="00CC703E" w14:paraId="3EF782B3" w14:textId="77777777">
        <w:tc>
          <w:tcPr>
            <w:tcW w:w="1560" w:type="dxa"/>
          </w:tcPr>
          <w:p w14:paraId="7BD7A847" w14:textId="77777777" w:rsidR="00CC703E" w:rsidRDefault="00E37FDB">
            <w:pPr>
              <w:pStyle w:val="Tabletext"/>
            </w:pPr>
            <w:r>
              <w:t>2013–14</w:t>
            </w:r>
          </w:p>
        </w:tc>
        <w:tc>
          <w:tcPr>
            <w:tcW w:w="3118" w:type="dxa"/>
          </w:tcPr>
          <w:p w14:paraId="1B5FA2DC" w14:textId="77777777" w:rsidR="00CC703E" w:rsidRDefault="00E37FDB">
            <w:pPr>
              <w:pStyle w:val="Tabletext"/>
              <w:jc w:val="right"/>
            </w:pPr>
            <w:r>
              <w:t>1430.09</w:t>
            </w:r>
          </w:p>
        </w:tc>
      </w:tr>
      <w:tr w:rsidR="00CC703E" w14:paraId="35913F4B" w14:textId="77777777">
        <w:tc>
          <w:tcPr>
            <w:tcW w:w="1560" w:type="dxa"/>
          </w:tcPr>
          <w:p w14:paraId="385DF062" w14:textId="77777777" w:rsidR="00CC703E" w:rsidRDefault="00E37FDB">
            <w:pPr>
              <w:pStyle w:val="Tabletext"/>
            </w:pPr>
            <w:r>
              <w:t>2014–15</w:t>
            </w:r>
          </w:p>
        </w:tc>
        <w:tc>
          <w:tcPr>
            <w:tcW w:w="3118" w:type="dxa"/>
          </w:tcPr>
          <w:p w14:paraId="06DBB3E6" w14:textId="77777777" w:rsidR="00CC703E" w:rsidRDefault="00E37FDB">
            <w:pPr>
              <w:pStyle w:val="Tabletext"/>
              <w:jc w:val="right"/>
            </w:pPr>
            <w:r>
              <w:t>1247.93</w:t>
            </w:r>
          </w:p>
        </w:tc>
      </w:tr>
      <w:tr w:rsidR="00CC703E" w14:paraId="3574E9A6" w14:textId="77777777">
        <w:tc>
          <w:tcPr>
            <w:tcW w:w="1560" w:type="dxa"/>
          </w:tcPr>
          <w:p w14:paraId="2035F7B1" w14:textId="77777777" w:rsidR="00CC703E" w:rsidRDefault="00E37FDB">
            <w:pPr>
              <w:pStyle w:val="Tabletext"/>
            </w:pPr>
            <w:r>
              <w:t>2015–16</w:t>
            </w:r>
          </w:p>
        </w:tc>
        <w:tc>
          <w:tcPr>
            <w:tcW w:w="3118" w:type="dxa"/>
          </w:tcPr>
          <w:p w14:paraId="516BF3CD" w14:textId="77777777" w:rsidR="00CC703E" w:rsidRDefault="00E37FDB">
            <w:pPr>
              <w:pStyle w:val="Tabletext"/>
              <w:jc w:val="right"/>
            </w:pPr>
            <w:r>
              <w:t>1071.87</w:t>
            </w:r>
          </w:p>
        </w:tc>
      </w:tr>
      <w:tr w:rsidR="00CC703E" w14:paraId="5728465D" w14:textId="77777777">
        <w:tc>
          <w:tcPr>
            <w:tcW w:w="1560" w:type="dxa"/>
          </w:tcPr>
          <w:p w14:paraId="6134478A" w14:textId="77777777" w:rsidR="00CC703E" w:rsidRDefault="00E37FDB">
            <w:pPr>
              <w:pStyle w:val="Tabletext"/>
            </w:pPr>
            <w:r>
              <w:t>2016–17</w:t>
            </w:r>
          </w:p>
        </w:tc>
        <w:tc>
          <w:tcPr>
            <w:tcW w:w="3118" w:type="dxa"/>
          </w:tcPr>
          <w:p w14:paraId="2DA968DA" w14:textId="77777777" w:rsidR="00CC703E" w:rsidRDefault="00E37FDB">
            <w:pPr>
              <w:pStyle w:val="Tabletext"/>
              <w:jc w:val="right"/>
            </w:pPr>
            <w:r>
              <w:t>1087.98</w:t>
            </w:r>
          </w:p>
        </w:tc>
      </w:tr>
      <w:tr w:rsidR="00CC703E" w14:paraId="4B08E2BB" w14:textId="77777777">
        <w:tc>
          <w:tcPr>
            <w:tcW w:w="1560" w:type="dxa"/>
          </w:tcPr>
          <w:p w14:paraId="3F204F74" w14:textId="77777777" w:rsidR="00CC703E" w:rsidRDefault="00E37FDB">
            <w:pPr>
              <w:pStyle w:val="Tabletext"/>
            </w:pPr>
            <w:r>
              <w:t>2017–18</w:t>
            </w:r>
          </w:p>
        </w:tc>
        <w:tc>
          <w:tcPr>
            <w:tcW w:w="3118" w:type="dxa"/>
          </w:tcPr>
          <w:p w14:paraId="5594DDAC" w14:textId="77777777" w:rsidR="00CC703E" w:rsidRDefault="00E37FDB">
            <w:pPr>
              <w:pStyle w:val="Tabletext"/>
              <w:jc w:val="right"/>
            </w:pPr>
            <w:r>
              <w:t>1064.00</w:t>
            </w:r>
          </w:p>
        </w:tc>
      </w:tr>
    </w:tbl>
    <w:p w14:paraId="2EEEF235" w14:textId="77777777" w:rsidR="00CC703E" w:rsidRDefault="00E37FDB">
      <w:pPr>
        <w:pStyle w:val="FigureTableNoteSource"/>
        <w:rPr>
          <w:lang w:eastAsia="ja-JP"/>
        </w:rPr>
      </w:pPr>
      <w:r>
        <w:rPr>
          <w:lang w:eastAsia="ja-JP"/>
        </w:rPr>
        <w:t>Source: Department of Agriculture and Water Resources</w:t>
      </w:r>
    </w:p>
    <w:p w14:paraId="54D01060" w14:textId="72133CD4" w:rsidR="00CC703E" w:rsidRDefault="00E37FDB" w:rsidP="0012200D">
      <w:pPr>
        <w:tabs>
          <w:tab w:val="clear" w:pos="567"/>
        </w:tabs>
        <w:spacing w:before="240" w:after="0"/>
        <w:rPr>
          <w:szCs w:val="24"/>
        </w:rPr>
      </w:pPr>
      <w:r>
        <w:rPr>
          <w:szCs w:val="24"/>
        </w:rPr>
        <w:t>For example, as Operation Cattai was rolled out in late 2016, a number of Sydney-based importers ceased raw prawn imports. At the same time, Melbourne required more inspections than predicted due to the levels of non-compliance found there. This resulted in increased pressures on inspection staff and required redeploy</w:t>
      </w:r>
      <w:r w:rsidR="007F51B2">
        <w:rPr>
          <w:szCs w:val="24"/>
        </w:rPr>
        <w:t>ment</w:t>
      </w:r>
      <w:r>
        <w:rPr>
          <w:szCs w:val="24"/>
        </w:rPr>
        <w:t xml:space="preserve"> of some staff for extended periods, often with no potential for backfill. This in turn led to the suspension of the Cargo </w:t>
      </w:r>
      <w:r w:rsidR="007B6110">
        <w:rPr>
          <w:szCs w:val="24"/>
        </w:rPr>
        <w:t xml:space="preserve">Compliance </w:t>
      </w:r>
      <w:r>
        <w:rPr>
          <w:szCs w:val="24"/>
        </w:rPr>
        <w:t>Verification program, which could also have created other vulnerabilities. In 2017 the massive effort re</w:t>
      </w:r>
      <w:r>
        <w:rPr>
          <w:szCs w:val="24"/>
        </w:rPr>
        <w:lastRenderedPageBreak/>
        <w:t>quired for securing, testing and withdrawing previously cleared, imported and uncooked prawns from the domestic supply chain meant that many other routine and targeted biosecurity operations had to be deferred.</w:t>
      </w:r>
    </w:p>
    <w:p w14:paraId="4D1127FD" w14:textId="77777777" w:rsidR="00CC703E" w:rsidRDefault="00E37FDB" w:rsidP="00A2184E">
      <w:pPr>
        <w:pStyle w:val="Heading4"/>
      </w:pPr>
      <w:r>
        <w:t>Balance between cost-recovered and government-funded activities</w:t>
      </w:r>
    </w:p>
    <w:p w14:paraId="2637EB14" w14:textId="4E496EA8" w:rsidR="00CC703E" w:rsidRDefault="00E37FDB">
      <w:pPr>
        <w:spacing w:after="0"/>
      </w:pPr>
      <w:r>
        <w:t>Governments are always trying to reduce public costs and unnecessary regulation that can impose extra costs on businesses. Cost-cutting strategies (referred to as ‘productivity dividends’), such as imposing ceilings or cuts on the department’s budget and average staffing level (ASL), directly affect the department’s ability to resource biosecurity management.</w:t>
      </w:r>
    </w:p>
    <w:p w14:paraId="4A4233C2" w14:textId="0234AE3F" w:rsidR="00CC703E" w:rsidRDefault="00E37FDB">
      <w:pPr>
        <w:spacing w:after="0"/>
      </w:pPr>
      <w:r>
        <w:t>The department recovers most of its pre-border and border biosecurity costs from importers. Activities funded by cost-recovery should be exempt from ASL ceilings. This would ensure that the department has adequate staff to respond to increased trade or biosecurity risk management of different imports—without compromising other necessary functions.</w:t>
      </w:r>
    </w:p>
    <w:p w14:paraId="68C87CFB" w14:textId="4A181FEE" w:rsidR="00CC703E" w:rsidRDefault="00E37FDB">
      <w:pPr>
        <w:spacing w:after="0"/>
      </w:pPr>
      <w:r>
        <w:t xml:space="preserve">The department </w:t>
      </w:r>
      <w:r w:rsidR="005B674E">
        <w:t xml:space="preserve">also </w:t>
      </w:r>
      <w:r>
        <w:t>needs a sufficient level of government or general levy funding to verify compliance with import conditions for commodities (such as imported frozen foods) that may be subject to risks of misdescription. It is dangerous to set funding too low and particularly to remove funding for random detection activities. The department needs sufficient government funding for both targeted enforcement operations and random surveillance of imported frozen goods to ensure that importers are not diverting product and exposing Australia to biosecurity risks such as WSSV.</w:t>
      </w:r>
    </w:p>
    <w:p w14:paraId="6E6F8B69" w14:textId="67119796" w:rsidR="00CC703E" w:rsidRDefault="00E37FDB">
      <w:pPr>
        <w:spacing w:after="0"/>
        <w:rPr>
          <w:szCs w:val="24"/>
        </w:rPr>
      </w:pPr>
      <w:r>
        <w:rPr>
          <w:szCs w:val="24"/>
        </w:rPr>
        <w:t>If implemented, r</w:t>
      </w:r>
      <w:r>
        <w:t>ecommendations</w:t>
      </w:r>
      <w:r>
        <w:rPr>
          <w:szCs w:val="24"/>
        </w:rPr>
        <w:t xml:space="preserve"> in this </w:t>
      </w:r>
      <w:r w:rsidR="005B674E">
        <w:rPr>
          <w:szCs w:val="24"/>
        </w:rPr>
        <w:t>chapter</w:t>
      </w:r>
      <w:r>
        <w:rPr>
          <w:szCs w:val="24"/>
        </w:rPr>
        <w:t xml:space="preserve"> will require the ongoing deployment of extra staff, a cost that will not be fully recoverable. For example, it would be unreasonable to charge an importer of frozen peas the cost of a randomly selected full seals-intact inspection of their consignment—unless serious non-compliance were detected.</w:t>
      </w:r>
    </w:p>
    <w:p w14:paraId="4844405E" w14:textId="02C07449" w:rsidR="00CC703E" w:rsidRPr="00D63947" w:rsidRDefault="005B674E">
      <w:pPr>
        <w:spacing w:after="0"/>
        <w:rPr>
          <w:szCs w:val="24"/>
        </w:rPr>
      </w:pPr>
      <w:r>
        <w:t xml:space="preserve">The considerations of the </w:t>
      </w:r>
      <w:r w:rsidR="007F51B2">
        <w:t xml:space="preserve">independent </w:t>
      </w:r>
      <w:r>
        <w:t xml:space="preserve">review </w:t>
      </w:r>
      <w:r w:rsidR="007F51B2">
        <w:t xml:space="preserve">of Australia’s quarantine and biosecurity arrangements </w:t>
      </w:r>
      <w:r>
        <w:t>in 2008</w:t>
      </w:r>
      <w:r w:rsidR="001169D3" w:rsidRPr="0087638C">
        <w:rPr>
          <w:vertAlign w:val="superscript"/>
        </w:rPr>
        <w:t>85</w:t>
      </w:r>
      <w:r>
        <w:t xml:space="preserve"> remain highly relevant today. </w:t>
      </w:r>
      <w:r w:rsidR="00E37FDB">
        <w:t xml:space="preserve">After considering submissions to their </w:t>
      </w:r>
      <w:r w:rsidR="00E37FDB" w:rsidRPr="00D63947">
        <w:t xml:space="preserve">review, </w:t>
      </w:r>
      <w:r w:rsidR="004E428D">
        <w:t xml:space="preserve">Beale et al. </w:t>
      </w:r>
      <w:r w:rsidR="00E37FDB" w:rsidRPr="00D63947">
        <w:rPr>
          <w:szCs w:val="24"/>
        </w:rPr>
        <w:t>noted that:</w:t>
      </w:r>
    </w:p>
    <w:p w14:paraId="7D662E7C" w14:textId="2C39B989" w:rsidR="00CC703E" w:rsidRDefault="00E37FDB">
      <w:pPr>
        <w:pStyle w:val="Quote"/>
      </w:pPr>
      <w:r w:rsidRPr="00D63947">
        <w:t>The Panel’s earlier recommendations will only be effective if the National Biosecurity Authority is adequately resourced and able to adopt a risk-return approach to allocating its resources. Cost recovery arrangements cannot be an excuse for this not occurring. A risk-return approach also requires sufficient senior management capacity to ensure the Authority is able to look beyond its day-to-day workload to comprehend its strategic direction. The management structure should provide clear national priorities, standards and operating directions and allow for tactical allocation of resources at a regional level</w:t>
      </w:r>
      <w:r w:rsidR="001169D3">
        <w:rPr>
          <w:vertAlign w:val="superscript"/>
        </w:rPr>
        <w:t>85</w:t>
      </w:r>
      <w:r w:rsidR="00D63947">
        <w:rPr>
          <w:vertAlign w:val="superscript"/>
        </w:rPr>
        <w:t xml:space="preserve"> (p. 193)</w:t>
      </w:r>
      <w:r w:rsidRPr="00D63947">
        <w:t>.</w:t>
      </w:r>
    </w:p>
    <w:p w14:paraId="5412512B" w14:textId="4F7C530F" w:rsidR="00CC703E" w:rsidRDefault="00E37FDB">
      <w:pPr>
        <w:spacing w:after="0"/>
      </w:pPr>
      <w:r>
        <w:t>The panel recommended that:</w:t>
      </w:r>
    </w:p>
    <w:p w14:paraId="5DC0BDDA" w14:textId="77777777" w:rsidR="00CC703E" w:rsidRDefault="00E37FDB">
      <w:pPr>
        <w:pStyle w:val="Quote"/>
      </w:pPr>
      <w:r>
        <w:lastRenderedPageBreak/>
        <w:t>[Recommendation 77] In developing cost recovery arrangements, the National Biosecurity Authority should consult with business groups, but have the ultimate responsibility of recommending to the responsible Minister a cost recovery package that will support the provision of an effective and efficient regulatory function including:</w:t>
      </w:r>
    </w:p>
    <w:p w14:paraId="46404F3A" w14:textId="77777777" w:rsidR="00CC703E" w:rsidRDefault="00E37FDB" w:rsidP="00AE4DAC">
      <w:pPr>
        <w:pStyle w:val="Quote"/>
        <w:numPr>
          <w:ilvl w:val="0"/>
          <w:numId w:val="42"/>
        </w:numPr>
      </w:pPr>
      <w:r>
        <w:t>adequate and long-term investment in infrastructure, including information technology and information services;</w:t>
      </w:r>
    </w:p>
    <w:p w14:paraId="2C2C47A7" w14:textId="77777777" w:rsidR="00CC703E" w:rsidRDefault="00E37FDB" w:rsidP="00AE4DAC">
      <w:pPr>
        <w:pStyle w:val="Quote"/>
        <w:numPr>
          <w:ilvl w:val="0"/>
          <w:numId w:val="42"/>
        </w:numPr>
      </w:pPr>
      <w:r>
        <w:t>appropriate funding for staff and training;</w:t>
      </w:r>
    </w:p>
    <w:p w14:paraId="39C59481" w14:textId="77777777" w:rsidR="00CC703E" w:rsidRPr="0048708C" w:rsidRDefault="00E37FDB" w:rsidP="00AE4DAC">
      <w:pPr>
        <w:pStyle w:val="Quote"/>
        <w:numPr>
          <w:ilvl w:val="0"/>
          <w:numId w:val="42"/>
        </w:numPr>
      </w:pPr>
      <w:r>
        <w:t xml:space="preserve">the costs of </w:t>
      </w:r>
      <w:r w:rsidRPr="0048708C">
        <w:t>auditing pre-border and border biosecurity certification; and</w:t>
      </w:r>
    </w:p>
    <w:p w14:paraId="6BDEF399" w14:textId="3D8F8C45" w:rsidR="00CC703E" w:rsidRPr="0048708C" w:rsidRDefault="00E37FDB" w:rsidP="00AE4DAC">
      <w:pPr>
        <w:pStyle w:val="Quote"/>
        <w:numPr>
          <w:ilvl w:val="0"/>
          <w:numId w:val="42"/>
        </w:numPr>
      </w:pPr>
      <w:r w:rsidRPr="0048708C">
        <w:t>the cost of diagnosing a proportion of interceptions to inform a risk-return approach to activities</w:t>
      </w:r>
      <w:r w:rsidR="001169D3">
        <w:rPr>
          <w:vertAlign w:val="superscript"/>
        </w:rPr>
        <w:t>85</w:t>
      </w:r>
      <w:r w:rsidR="0048708C" w:rsidRPr="0048708C">
        <w:rPr>
          <w:vertAlign w:val="superscript"/>
        </w:rPr>
        <w:t xml:space="preserve"> (p. 213)</w:t>
      </w:r>
      <w:r w:rsidRPr="0048708C">
        <w:t>.</w:t>
      </w:r>
    </w:p>
    <w:p w14:paraId="63343382" w14:textId="77777777" w:rsidR="00CC703E" w:rsidRDefault="00E37FDB" w:rsidP="00C11C6C">
      <w:pPr>
        <w:pStyle w:val="Heading3"/>
        <w:numPr>
          <w:ilvl w:val="0"/>
          <w:numId w:val="0"/>
        </w:numPr>
        <w:pBdr>
          <w:top w:val="single" w:sz="4" w:space="1" w:color="auto"/>
          <w:left w:val="single" w:sz="4" w:space="1" w:color="auto"/>
          <w:bottom w:val="single" w:sz="4" w:space="1" w:color="auto"/>
          <w:right w:val="single" w:sz="4" w:space="1" w:color="auto"/>
        </w:pBdr>
        <w:ind w:left="794" w:hanging="794"/>
      </w:pPr>
      <w:bookmarkStart w:id="279" w:name="_Toc499132666"/>
      <w:bookmarkStart w:id="280" w:name="_Toc499963185"/>
      <w:bookmarkStart w:id="281" w:name="_Toc500162491"/>
      <w:bookmarkStart w:id="282" w:name="_Toc500238748"/>
      <w:bookmarkStart w:id="283" w:name="_Toc500508433"/>
      <w:r>
        <w:t xml:space="preserve">Recommendation </w:t>
      </w:r>
      <w:r w:rsidR="00F329C0">
        <w:fldChar w:fldCharType="begin"/>
      </w:r>
      <w:r w:rsidR="00F329C0">
        <w:instrText xml:space="preserve"> SEQ Recommendation \* ARABIC </w:instrText>
      </w:r>
      <w:r w:rsidR="00F329C0">
        <w:fldChar w:fldCharType="separate"/>
      </w:r>
      <w:r w:rsidR="00121BC1">
        <w:rPr>
          <w:noProof/>
        </w:rPr>
        <w:t>11</w:t>
      </w:r>
      <w:bookmarkEnd w:id="279"/>
      <w:bookmarkEnd w:id="280"/>
      <w:bookmarkEnd w:id="281"/>
      <w:bookmarkEnd w:id="282"/>
      <w:bookmarkEnd w:id="283"/>
      <w:r w:rsidR="00F329C0">
        <w:rPr>
          <w:noProof/>
        </w:rPr>
        <w:fldChar w:fldCharType="end"/>
      </w:r>
    </w:p>
    <w:p w14:paraId="64A8F70A" w14:textId="5B496466" w:rsidR="00CC703E" w:rsidRDefault="009F5732" w:rsidP="00C11C6C">
      <w:pPr>
        <w:pBdr>
          <w:top w:val="single" w:sz="4" w:space="1" w:color="auto"/>
          <w:left w:val="single" w:sz="4" w:space="1" w:color="auto"/>
          <w:bottom w:val="single" w:sz="4" w:space="1" w:color="auto"/>
          <w:right w:val="single" w:sz="4" w:space="1" w:color="auto"/>
        </w:pBdr>
        <w:tabs>
          <w:tab w:val="clear" w:pos="567"/>
        </w:tabs>
        <w:spacing w:before="0" w:after="0"/>
        <w:rPr>
          <w:szCs w:val="24"/>
        </w:rPr>
      </w:pPr>
      <w:r w:rsidRPr="009F5732">
        <w:rPr>
          <w:szCs w:val="24"/>
        </w:rPr>
        <w:t>The Australian Government should commit to ensuring adequate long-term funding for biosecurity</w:t>
      </w:r>
      <w:r w:rsidR="005B674E">
        <w:rPr>
          <w:szCs w:val="24"/>
        </w:rPr>
        <w:t xml:space="preserve"> risk management, including</w:t>
      </w:r>
      <w:r w:rsidRPr="009F5732">
        <w:rPr>
          <w:szCs w:val="24"/>
        </w:rPr>
        <w:t xml:space="preserve"> border inspections and enforcement. Funding should be linked to growth in imports and biosecurity risks, with cost-recovered functions exempt from efficiency dividends and staff ceilings.</w:t>
      </w:r>
    </w:p>
    <w:p w14:paraId="411A1B4A" w14:textId="13792217" w:rsidR="00CC703E" w:rsidRPr="00B02575" w:rsidRDefault="00E37FDB" w:rsidP="00C11C6C">
      <w:pPr>
        <w:pBdr>
          <w:top w:val="single" w:sz="4" w:space="1" w:color="auto"/>
          <w:left w:val="single" w:sz="4" w:space="1" w:color="auto"/>
          <w:bottom w:val="single" w:sz="4" w:space="1" w:color="auto"/>
          <w:right w:val="single" w:sz="4" w:space="1" w:color="auto"/>
        </w:pBdr>
      </w:pPr>
      <w:r>
        <w:rPr>
          <w:b/>
        </w:rPr>
        <w:t>Department’s response</w:t>
      </w:r>
      <w:r w:rsidRPr="00561F93">
        <w:rPr>
          <w:b/>
        </w:rPr>
        <w:t>:</w:t>
      </w:r>
      <w:r w:rsidR="00B02575" w:rsidRPr="00561F93">
        <w:t xml:space="preserve"> </w:t>
      </w:r>
      <w:r w:rsidR="00B02575" w:rsidRPr="009C11AF">
        <w:rPr>
          <w:rFonts w:ascii="Calibri" w:hAnsi="Calibri" w:cs="Calibri"/>
          <w:bCs/>
          <w:sz w:val="23"/>
          <w:szCs w:val="23"/>
        </w:rPr>
        <w:t>Noted. This is a matter for government.</w:t>
      </w:r>
    </w:p>
    <w:p w14:paraId="2195CBDD" w14:textId="46FAC233" w:rsidR="00CC703E" w:rsidRPr="00C11C6C" w:rsidRDefault="009435EB" w:rsidP="00C11C6C">
      <w:pPr>
        <w:pStyle w:val="Heading3"/>
        <w:rPr>
          <w:rStyle w:val="Heading3Char"/>
          <w:rFonts w:eastAsia="Calibri"/>
          <w:b/>
          <w:bCs/>
        </w:rPr>
      </w:pPr>
      <w:bookmarkStart w:id="284" w:name="_Toc500508434"/>
      <w:r w:rsidRPr="00C11C6C">
        <w:rPr>
          <w:rStyle w:val="Heading3Char"/>
          <w:rFonts w:eastAsia="Calibri"/>
          <w:b/>
          <w:bCs/>
        </w:rPr>
        <w:t>S</w:t>
      </w:r>
      <w:r w:rsidR="00E37FDB" w:rsidRPr="00C11C6C">
        <w:rPr>
          <w:rStyle w:val="Heading3Char"/>
          <w:rFonts w:eastAsia="Calibri"/>
          <w:b/>
          <w:bCs/>
        </w:rPr>
        <w:t xml:space="preserve">tronger powers </w:t>
      </w:r>
      <w:r w:rsidR="00637E5A" w:rsidRPr="00C11C6C">
        <w:rPr>
          <w:rStyle w:val="Heading3Char"/>
          <w:rFonts w:eastAsia="Calibri"/>
          <w:b/>
          <w:bCs/>
        </w:rPr>
        <w:t xml:space="preserve">and penalties </w:t>
      </w:r>
      <w:r w:rsidR="00E37FDB" w:rsidRPr="00C11C6C">
        <w:rPr>
          <w:rStyle w:val="Heading3Char"/>
          <w:rFonts w:eastAsia="Calibri"/>
          <w:b/>
          <w:bCs/>
        </w:rPr>
        <w:t xml:space="preserve">under the </w:t>
      </w:r>
      <w:r w:rsidR="00E37FDB" w:rsidRPr="001C5BFD">
        <w:rPr>
          <w:rStyle w:val="Heading3Char"/>
          <w:rFonts w:eastAsia="Calibri"/>
          <w:b/>
          <w:bCs/>
          <w:i/>
        </w:rPr>
        <w:t>Biosecurity Act 2015</w:t>
      </w:r>
      <w:bookmarkEnd w:id="284"/>
    </w:p>
    <w:p w14:paraId="029A3489" w14:textId="4BA68A39" w:rsidR="00DC3A65" w:rsidRDefault="00DC3A65" w:rsidP="00A0177F">
      <w:pPr>
        <w:tabs>
          <w:tab w:val="clear" w:pos="567"/>
        </w:tabs>
        <w:spacing w:after="0"/>
        <w:rPr>
          <w:bCs/>
        </w:rPr>
      </w:pPr>
      <w:r w:rsidRPr="00092D7B">
        <w:rPr>
          <w:bCs/>
        </w:rPr>
        <w:t xml:space="preserve">Key differences between the </w:t>
      </w:r>
      <w:r w:rsidRPr="00A0177F">
        <w:rPr>
          <w:bCs/>
          <w:i/>
        </w:rPr>
        <w:t>Quarantine Act 1908</w:t>
      </w:r>
      <w:r>
        <w:rPr>
          <w:bCs/>
        </w:rPr>
        <w:t xml:space="preserve"> and the </w:t>
      </w:r>
      <w:r w:rsidRPr="00A0177F">
        <w:rPr>
          <w:bCs/>
          <w:i/>
        </w:rPr>
        <w:t>Biosecurity Act 2015</w:t>
      </w:r>
      <w:r>
        <w:rPr>
          <w:bCs/>
        </w:rPr>
        <w:t xml:space="preserve"> </w:t>
      </w:r>
      <w:r w:rsidRPr="00092D7B">
        <w:rPr>
          <w:bCs/>
        </w:rPr>
        <w:t xml:space="preserve">and the processes required to administer them affected management of the WSD outbreak, suspension and resumption of uncooked prawn imports, and management of the wider biosecurity risk framework. Further amendments to the </w:t>
      </w:r>
      <w:r w:rsidRPr="00092D7B">
        <w:rPr>
          <w:bCs/>
          <w:i/>
        </w:rPr>
        <w:t>Biosecurity Act 2015</w:t>
      </w:r>
      <w:r w:rsidRPr="00092D7B">
        <w:rPr>
          <w:bCs/>
        </w:rPr>
        <w:t xml:space="preserve"> were underway at the time this report was being prepared.</w:t>
      </w:r>
    </w:p>
    <w:p w14:paraId="19385EDC" w14:textId="6721717B" w:rsidR="00637E5A" w:rsidRDefault="00637E5A" w:rsidP="00637E5A">
      <w:r>
        <w:t>Up to June 2016</w:t>
      </w:r>
      <w:r w:rsidRPr="00924B7C">
        <w:t xml:space="preserve">, under the </w:t>
      </w:r>
      <w:r w:rsidRPr="00924B7C">
        <w:rPr>
          <w:i/>
        </w:rPr>
        <w:t>Quarantine Act 1908,</w:t>
      </w:r>
      <w:r w:rsidRPr="00924B7C">
        <w:t xml:space="preserve"> the low penalties available for minor non-compliance, and the difficulties of mounting successful prosecutions even for serious non-compliance, meant that it was difficult to take a risk-based approach to deal effectively with many non-compliant behaviours</w:t>
      </w:r>
      <w:r w:rsidR="00065267">
        <w:t>,</w:t>
      </w:r>
      <w:r w:rsidRPr="00924B7C">
        <w:t xml:space="preserve"> which increased biosecurity risks.</w:t>
      </w:r>
      <w:r w:rsidR="00242B77">
        <w:t xml:space="preserve"> </w:t>
      </w:r>
      <w:r w:rsidRPr="00924B7C">
        <w:t>In practice, the penalties available and applied were often not commensurate with the potential profits or risks caused by the non-compliant behaviour.</w:t>
      </w:r>
    </w:p>
    <w:p w14:paraId="1390F814" w14:textId="0254B1C4" w:rsidR="004E428D" w:rsidRPr="00CD1A85" w:rsidRDefault="004E428D" w:rsidP="00637E5A">
      <w:r>
        <w:t xml:space="preserve">For example, </w:t>
      </w:r>
      <w:r w:rsidRPr="00D51F40">
        <w:t xml:space="preserve">Operation Penaeus, an investigation into a number of east coast prawn farms, regarding illegal importation from Taiwan of feed supplements used in prawn hatcheries, began in 2006. The goods were imported in containers of bulk </w:t>
      </w:r>
      <w:r w:rsidRPr="0012200D">
        <w:t>grow</w:t>
      </w:r>
      <w:r w:rsidRPr="008F6BC9">
        <w:t xml:space="preserve"> (</w:t>
      </w:r>
      <w:r w:rsidRPr="00D51F40">
        <w:t>pelletised) without valid import permits. The matters were only finalised in court in 2010 with the relevant directors being sentenced to varying terms of imprisonment and the companies being fined</w:t>
      </w:r>
      <w:r w:rsidR="00881B20" w:rsidRPr="0087638C">
        <w:rPr>
          <w:vertAlign w:val="superscript"/>
        </w:rPr>
        <w:t>1</w:t>
      </w:r>
      <w:r w:rsidR="009A3C9A">
        <w:rPr>
          <w:vertAlign w:val="superscript"/>
        </w:rPr>
        <w:t>59</w:t>
      </w:r>
      <w:r>
        <w:t>.</w:t>
      </w:r>
    </w:p>
    <w:p w14:paraId="229BE063" w14:textId="77777777" w:rsidR="00637E5A" w:rsidRPr="00924B7C" w:rsidRDefault="00637E5A" w:rsidP="00637E5A">
      <w:pPr>
        <w:widowControl w:val="0"/>
      </w:pPr>
      <w:r>
        <w:t xml:space="preserve">The </w:t>
      </w:r>
      <w:r w:rsidRPr="00924B7C">
        <w:rPr>
          <w:i/>
        </w:rPr>
        <w:t>Biosecurity Act 2015</w:t>
      </w:r>
      <w:r w:rsidRPr="00924B7C">
        <w:t xml:space="preserve"> modernises previously complex regulatory provisions and administrative practices, and provides new powers including:</w:t>
      </w:r>
    </w:p>
    <w:p w14:paraId="50FBEDDC" w14:textId="77777777" w:rsidR="00637E5A" w:rsidRPr="00EA20DB" w:rsidRDefault="00637E5A" w:rsidP="00C11C6C">
      <w:pPr>
        <w:pStyle w:val="ListBullet"/>
      </w:pPr>
      <w:r w:rsidRPr="00EA20DB">
        <w:t>an enhanced range of enforcement options, for example:</w:t>
      </w:r>
    </w:p>
    <w:p w14:paraId="6BE0FE17" w14:textId="77777777" w:rsidR="00637E5A" w:rsidRPr="00924B7C" w:rsidRDefault="00637E5A" w:rsidP="00C11C6C">
      <w:pPr>
        <w:pStyle w:val="ListBullet2"/>
        <w:rPr>
          <w:rFonts w:ascii="Calibri" w:hAnsi="Calibri"/>
        </w:rPr>
      </w:pPr>
      <w:r w:rsidRPr="00EA20DB">
        <w:t>additional infringement notices</w:t>
      </w:r>
    </w:p>
    <w:p w14:paraId="3180AB26" w14:textId="77777777" w:rsidR="00637E5A" w:rsidRPr="00924B7C" w:rsidRDefault="00637E5A" w:rsidP="00C11C6C">
      <w:pPr>
        <w:pStyle w:val="ListBullet2"/>
        <w:rPr>
          <w:rFonts w:ascii="Calibri" w:hAnsi="Calibri"/>
        </w:rPr>
      </w:pPr>
      <w:r w:rsidRPr="00EA20DB">
        <w:lastRenderedPageBreak/>
        <w:t>civil penalties</w:t>
      </w:r>
    </w:p>
    <w:p w14:paraId="30328EC6" w14:textId="77777777" w:rsidR="00637E5A" w:rsidRPr="00924B7C" w:rsidRDefault="00637E5A" w:rsidP="00C11C6C">
      <w:pPr>
        <w:pStyle w:val="ListBullet2"/>
        <w:rPr>
          <w:rFonts w:ascii="Calibri" w:hAnsi="Calibri"/>
        </w:rPr>
      </w:pPr>
      <w:r w:rsidRPr="00EA20DB">
        <w:t>enforceable undertakings — written agreements between the department and someone who poses a risk of non-compliance, with provision for civil prosecution where a person fails to comply with the specified obligations</w:t>
      </w:r>
      <w:r w:rsidRPr="00EA20DB">
        <w:rPr>
          <w:rFonts w:cstheme="minorBidi"/>
        </w:rPr>
        <w:t xml:space="preserve"> </w:t>
      </w:r>
    </w:p>
    <w:p w14:paraId="1E9BFDBA" w14:textId="25F5C69D" w:rsidR="00637E5A" w:rsidRPr="00EA20DB" w:rsidRDefault="00637E5A" w:rsidP="00C11C6C">
      <w:pPr>
        <w:pStyle w:val="ListBullet2"/>
      </w:pPr>
      <w:r w:rsidRPr="00EA20DB">
        <w:t>injunctions, issued by a relevant court, to compel a person to undertake a particular action, or to refrain from carrying out a particular action</w:t>
      </w:r>
      <w:r w:rsidR="0067584C">
        <w:t>,</w:t>
      </w:r>
    </w:p>
    <w:p w14:paraId="61617A19" w14:textId="60D14C2D" w:rsidR="00637E5A" w:rsidRPr="00EA20DB" w:rsidRDefault="00637E5A" w:rsidP="00C11C6C">
      <w:pPr>
        <w:pStyle w:val="ListBullet"/>
      </w:pPr>
      <w:r w:rsidRPr="00EA20DB">
        <w:t>a ‘fit and proper person’ test allowing the government to use compliance history to assess the appropriateness of a person or business to be able to import goods or enter into an approved arrangement</w:t>
      </w:r>
      <w:r w:rsidR="0067584C">
        <w:t>,</w:t>
      </w:r>
    </w:p>
    <w:p w14:paraId="7395ED64" w14:textId="58643DB4" w:rsidR="00637E5A" w:rsidRPr="00CB1BA0" w:rsidRDefault="00637E5A" w:rsidP="00C11C6C">
      <w:pPr>
        <w:pStyle w:val="ListBullet"/>
      </w:pPr>
      <w:r w:rsidRPr="00CB1BA0">
        <w:t>provisions enabling information gathering to support the biosecurity system</w:t>
      </w:r>
      <w:r w:rsidR="0067584C">
        <w:t>,</w:t>
      </w:r>
    </w:p>
    <w:p w14:paraId="59C10D23" w14:textId="28F13806" w:rsidR="00637E5A" w:rsidRPr="00BD7698" w:rsidRDefault="00637E5A" w:rsidP="00C11C6C">
      <w:pPr>
        <w:pStyle w:val="ListBullet"/>
      </w:pPr>
      <w:r w:rsidRPr="00BD7698">
        <w:t>mechanisms to clearly identify biosecurity risks offshore, onshore and at the border, and manage these risks using a broad range of Commonwealth powers</w:t>
      </w:r>
      <w:r w:rsidR="0067584C">
        <w:t>,</w:t>
      </w:r>
    </w:p>
    <w:p w14:paraId="5E21E2A3" w14:textId="77777777" w:rsidR="00637E5A" w:rsidRPr="00924B7C" w:rsidRDefault="00637E5A" w:rsidP="00C11C6C">
      <w:pPr>
        <w:pStyle w:val="ListBullet"/>
      </w:pPr>
      <w:r w:rsidRPr="00924B7C">
        <w:t>expanded onshore powers for the Commonwealth to cooperatively manage and address pest and disease incursions with state governments and/or the private sector, and</w:t>
      </w:r>
    </w:p>
    <w:p w14:paraId="550068C5" w14:textId="77777777" w:rsidR="00637E5A" w:rsidRPr="00924B7C" w:rsidRDefault="00637E5A" w:rsidP="00C11C6C">
      <w:pPr>
        <w:pStyle w:val="ListBullet"/>
      </w:pPr>
      <w:r w:rsidRPr="00924B7C">
        <w:t xml:space="preserve">provisions for an approved arrangement scheme that replace the previous duplicative quarantine approved premises and compliance agreement provisions. </w:t>
      </w:r>
    </w:p>
    <w:p w14:paraId="0BC03A71" w14:textId="4B771D62" w:rsidR="00637E5A" w:rsidRPr="00EA20DB" w:rsidRDefault="00637E5A" w:rsidP="00637E5A">
      <w:pPr>
        <w:rPr>
          <w:szCs w:val="24"/>
        </w:rPr>
      </w:pPr>
      <w:r w:rsidRPr="00924B7C">
        <w:rPr>
          <w:szCs w:val="24"/>
        </w:rPr>
        <w:t xml:space="preserve">However, these extra powers and penalties are still not commensurate with the very high </w:t>
      </w:r>
      <w:r w:rsidR="00F340D1">
        <w:rPr>
          <w:szCs w:val="24"/>
        </w:rPr>
        <w:t xml:space="preserve">potential profits and </w:t>
      </w:r>
      <w:r w:rsidR="00E5063D">
        <w:rPr>
          <w:szCs w:val="24"/>
        </w:rPr>
        <w:t>risks associated with</w:t>
      </w:r>
      <w:r w:rsidRPr="00924B7C">
        <w:rPr>
          <w:szCs w:val="24"/>
        </w:rPr>
        <w:t xml:space="preserve"> circumventing pre-border and border biosecurity controls </w:t>
      </w:r>
      <w:r w:rsidR="00E5063D">
        <w:rPr>
          <w:szCs w:val="24"/>
        </w:rPr>
        <w:t xml:space="preserve">and </w:t>
      </w:r>
      <w:r w:rsidRPr="00924B7C">
        <w:rPr>
          <w:szCs w:val="24"/>
        </w:rPr>
        <w:t>import</w:t>
      </w:r>
      <w:r w:rsidR="00E5063D">
        <w:rPr>
          <w:szCs w:val="24"/>
        </w:rPr>
        <w:t>ing</w:t>
      </w:r>
      <w:r w:rsidRPr="00924B7C">
        <w:rPr>
          <w:szCs w:val="24"/>
        </w:rPr>
        <w:t xml:space="preserve"> cheap</w:t>
      </w:r>
      <w:r w:rsidRPr="00EA20DB">
        <w:rPr>
          <w:szCs w:val="24"/>
        </w:rPr>
        <w:t>,</w:t>
      </w:r>
      <w:r w:rsidRPr="00924B7C">
        <w:rPr>
          <w:szCs w:val="24"/>
        </w:rPr>
        <w:t xml:space="preserve"> low</w:t>
      </w:r>
      <w:r w:rsidRPr="00EA20DB">
        <w:rPr>
          <w:szCs w:val="24"/>
        </w:rPr>
        <w:t>-</w:t>
      </w:r>
      <w:r w:rsidRPr="00924B7C">
        <w:rPr>
          <w:szCs w:val="24"/>
        </w:rPr>
        <w:t xml:space="preserve">quality uncooked prawns to Australia. </w:t>
      </w:r>
    </w:p>
    <w:p w14:paraId="688EB19A" w14:textId="77777777" w:rsidR="00637E5A" w:rsidRPr="00924B7C" w:rsidRDefault="00637E5A" w:rsidP="00637E5A">
      <w:pPr>
        <w:rPr>
          <w:szCs w:val="24"/>
        </w:rPr>
      </w:pPr>
      <w:r w:rsidRPr="00924B7C">
        <w:rPr>
          <w:szCs w:val="24"/>
        </w:rPr>
        <w:t>The</w:t>
      </w:r>
      <w:r w:rsidRPr="00EA20DB">
        <w:rPr>
          <w:szCs w:val="24"/>
        </w:rPr>
        <w:t xml:space="preserve"> new Act also </w:t>
      </w:r>
      <w:r w:rsidRPr="00924B7C">
        <w:rPr>
          <w:szCs w:val="24"/>
        </w:rPr>
        <w:t>provides a range of protections for individuals and their goods. The</w:t>
      </w:r>
      <w:r w:rsidRPr="00EA20DB">
        <w:rPr>
          <w:szCs w:val="24"/>
        </w:rPr>
        <w:t xml:space="preserve"> protections</w:t>
      </w:r>
      <w:r w:rsidRPr="00924B7C">
        <w:rPr>
          <w:szCs w:val="24"/>
        </w:rPr>
        <w:t xml:space="preserve"> increase as the level of intervention becomes more significant, </w:t>
      </w:r>
      <w:r w:rsidRPr="00EA20DB">
        <w:rPr>
          <w:szCs w:val="24"/>
        </w:rPr>
        <w:t>for example for</w:t>
      </w:r>
      <w:r w:rsidRPr="00924B7C">
        <w:rPr>
          <w:szCs w:val="24"/>
        </w:rPr>
        <w:t xml:space="preserve"> the destruction of high-value goods. </w:t>
      </w:r>
      <w:r w:rsidRPr="00EA20DB">
        <w:rPr>
          <w:szCs w:val="24"/>
        </w:rPr>
        <w:t>There are higher t</w:t>
      </w:r>
      <w:r w:rsidRPr="00924B7C">
        <w:rPr>
          <w:szCs w:val="24"/>
        </w:rPr>
        <w:t xml:space="preserve">hreshold requirements for exercising </w:t>
      </w:r>
      <w:r w:rsidRPr="00EA20DB">
        <w:rPr>
          <w:szCs w:val="24"/>
        </w:rPr>
        <w:t xml:space="preserve">biosecurity risk assessment and management and </w:t>
      </w:r>
      <w:r w:rsidRPr="00924B7C">
        <w:rPr>
          <w:szCs w:val="24"/>
        </w:rPr>
        <w:t>powers over goods that are no longer subject to biosecurity control</w:t>
      </w:r>
      <w:r w:rsidRPr="00EA20DB">
        <w:rPr>
          <w:szCs w:val="24"/>
        </w:rPr>
        <w:t>.</w:t>
      </w:r>
    </w:p>
    <w:p w14:paraId="454055C2" w14:textId="77777777" w:rsidR="00637E5A" w:rsidRPr="00924B7C" w:rsidRDefault="00637E5A" w:rsidP="00637E5A">
      <w:r w:rsidRPr="00924B7C">
        <w:t xml:space="preserve">The use of destruction of non-compliant consignments by departmental order, where there is clear evidence of deliberate attempts to circumvent biosecurity controls, should be considered. By comparison, there are far wider powers and more severe penalties in the Commonwealth </w:t>
      </w:r>
      <w:r w:rsidRPr="00924B7C">
        <w:rPr>
          <w:i/>
          <w:iCs/>
        </w:rPr>
        <w:t>Fisheries Management Act 1991</w:t>
      </w:r>
      <w:r w:rsidRPr="00924B7C">
        <w:t>, for inspectors to seize and order destruction of boats, fishing gear and illegally-caught fish where illegal fishing is detected.</w:t>
      </w:r>
    </w:p>
    <w:p w14:paraId="5026D422" w14:textId="77777777" w:rsidR="00637E5A" w:rsidRPr="00924B7C" w:rsidRDefault="00637E5A" w:rsidP="00637E5A">
      <w:r w:rsidRPr="00924B7C">
        <w:t>The experience of dealing with severe non-compliance detected by Operation Cattai demonstrated the desirability of being able to suspend accreditation of approved arrangements with immediate effect when there is compelling evidence of ongoing unacceptable biosecurity risk in the form of entity recklessness or deliberate subversion of controls.</w:t>
      </w:r>
    </w:p>
    <w:p w14:paraId="43A84310" w14:textId="2B7D1D2B" w:rsidR="00CC703E" w:rsidRPr="004F4EAF" w:rsidRDefault="00637E5A" w:rsidP="004F4EAF">
      <w:pPr>
        <w:tabs>
          <w:tab w:val="clear" w:pos="567"/>
        </w:tabs>
        <w:spacing w:after="0"/>
        <w:rPr>
          <w:bCs/>
        </w:rPr>
      </w:pPr>
      <w:r w:rsidRPr="00924B7C">
        <w:rPr>
          <w:szCs w:val="24"/>
        </w:rPr>
        <w:t xml:space="preserve">Powers to impose direct penalties (for example, by ordering destruction of non-compliant imports or rapidly withdrawing permission for approved arrangements) </w:t>
      </w:r>
      <w:r w:rsidRPr="00924B7C">
        <w:rPr>
          <w:szCs w:val="24"/>
        </w:rPr>
        <w:lastRenderedPageBreak/>
        <w:t>and penalty levels for serious offences need to be reviewed and made easier to apply where appropriate.</w:t>
      </w:r>
    </w:p>
    <w:p w14:paraId="29218D83" w14:textId="77777777" w:rsidR="00CC703E" w:rsidRDefault="00E37FDB" w:rsidP="00C11C6C">
      <w:pPr>
        <w:pStyle w:val="Heading3"/>
        <w:numPr>
          <w:ilvl w:val="0"/>
          <w:numId w:val="0"/>
        </w:numPr>
        <w:pBdr>
          <w:top w:val="single" w:sz="4" w:space="1" w:color="auto"/>
          <w:left w:val="single" w:sz="4" w:space="1" w:color="auto"/>
          <w:bottom w:val="single" w:sz="4" w:space="1" w:color="auto"/>
          <w:right w:val="single" w:sz="4" w:space="1" w:color="auto"/>
        </w:pBdr>
        <w:ind w:left="794" w:hanging="794"/>
      </w:pPr>
      <w:bookmarkStart w:id="285" w:name="_Toc499132668"/>
      <w:bookmarkStart w:id="286" w:name="_Toc499963187"/>
      <w:bookmarkStart w:id="287" w:name="_Toc500162493"/>
      <w:bookmarkStart w:id="288" w:name="_Toc500238750"/>
      <w:bookmarkStart w:id="289" w:name="_Toc500508435"/>
      <w:r>
        <w:t xml:space="preserve">Recommendation </w:t>
      </w:r>
      <w:r w:rsidRPr="00E37FDB">
        <w:fldChar w:fldCharType="begin"/>
      </w:r>
      <w:r>
        <w:instrText xml:space="preserve"> SEQ Recommendation \* ARABIC </w:instrText>
      </w:r>
      <w:r w:rsidRPr="00E37FDB">
        <w:fldChar w:fldCharType="separate"/>
      </w:r>
      <w:r w:rsidR="00121BC1">
        <w:rPr>
          <w:noProof/>
        </w:rPr>
        <w:t>12</w:t>
      </w:r>
      <w:bookmarkEnd w:id="285"/>
      <w:bookmarkEnd w:id="286"/>
      <w:bookmarkEnd w:id="287"/>
      <w:bookmarkEnd w:id="288"/>
      <w:bookmarkEnd w:id="289"/>
      <w:r w:rsidRPr="00E37FDB">
        <w:rPr>
          <w:noProof/>
        </w:rPr>
        <w:fldChar w:fldCharType="end"/>
      </w:r>
    </w:p>
    <w:p w14:paraId="073EA61F" w14:textId="4DF63654" w:rsidR="00CC703E" w:rsidRDefault="009F5732" w:rsidP="00C11C6C">
      <w:pPr>
        <w:pBdr>
          <w:top w:val="single" w:sz="4" w:space="1" w:color="auto"/>
          <w:left w:val="single" w:sz="4" w:space="1" w:color="auto"/>
          <w:bottom w:val="single" w:sz="4" w:space="1" w:color="auto"/>
          <w:right w:val="single" w:sz="4" w:space="1" w:color="auto"/>
        </w:pBdr>
        <w:spacing w:after="0"/>
        <w:rPr>
          <w:szCs w:val="24"/>
        </w:rPr>
      </w:pPr>
      <w:r w:rsidRPr="009F5732">
        <w:rPr>
          <w:szCs w:val="24"/>
        </w:rPr>
        <w:t xml:space="preserve">The department should consider seeking </w:t>
      </w:r>
      <w:r w:rsidR="00546366">
        <w:rPr>
          <w:szCs w:val="24"/>
        </w:rPr>
        <w:t xml:space="preserve">stronger </w:t>
      </w:r>
      <w:r w:rsidRPr="009F5732">
        <w:rPr>
          <w:szCs w:val="24"/>
        </w:rPr>
        <w:t xml:space="preserve">powers under the </w:t>
      </w:r>
      <w:r w:rsidRPr="009F5732">
        <w:rPr>
          <w:i/>
          <w:szCs w:val="24"/>
        </w:rPr>
        <w:t>Biosecurity Act 2015</w:t>
      </w:r>
      <w:r w:rsidRPr="009F5732">
        <w:rPr>
          <w:szCs w:val="24"/>
        </w:rPr>
        <w:t xml:space="preserve"> to apply direct penalties for serious non-compliance and impose administrative sanctions or on-the-spot fines for relatively minor non-compliance.</w:t>
      </w:r>
    </w:p>
    <w:p w14:paraId="0977AA56" w14:textId="12E6A673" w:rsidR="00CC703E" w:rsidRPr="00B02575" w:rsidRDefault="00E37FDB" w:rsidP="00C11C6C">
      <w:pPr>
        <w:pBdr>
          <w:top w:val="single" w:sz="4" w:space="1" w:color="auto"/>
          <w:left w:val="single" w:sz="4" w:space="1" w:color="auto"/>
          <w:bottom w:val="single" w:sz="4" w:space="1" w:color="auto"/>
          <w:right w:val="single" w:sz="4" w:space="1" w:color="auto"/>
        </w:pBdr>
      </w:pPr>
      <w:r>
        <w:rPr>
          <w:b/>
        </w:rPr>
        <w:t>Department’s response:</w:t>
      </w:r>
      <w:r w:rsidR="00B02575">
        <w:t xml:space="preserve"> </w:t>
      </w:r>
      <w:r w:rsidR="00B02575" w:rsidRPr="00B02575">
        <w:t>Agree. While the Biosecurity Act already provides powers to apply direct penalties for serious non-compliance and penalties for relatively minor non-compliance in the form of infringement notices, the department will consider whether stronger powers are required.</w:t>
      </w:r>
    </w:p>
    <w:p w14:paraId="4ECE6C20" w14:textId="5A7780E2" w:rsidR="00CC703E" w:rsidRDefault="00E37FDB" w:rsidP="0012200D">
      <w:pPr>
        <w:spacing w:before="240" w:after="0"/>
      </w:pPr>
      <w:r>
        <w:rPr>
          <w:lang w:eastAsia="ja-JP"/>
        </w:rPr>
        <w:t xml:space="preserve">The post-border withdrawal/testing program to manage the biosecurity risks associated with imported WSSV-infected prawns entering Australian retail markets was designed to optimise use of the powers of the </w:t>
      </w:r>
      <w:r>
        <w:rPr>
          <w:i/>
          <w:lang w:eastAsia="ja-JP"/>
        </w:rPr>
        <w:t>Biosecurity Act 2015</w:t>
      </w:r>
      <w:r>
        <w:rPr>
          <w:lang w:eastAsia="ja-JP"/>
        </w:rPr>
        <w:t>.</w:t>
      </w:r>
      <w:r w:rsidR="00B3574A">
        <w:rPr>
          <w:lang w:eastAsia="ja-JP"/>
        </w:rPr>
        <w:t xml:space="preserve"> </w:t>
      </w:r>
      <w:r>
        <w:t xml:space="preserve">Where there were no powers for testing or withdrawal under the </w:t>
      </w:r>
      <w:r w:rsidRPr="003D7BBE">
        <w:t>Act</w:t>
      </w:r>
      <w:r>
        <w:t>, the department worked closely with key stakeholders to encourage voluntary access for the department to test prawns. This resulted in the identification of WSSV-infected prawn</w:t>
      </w:r>
      <w:r w:rsidR="00B3574A">
        <w:t xml:space="preserve"> batches</w:t>
      </w:r>
      <w:r>
        <w:t xml:space="preserve"> and, by bringing the product within the scope of the Act, their withdrawal from the supply chain.</w:t>
      </w:r>
    </w:p>
    <w:p w14:paraId="6016DB05" w14:textId="0DA45DA0" w:rsidR="00CC703E" w:rsidRDefault="00E37FDB" w:rsidP="00FB0F9F">
      <w:pPr>
        <w:spacing w:after="0"/>
      </w:pPr>
      <w:r>
        <w:t xml:space="preserve">However, the program could have been far more effective if the </w:t>
      </w:r>
      <w:r>
        <w:rPr>
          <w:i/>
        </w:rPr>
        <w:t>Biosecurity Act 2015</w:t>
      </w:r>
      <w:r>
        <w:t xml:space="preserve"> provided powers to conduct a general recall of goods for biosecurity purposes, as can be done under state and territory food-related health legislation.</w:t>
      </w:r>
    </w:p>
    <w:p w14:paraId="67DD2F06" w14:textId="77777777" w:rsidR="00CC703E" w:rsidRDefault="00E37FDB" w:rsidP="00C11C6C">
      <w:pPr>
        <w:pStyle w:val="Heading3"/>
        <w:numPr>
          <w:ilvl w:val="0"/>
          <w:numId w:val="0"/>
        </w:numPr>
        <w:pBdr>
          <w:top w:val="single" w:sz="4" w:space="1" w:color="auto"/>
          <w:left w:val="single" w:sz="4" w:space="1" w:color="auto"/>
          <w:bottom w:val="single" w:sz="4" w:space="1" w:color="auto"/>
          <w:right w:val="single" w:sz="4" w:space="1" w:color="auto"/>
        </w:pBdr>
        <w:ind w:left="794" w:hanging="794"/>
      </w:pPr>
      <w:bookmarkStart w:id="290" w:name="_Toc499132669"/>
      <w:bookmarkStart w:id="291" w:name="_Toc499963188"/>
      <w:bookmarkStart w:id="292" w:name="_Toc500162494"/>
      <w:bookmarkStart w:id="293" w:name="_Toc500238751"/>
      <w:bookmarkStart w:id="294" w:name="_Toc500508436"/>
      <w:r>
        <w:t xml:space="preserve">Recommendation </w:t>
      </w:r>
      <w:r w:rsidRPr="00E37FDB">
        <w:fldChar w:fldCharType="begin"/>
      </w:r>
      <w:r>
        <w:instrText xml:space="preserve"> SEQ Recommendation \* ARABIC </w:instrText>
      </w:r>
      <w:r w:rsidRPr="00E37FDB">
        <w:fldChar w:fldCharType="separate"/>
      </w:r>
      <w:r w:rsidR="00121BC1">
        <w:rPr>
          <w:noProof/>
        </w:rPr>
        <w:t>13</w:t>
      </w:r>
      <w:bookmarkEnd w:id="290"/>
      <w:bookmarkEnd w:id="291"/>
      <w:bookmarkEnd w:id="292"/>
      <w:bookmarkEnd w:id="293"/>
      <w:bookmarkEnd w:id="294"/>
      <w:r w:rsidRPr="00E37FDB">
        <w:rPr>
          <w:noProof/>
        </w:rPr>
        <w:fldChar w:fldCharType="end"/>
      </w:r>
    </w:p>
    <w:p w14:paraId="2B61DBB6" w14:textId="2CC75632" w:rsidR="00CC703E" w:rsidRDefault="009F5732" w:rsidP="00C11C6C">
      <w:pPr>
        <w:pBdr>
          <w:top w:val="single" w:sz="4" w:space="1" w:color="auto"/>
          <w:left w:val="single" w:sz="4" w:space="1" w:color="auto"/>
          <w:bottom w:val="single" w:sz="4" w:space="1" w:color="auto"/>
          <w:right w:val="single" w:sz="4" w:space="1" w:color="auto"/>
        </w:pBdr>
        <w:tabs>
          <w:tab w:val="clear" w:pos="567"/>
        </w:tabs>
        <w:spacing w:before="0" w:after="0"/>
        <w:rPr>
          <w:szCs w:val="24"/>
        </w:rPr>
      </w:pPr>
      <w:r w:rsidRPr="009F5732">
        <w:rPr>
          <w:szCs w:val="24"/>
        </w:rPr>
        <w:t xml:space="preserve">The Director of Biosecurity should seek powers under the </w:t>
      </w:r>
      <w:r w:rsidRPr="009F5732">
        <w:rPr>
          <w:i/>
          <w:szCs w:val="24"/>
        </w:rPr>
        <w:t>Biosecurity Act 2015</w:t>
      </w:r>
      <w:r w:rsidRPr="009F5732">
        <w:rPr>
          <w:szCs w:val="24"/>
        </w:rPr>
        <w:t xml:space="preserve"> to conduct a general recall of goods for biosecurity purposes.</w:t>
      </w:r>
    </w:p>
    <w:p w14:paraId="6436A97C" w14:textId="68931858" w:rsidR="00CC703E" w:rsidRPr="00B02575" w:rsidRDefault="00E37FDB" w:rsidP="00C11C6C">
      <w:pPr>
        <w:pBdr>
          <w:top w:val="single" w:sz="4" w:space="1" w:color="auto"/>
          <w:left w:val="single" w:sz="4" w:space="1" w:color="auto"/>
          <w:bottom w:val="single" w:sz="4" w:space="1" w:color="auto"/>
          <w:right w:val="single" w:sz="4" w:space="1" w:color="auto"/>
        </w:pBdr>
      </w:pPr>
      <w:r>
        <w:rPr>
          <w:b/>
        </w:rPr>
        <w:t>Department’s response:</w:t>
      </w:r>
      <w:r w:rsidR="00B02575">
        <w:t xml:space="preserve"> </w:t>
      </w:r>
      <w:r w:rsidR="00B02575" w:rsidRPr="00B02575">
        <w:t>Agree in principle. Proposed changes to the Biosecurity Act have been drafted that will provide powers to enable the improved management of a similar event.</w:t>
      </w:r>
    </w:p>
    <w:p w14:paraId="2010E81E" w14:textId="77777777" w:rsidR="00CC703E" w:rsidRPr="00C11C6C" w:rsidRDefault="00E37FDB" w:rsidP="00C11C6C">
      <w:pPr>
        <w:pStyle w:val="Heading3"/>
        <w:rPr>
          <w:rStyle w:val="Heading3Char"/>
          <w:rFonts w:eastAsia="Calibri"/>
          <w:b/>
          <w:bCs/>
        </w:rPr>
      </w:pPr>
      <w:bookmarkStart w:id="295" w:name="_Toc500508437"/>
      <w:r w:rsidRPr="00C11C6C">
        <w:rPr>
          <w:rStyle w:val="Heading3Char"/>
          <w:rFonts w:eastAsia="Calibri"/>
          <w:b/>
          <w:bCs/>
        </w:rPr>
        <w:t>Improve biosecurity risk governance and risk communication</w:t>
      </w:r>
      <w:bookmarkEnd w:id="295"/>
    </w:p>
    <w:p w14:paraId="43A59A38" w14:textId="77777777" w:rsidR="00CC703E" w:rsidRDefault="00E37FDB" w:rsidP="00C11C6C">
      <w:pPr>
        <w:pStyle w:val="Heading4"/>
      </w:pPr>
      <w:r>
        <w:t>Internal risk management and communication</w:t>
      </w:r>
    </w:p>
    <w:p w14:paraId="431A2F95" w14:textId="62D09D52" w:rsidR="00CC703E" w:rsidRDefault="00E37FDB">
      <w:pPr>
        <w:spacing w:after="0"/>
      </w:pPr>
      <w:r>
        <w:t xml:space="preserve">The complexity of the department’s system for managing biosecurity risks associated with a dizzying array and volume of imports disguised the rising risk levels in the prawn trade. Many indicators led the department to launch investigations through operations East Leichhardt (2014) and Cattai (2016). However, the </w:t>
      </w:r>
      <w:r w:rsidR="005B674E">
        <w:t xml:space="preserve">broader </w:t>
      </w:r>
      <w:r>
        <w:t>significance of the heightening risks was overlooked and the situation was not actively managed with the urgency it deserved. This was partly a result of poor internal communication between staff operating in frontline inspection, compliance enforcement, technical standard setting, and policymaking. It was also a con</w:t>
      </w:r>
      <w:r>
        <w:lastRenderedPageBreak/>
        <w:t>sequence of competing priorities and resource constraints. Poor internal communication is likely to have contributed to the breakdown of biosecurity controls designed to prevent WSSV entering Australia.</w:t>
      </w:r>
    </w:p>
    <w:p w14:paraId="5EA04DC7" w14:textId="73D1185E" w:rsidR="00CC703E" w:rsidRDefault="00E37FDB">
      <w:pPr>
        <w:spacing w:after="0"/>
      </w:pPr>
      <w:r>
        <w:t xml:space="preserve">The department responded regularly to potential non-compliance with import requirements that had been identified though inspection, intelligence reports or information provided by third parties. However, it had not formalised an internal communication plan when systemic non-compliance with Australia’s </w:t>
      </w:r>
      <w:r w:rsidR="006E2454">
        <w:t xml:space="preserve">prawn </w:t>
      </w:r>
      <w:r>
        <w:t>biosecurity controls was uncovered during operations East Leichhardt and Cattai.</w:t>
      </w:r>
    </w:p>
    <w:p w14:paraId="347703D9" w14:textId="77E94728" w:rsidR="006E2454" w:rsidRDefault="00E37FDB" w:rsidP="00C11C6C">
      <w:r>
        <w:t>Within the department, the Compliance Division</w:t>
      </w:r>
      <w:r w:rsidR="002C1526">
        <w:t xml:space="preserve"> </w:t>
      </w:r>
      <w:r>
        <w:t xml:space="preserve">would be the first area to investigate such matters. </w:t>
      </w:r>
      <w:r w:rsidR="002C1526">
        <w:t>Compliance</w:t>
      </w:r>
      <w:r>
        <w:t xml:space="preserve"> officials would raise the issue with the relevant policy area (in this instance, </w:t>
      </w:r>
      <w:r w:rsidR="002C1526">
        <w:t xml:space="preserve">in the </w:t>
      </w:r>
      <w:r>
        <w:t>Biosecurity Animal Division</w:t>
      </w:r>
      <w:r w:rsidR="002C1526">
        <w:t xml:space="preserve">) </w:t>
      </w:r>
      <w:r>
        <w:t xml:space="preserve">and brainstorm potential consequences. If a matter was considered sufficiently serious, it would also be brought to the attention of the department’s senior executives. Following this, </w:t>
      </w:r>
      <w:r w:rsidR="006E2454">
        <w:t>an</w:t>
      </w:r>
      <w:r>
        <w:t xml:space="preserve"> action plan would be developed and formalised to target entities engaged in </w:t>
      </w:r>
      <w:r w:rsidR="006E2454">
        <w:t xml:space="preserve">suspected </w:t>
      </w:r>
      <w:r>
        <w:t>non-compliant activities</w:t>
      </w:r>
      <w:r w:rsidR="006E2454">
        <w:t>, and t</w:t>
      </w:r>
      <w:r>
        <w:t xml:space="preserve">he department would direct </w:t>
      </w:r>
      <w:r w:rsidR="006E2454">
        <w:t xml:space="preserve">internal </w:t>
      </w:r>
      <w:r>
        <w:t xml:space="preserve">resources to undertake </w:t>
      </w:r>
      <w:r w:rsidR="006E2454">
        <w:t xml:space="preserve">an </w:t>
      </w:r>
      <w:r>
        <w:t>investigation.</w:t>
      </w:r>
      <w:r w:rsidR="00D81057">
        <w:t xml:space="preserve"> </w:t>
      </w:r>
      <w:r w:rsidR="006E2454">
        <w:t>As explained to the Senate, the department routinely has up to 70 compliance investigations underway at any time</w:t>
      </w:r>
      <w:r w:rsidR="009661D7">
        <w:rPr>
          <w:vertAlign w:val="superscript"/>
        </w:rPr>
        <w:t>1</w:t>
      </w:r>
      <w:r w:rsidR="009A3C9A">
        <w:rPr>
          <w:vertAlign w:val="superscript"/>
        </w:rPr>
        <w:t>60</w:t>
      </w:r>
      <w:r w:rsidR="00175789">
        <w:t xml:space="preserve"> </w:t>
      </w:r>
      <w:r w:rsidR="006E2454">
        <w:t xml:space="preserve">and is reluctant to advertise ongoing investigations that might </w:t>
      </w:r>
      <w:r w:rsidR="00816701">
        <w:t>later compromise a prosecution.</w:t>
      </w:r>
    </w:p>
    <w:p w14:paraId="6BAF62E5" w14:textId="03EADD34" w:rsidR="00CC703E" w:rsidRDefault="00E37FDB">
      <w:pPr>
        <w:spacing w:after="0"/>
      </w:pPr>
      <w:r>
        <w:t xml:space="preserve">Operation Cattai was still in progress when WSD broke out in prawn farms on the Logan River. The department acknowledges that </w:t>
      </w:r>
      <w:r w:rsidR="00D81057">
        <w:t xml:space="preserve">its </w:t>
      </w:r>
      <w:r>
        <w:t>findings were not reported within the department in a manner or time frame commensurate with the increasing proof of non-compliance, the resulting presence of WSSV and consequent risk of WSD. The failure to recognise the significance of the</w:t>
      </w:r>
      <w:r w:rsidR="006E2454">
        <w:t xml:space="preserve"> mounting</w:t>
      </w:r>
      <w:r>
        <w:t xml:space="preserve"> evidence was surprising, because serious non-compliance would be expected to increase biosecurity risks. It was reasonable to assume that extensive non-compliance with uncooked prawn import conditions would result in an increased risk of WSSV or other pathogen importation and therefore a risk of WSD or other diseases entering Australia.</w:t>
      </w:r>
    </w:p>
    <w:p w14:paraId="6BE6DBCD" w14:textId="2F04362A" w:rsidR="00CC703E" w:rsidRDefault="00FA245F">
      <w:pPr>
        <w:spacing w:after="0"/>
      </w:pPr>
      <w:r>
        <w:t>However, t</w:t>
      </w:r>
      <w:r w:rsidR="00E37FDB">
        <w:t xml:space="preserve">he assumptions </w:t>
      </w:r>
      <w:r>
        <w:t xml:space="preserve">detailed in </w:t>
      </w:r>
      <w:r w:rsidR="00E62D26">
        <w:t>s</w:t>
      </w:r>
      <w:r>
        <w:t xml:space="preserve">ection 5.2 and the lack of previous establishment of exotic prawn diseases in Australia </w:t>
      </w:r>
      <w:r w:rsidR="00E37FDB">
        <w:t xml:space="preserve">appear to have resulted in department staff discounting the </w:t>
      </w:r>
      <w:r w:rsidR="006E2454">
        <w:t xml:space="preserve">emerging evidence of </w:t>
      </w:r>
      <w:r w:rsidR="00E37FDB">
        <w:t>potential biosecurity risks. This discounting of risks was only dispelled when WSD broke out i</w:t>
      </w:r>
      <w:r w:rsidR="006E2454">
        <w:t>n Queensland</w:t>
      </w:r>
      <w:r w:rsidR="00E37FDB">
        <w:t xml:space="preserve"> and staff </w:t>
      </w:r>
      <w:r w:rsidR="006E2454">
        <w:t>conducted</w:t>
      </w:r>
      <w:r w:rsidR="00E37FDB">
        <w:t xml:space="preserve"> subsequent investigations.</w:t>
      </w:r>
    </w:p>
    <w:p w14:paraId="128B3732" w14:textId="1CD66A38" w:rsidR="00CC703E" w:rsidRDefault="00E37FDB">
      <w:pPr>
        <w:spacing w:after="0"/>
      </w:pPr>
      <w:r>
        <w:t xml:space="preserve">New processes for enhanced risk identification, communication, management and governance must be developed and regularly reviewed. The department is undertaking a range of actions to address learnings from the outbreak and suspension, such as additional processes for risk identification and resolution, decision-making and information-sharing. These include: </w:t>
      </w:r>
    </w:p>
    <w:p w14:paraId="01D1260D" w14:textId="68B5AA3A" w:rsidR="00CC703E" w:rsidRDefault="00E37FDB" w:rsidP="00E62D26">
      <w:pPr>
        <w:pStyle w:val="ListBullet"/>
        <w:spacing w:after="0"/>
      </w:pPr>
      <w:r>
        <w:t>a senior executive group (comprising First Assistant Secretaries and the Deputy Secretary responsible for biosecurity) for strategic issues management and decision-making</w:t>
      </w:r>
    </w:p>
    <w:p w14:paraId="4FAD6CA1" w14:textId="4B89BBAA" w:rsidR="00CC703E" w:rsidRDefault="00E37FDB" w:rsidP="00E62D26">
      <w:pPr>
        <w:pStyle w:val="ListBullet"/>
        <w:spacing w:after="0"/>
      </w:pPr>
      <w:r>
        <w:lastRenderedPageBreak/>
        <w:t>an Assistant Secretary-level group to monitor performance of the risk management system, track and resolve issues as they arise and support effective consultation on changes that affect the whole department</w:t>
      </w:r>
      <w:r w:rsidR="003D7BBE">
        <w:t>, and</w:t>
      </w:r>
    </w:p>
    <w:p w14:paraId="4B2D4743" w14:textId="0AAFEC34" w:rsidR="00CC703E" w:rsidRDefault="00E37FDB" w:rsidP="00E62D26">
      <w:pPr>
        <w:pStyle w:val="ListBullet"/>
        <w:spacing w:after="0"/>
      </w:pPr>
      <w:r>
        <w:t>specific programs, such as common issue registers and workshops, to enable the department to identify and resolve issues.</w:t>
      </w:r>
    </w:p>
    <w:p w14:paraId="1EB5D6FF" w14:textId="77777777" w:rsidR="00F94281" w:rsidRDefault="00F94281">
      <w:pPr>
        <w:tabs>
          <w:tab w:val="clear" w:pos="567"/>
        </w:tabs>
        <w:spacing w:before="0" w:after="0"/>
        <w:rPr>
          <w:rFonts w:eastAsia="Times New Roman"/>
          <w:b/>
          <w:bCs/>
          <w:color w:val="000000"/>
          <w:sz w:val="32"/>
          <w:szCs w:val="28"/>
          <w:lang w:eastAsia="en-AU"/>
        </w:rPr>
      </w:pPr>
      <w:bookmarkStart w:id="296" w:name="_Toc499132671"/>
      <w:bookmarkStart w:id="297" w:name="_Toc499963190"/>
      <w:bookmarkStart w:id="298" w:name="_Toc500162496"/>
      <w:bookmarkStart w:id="299" w:name="_Toc500238753"/>
      <w:bookmarkStart w:id="300" w:name="_Toc500508438"/>
      <w:r>
        <w:br w:type="page"/>
      </w:r>
    </w:p>
    <w:p w14:paraId="2313BFF7" w14:textId="0038D0FB" w:rsidR="00CC703E" w:rsidRDefault="00E37FDB" w:rsidP="00C11C6C">
      <w:pPr>
        <w:pStyle w:val="Heading3"/>
        <w:numPr>
          <w:ilvl w:val="0"/>
          <w:numId w:val="0"/>
        </w:numPr>
        <w:pBdr>
          <w:top w:val="single" w:sz="4" w:space="1" w:color="auto"/>
          <w:left w:val="single" w:sz="4" w:space="1" w:color="auto"/>
          <w:bottom w:val="single" w:sz="4" w:space="1" w:color="auto"/>
          <w:right w:val="single" w:sz="4" w:space="1" w:color="auto"/>
        </w:pBdr>
        <w:ind w:left="794" w:hanging="794"/>
      </w:pPr>
      <w:r>
        <w:lastRenderedPageBreak/>
        <w:t xml:space="preserve">Recommendation </w:t>
      </w:r>
      <w:r w:rsidRPr="00E37FDB">
        <w:fldChar w:fldCharType="begin"/>
      </w:r>
      <w:r>
        <w:instrText xml:space="preserve"> SEQ Recommendation \* ARABIC </w:instrText>
      </w:r>
      <w:r w:rsidRPr="00E37FDB">
        <w:fldChar w:fldCharType="separate"/>
      </w:r>
      <w:r w:rsidR="00121BC1">
        <w:rPr>
          <w:noProof/>
        </w:rPr>
        <w:t>14</w:t>
      </w:r>
      <w:bookmarkEnd w:id="296"/>
      <w:bookmarkEnd w:id="297"/>
      <w:bookmarkEnd w:id="298"/>
      <w:bookmarkEnd w:id="299"/>
      <w:bookmarkEnd w:id="300"/>
      <w:r w:rsidRPr="00E37FDB">
        <w:rPr>
          <w:noProof/>
        </w:rPr>
        <w:fldChar w:fldCharType="end"/>
      </w:r>
    </w:p>
    <w:p w14:paraId="47B82C6A" w14:textId="6375A648" w:rsidR="00CC703E" w:rsidRDefault="009F5732" w:rsidP="00C11C6C">
      <w:pPr>
        <w:pBdr>
          <w:top w:val="single" w:sz="4" w:space="1" w:color="auto"/>
          <w:left w:val="single" w:sz="4" w:space="1" w:color="auto"/>
          <w:bottom w:val="single" w:sz="4" w:space="1" w:color="auto"/>
          <w:right w:val="single" w:sz="4" w:space="1" w:color="auto"/>
        </w:pBdr>
        <w:tabs>
          <w:tab w:val="clear" w:pos="567"/>
        </w:tabs>
        <w:spacing w:before="0" w:after="0"/>
        <w:rPr>
          <w:szCs w:val="24"/>
        </w:rPr>
      </w:pPr>
      <w:r w:rsidRPr="009F5732">
        <w:rPr>
          <w:szCs w:val="24"/>
        </w:rPr>
        <w:t>The department should continue to improve internal biosecurity risk governance and communication to rapidly identify emerging biosecurity risks. Risks should be communicated to governments, the wider community and industry through a defined and documented triaging and escalation procedure.</w:t>
      </w:r>
    </w:p>
    <w:p w14:paraId="7F8CB57F" w14:textId="6DB8379C" w:rsidR="00CC703E" w:rsidRPr="00B02575" w:rsidRDefault="00E37FDB" w:rsidP="00C11C6C">
      <w:pPr>
        <w:pBdr>
          <w:top w:val="single" w:sz="4" w:space="1" w:color="auto"/>
          <w:left w:val="single" w:sz="4" w:space="1" w:color="auto"/>
          <w:bottom w:val="single" w:sz="4" w:space="1" w:color="auto"/>
          <w:right w:val="single" w:sz="4" w:space="1" w:color="auto"/>
        </w:pBdr>
      </w:pPr>
      <w:r>
        <w:rPr>
          <w:b/>
        </w:rPr>
        <w:t>Department’s response:</w:t>
      </w:r>
      <w:r w:rsidR="00B02575">
        <w:t xml:space="preserve"> </w:t>
      </w:r>
      <w:r w:rsidR="00B02575" w:rsidRPr="00B02575">
        <w:t>Agree in principle. The department’s Active Risk Management program is helping to improve internal biosecurity risk governance and communication to rapidly identify emerging biosecurity risks. Risks will be communicated to other governments, the wider community and industry as appropriate to the specific circumstances.</w:t>
      </w:r>
    </w:p>
    <w:p w14:paraId="541BC4EB" w14:textId="77777777" w:rsidR="00CC703E" w:rsidRDefault="00E37FDB" w:rsidP="003D7BBE">
      <w:pPr>
        <w:pStyle w:val="Heading4"/>
      </w:pPr>
      <w:r>
        <w:t>Improving external risk communication</w:t>
      </w:r>
    </w:p>
    <w:p w14:paraId="485E47E8" w14:textId="4F9EAAAB" w:rsidR="00CC703E" w:rsidRDefault="00E37FDB">
      <w:pPr>
        <w:spacing w:after="0"/>
      </w:pPr>
      <w:r>
        <w:t xml:space="preserve">In 2016, </w:t>
      </w:r>
      <w:r w:rsidR="00D21C4E">
        <w:t>without</w:t>
      </w:r>
      <w:r>
        <w:t xml:space="preserve"> a disease outbreak or </w:t>
      </w:r>
      <w:r w:rsidR="006E2454">
        <w:t xml:space="preserve">a </w:t>
      </w:r>
      <w:r>
        <w:t>cost-sharing agreement defining mutual obligations of all parties for risk mitigation, communication about the compliance failures</w:t>
      </w:r>
      <w:r w:rsidR="006E2454">
        <w:t xml:space="preserve"> in the prawn import trade</w:t>
      </w:r>
      <w:r>
        <w:t xml:space="preserve"> to either states/territories or industry may not have led to changed behaviours or better management of potential biosecurity risks. Public disclosure of the evidence may well have increased risk and made non-compliance harder to find in the short term.</w:t>
      </w:r>
    </w:p>
    <w:p w14:paraId="63F975A2" w14:textId="2E815826" w:rsidR="00CC703E" w:rsidRDefault="00E37FDB">
      <w:pPr>
        <w:spacing w:after="0"/>
      </w:pPr>
      <w:r>
        <w:t xml:space="preserve">Nevertheless, the lack of external risk communication meant that the Australian Government was shouldering a greater risk burden because the other parties </w:t>
      </w:r>
      <w:r w:rsidR="004F28AA">
        <w:t xml:space="preserve">could </w:t>
      </w:r>
      <w:r>
        <w:t xml:space="preserve">assume that the border risk management and the </w:t>
      </w:r>
      <w:r w:rsidR="00D21C4E">
        <w:t xml:space="preserve">2009 </w:t>
      </w:r>
      <w:r>
        <w:t>IRA were being effectively implemented. Under the circumstances, these parties could argue that they were lulled into a false state of security.</w:t>
      </w:r>
    </w:p>
    <w:p w14:paraId="7422A655" w14:textId="5D595D7E" w:rsidR="00CC703E" w:rsidRDefault="00E37FDB">
      <w:pPr>
        <w:spacing w:after="0"/>
      </w:pPr>
      <w:r>
        <w:t>Mechanisms for joint biosecurity risk assessment and communication between the department, states/territories and industries need to be reviewed and strengthened. Raising public awareness of issues in a way that will promote behaviours that reduce biosecurity risks is a complex task. Nevertheless, it requires sustained joint action.</w:t>
      </w:r>
    </w:p>
    <w:p w14:paraId="70540CF4" w14:textId="1445361A" w:rsidR="00CC703E" w:rsidRDefault="00DE427C" w:rsidP="00C11C6C">
      <w:r>
        <w:t>C</w:t>
      </w:r>
      <w:r w:rsidR="00E37FDB">
        <w:t xml:space="preserve">ommunication </w:t>
      </w:r>
      <w:r>
        <w:t xml:space="preserve">by the department </w:t>
      </w:r>
      <w:r w:rsidR="00E37FDB">
        <w:t>with post-border stakeholders</w:t>
      </w:r>
      <w:r w:rsidR="00FB0F9F">
        <w:t>—</w:t>
      </w:r>
      <w:r w:rsidR="00D21C4E">
        <w:t>state/territory government agencies and Australian agricultural and aquaculture industries</w:t>
      </w:r>
      <w:r w:rsidR="00FB0F9F" w:rsidRPr="00FB0F9F">
        <w:t>—</w:t>
      </w:r>
      <w:r w:rsidR="00E37FDB">
        <w:t>about potential or emerging risks normally relates to serious pest a</w:t>
      </w:r>
      <w:r w:rsidR="00FB0F9F">
        <w:t>nd disease risks or incursions.</w:t>
      </w:r>
    </w:p>
    <w:p w14:paraId="213F8FF4" w14:textId="6B953AA8" w:rsidR="00CC703E" w:rsidRDefault="004F28AA" w:rsidP="00C11C6C">
      <w:pPr>
        <w:rPr>
          <w:lang w:val="en"/>
        </w:rPr>
      </w:pPr>
      <w:r>
        <w:rPr>
          <w:lang w:val="en"/>
        </w:rPr>
        <w:t xml:space="preserve">When any </w:t>
      </w:r>
      <w:r w:rsidR="00E37FDB">
        <w:rPr>
          <w:lang w:val="en"/>
        </w:rPr>
        <w:t xml:space="preserve">suspect exotic </w:t>
      </w:r>
      <w:r>
        <w:rPr>
          <w:lang w:val="en"/>
        </w:rPr>
        <w:t xml:space="preserve">animal </w:t>
      </w:r>
      <w:r w:rsidR="00E37FDB">
        <w:rPr>
          <w:lang w:val="en"/>
        </w:rPr>
        <w:t>disease</w:t>
      </w:r>
      <w:r>
        <w:rPr>
          <w:lang w:val="en"/>
        </w:rPr>
        <w:t xml:space="preserve"> is detected post-border by a state or territory government agency</w:t>
      </w:r>
      <w:r w:rsidR="00E37FDB">
        <w:rPr>
          <w:lang w:val="en"/>
        </w:rPr>
        <w:t xml:space="preserve"> </w:t>
      </w:r>
      <w:r>
        <w:rPr>
          <w:lang w:val="en"/>
        </w:rPr>
        <w:t xml:space="preserve">that agency must inform </w:t>
      </w:r>
      <w:r w:rsidR="00E37FDB">
        <w:rPr>
          <w:lang w:val="en"/>
        </w:rPr>
        <w:t>the Australian Government</w:t>
      </w:r>
      <w:r>
        <w:rPr>
          <w:lang w:val="en"/>
        </w:rPr>
        <w:t>,</w:t>
      </w:r>
      <w:r w:rsidR="00E37FDB">
        <w:rPr>
          <w:lang w:val="en"/>
        </w:rPr>
        <w:t xml:space="preserve"> and the </w:t>
      </w:r>
      <w:r w:rsidR="00E37FDB">
        <w:t>diagnosis</w:t>
      </w:r>
      <w:r w:rsidR="00E37FDB">
        <w:rPr>
          <w:lang w:val="en"/>
        </w:rPr>
        <w:t xml:space="preserve"> </w:t>
      </w:r>
      <w:r>
        <w:rPr>
          <w:lang w:val="en"/>
        </w:rPr>
        <w:t xml:space="preserve">must be </w:t>
      </w:r>
      <w:r w:rsidR="00E37FDB">
        <w:rPr>
          <w:lang w:val="en"/>
        </w:rPr>
        <w:t xml:space="preserve">confirmed by AAHL so that true detections can be reported internationally. However, </w:t>
      </w:r>
      <w:r>
        <w:rPr>
          <w:lang w:val="en"/>
        </w:rPr>
        <w:t>there is not always an obligation for an Australian government agency to report a post-border detection of an exotic agent to the relevant state or territory government</w:t>
      </w:r>
      <w:r w:rsidR="00E37FDB">
        <w:rPr>
          <w:lang w:val="en"/>
        </w:rPr>
        <w:t xml:space="preserve">. For example, the Darwin </w:t>
      </w:r>
      <w:r>
        <w:rPr>
          <w:lang w:val="en"/>
        </w:rPr>
        <w:t>WSSV incident</w:t>
      </w:r>
      <w:r w:rsidR="00E37FDB">
        <w:rPr>
          <w:lang w:val="en"/>
        </w:rPr>
        <w:t xml:space="preserve"> of 2000 was reported by the relevant NT agency to the Australian Chief Veterinary Officer, who convened a</w:t>
      </w:r>
      <w:r w:rsidR="00D21C4E">
        <w:rPr>
          <w:lang w:val="en"/>
        </w:rPr>
        <w:t>n</w:t>
      </w:r>
      <w:r w:rsidR="00E37FDB">
        <w:rPr>
          <w:lang w:val="en"/>
        </w:rPr>
        <w:t xml:space="preserve"> </w:t>
      </w:r>
      <w:r w:rsidR="00D21C4E">
        <w:rPr>
          <w:lang w:val="en"/>
        </w:rPr>
        <w:t>Aq</w:t>
      </w:r>
      <w:r w:rsidR="00E37FDB">
        <w:rPr>
          <w:lang w:val="en"/>
        </w:rPr>
        <w:t>CCEAD meeting for national consideration of its significance and oversight of a response. However, the 2013 detection of WSSV in retail prawns by AAHL did not trigger a</w:t>
      </w:r>
      <w:r w:rsidR="00D21C4E">
        <w:rPr>
          <w:lang w:val="en"/>
        </w:rPr>
        <w:t>n Aq</w:t>
      </w:r>
      <w:r w:rsidR="00E37FDB">
        <w:rPr>
          <w:lang w:val="en"/>
        </w:rPr>
        <w:t xml:space="preserve">CCEAD meeting because it was made by </w:t>
      </w:r>
      <w:r w:rsidR="00E37FDB">
        <w:rPr>
          <w:lang w:val="en"/>
        </w:rPr>
        <w:lastRenderedPageBreak/>
        <w:t>an Australian Government agency and reported to the department, wh</w:t>
      </w:r>
      <w:r w:rsidR="00E37FDB" w:rsidRPr="00E62D26">
        <w:rPr>
          <w:lang w:val="en"/>
        </w:rPr>
        <w:t>ich then</w:t>
      </w:r>
      <w:r w:rsidR="00E37FDB">
        <w:rPr>
          <w:lang w:val="en"/>
        </w:rPr>
        <w:t xml:space="preserve"> determined that the risks were not significant enough to warrant a national discussion.</w:t>
      </w:r>
    </w:p>
    <w:p w14:paraId="35816C01" w14:textId="2DC61656" w:rsidR="00DE427C" w:rsidRDefault="00DE427C" w:rsidP="00DE427C">
      <w:pPr>
        <w:spacing w:after="0"/>
      </w:pPr>
      <w:r>
        <w:t>From at least August 2016, the department (through Operation Cattai) was aware that large numbers of consignments of imported raw prawns and prawn products were infected with WSSV and that these products posed a significant ongoing risk. However, the department did not share this information with state agencies</w:t>
      </w:r>
      <w:r>
        <w:rPr>
          <w:vertAlign w:val="superscript"/>
        </w:rPr>
        <w:t xml:space="preserve">161, </w:t>
      </w:r>
      <w:r w:rsidR="00DB4874">
        <w:rPr>
          <w:vertAlign w:val="superscript"/>
        </w:rPr>
        <w:t>162</w:t>
      </w:r>
      <w:r>
        <w:t>, and only briefed the Minister and the Assistant Minister on 5 January 2017</w:t>
      </w:r>
      <w:r w:rsidR="00DB4874">
        <w:rPr>
          <w:vertAlign w:val="superscript"/>
        </w:rPr>
        <w:t>163</w:t>
      </w:r>
      <w:r>
        <w:t>, one day before the prawn import suspension.</w:t>
      </w:r>
    </w:p>
    <w:p w14:paraId="1E823FF6" w14:textId="2DE6B258" w:rsidR="00CC703E" w:rsidRDefault="00E37FDB" w:rsidP="00C11C6C">
      <w:pPr>
        <w:rPr>
          <w:lang w:val="en"/>
        </w:rPr>
      </w:pPr>
      <w:r>
        <w:t>The department needs to consider a</w:t>
      </w:r>
      <w:r>
        <w:rPr>
          <w:lang w:val="en"/>
        </w:rPr>
        <w:t xml:space="preserve"> complementary requirement for any post-border detection of an exotic agent (for example, WSSV in retail prawns) to be reported to the relevant state/territory authority. </w:t>
      </w:r>
      <w:r w:rsidR="00B3574A">
        <w:rPr>
          <w:lang w:val="en"/>
        </w:rPr>
        <w:t>States and territories</w:t>
      </w:r>
      <w:r>
        <w:rPr>
          <w:lang w:val="en"/>
        </w:rPr>
        <w:t>, not the Australian Government, have powers to carry out disease control within their borders.</w:t>
      </w:r>
    </w:p>
    <w:p w14:paraId="05DC7C50" w14:textId="77777777" w:rsidR="00CC703E" w:rsidRDefault="00E37FDB" w:rsidP="00A15982">
      <w:pPr>
        <w:pStyle w:val="Heading3"/>
        <w:numPr>
          <w:ilvl w:val="0"/>
          <w:numId w:val="0"/>
        </w:numPr>
        <w:pBdr>
          <w:top w:val="single" w:sz="4" w:space="1" w:color="auto"/>
          <w:left w:val="single" w:sz="4" w:space="1" w:color="auto"/>
          <w:bottom w:val="single" w:sz="4" w:space="1" w:color="auto"/>
          <w:right w:val="single" w:sz="4" w:space="1" w:color="auto"/>
        </w:pBdr>
        <w:ind w:left="794" w:hanging="794"/>
      </w:pPr>
      <w:bookmarkStart w:id="301" w:name="_Toc499963191"/>
      <w:bookmarkStart w:id="302" w:name="_Toc500162497"/>
      <w:bookmarkStart w:id="303" w:name="_Toc500238754"/>
      <w:bookmarkStart w:id="304" w:name="_Toc500508439"/>
      <w:r>
        <w:t xml:space="preserve">Recommendation </w:t>
      </w:r>
      <w:r w:rsidR="00F329C0">
        <w:fldChar w:fldCharType="begin"/>
      </w:r>
      <w:r w:rsidR="00F329C0">
        <w:instrText xml:space="preserve"> SEQ Recommendation \* ARABIC </w:instrText>
      </w:r>
      <w:r w:rsidR="00F329C0">
        <w:fldChar w:fldCharType="separate"/>
      </w:r>
      <w:r w:rsidR="00121BC1">
        <w:rPr>
          <w:noProof/>
        </w:rPr>
        <w:t>15</w:t>
      </w:r>
      <w:bookmarkEnd w:id="301"/>
      <w:bookmarkEnd w:id="302"/>
      <w:bookmarkEnd w:id="303"/>
      <w:bookmarkEnd w:id="304"/>
      <w:r w:rsidR="00F329C0">
        <w:rPr>
          <w:noProof/>
        </w:rPr>
        <w:fldChar w:fldCharType="end"/>
      </w:r>
    </w:p>
    <w:p w14:paraId="7699C886" w14:textId="33EB2532" w:rsidR="00CC703E" w:rsidRDefault="009F5732">
      <w:pPr>
        <w:pBdr>
          <w:top w:val="single" w:sz="4" w:space="1" w:color="auto"/>
          <w:left w:val="single" w:sz="4" w:space="1" w:color="auto"/>
          <w:bottom w:val="single" w:sz="4" w:space="1" w:color="auto"/>
          <w:right w:val="single" w:sz="4" w:space="1" w:color="auto"/>
        </w:pBdr>
        <w:tabs>
          <w:tab w:val="clear" w:pos="567"/>
        </w:tabs>
        <w:spacing w:before="0" w:after="0"/>
        <w:rPr>
          <w:b/>
          <w:szCs w:val="24"/>
        </w:rPr>
      </w:pPr>
      <w:r w:rsidRPr="009F5732">
        <w:rPr>
          <w:szCs w:val="24"/>
          <w:lang w:val="en"/>
        </w:rPr>
        <w:t xml:space="preserve">The department should discuss with the National Biosecurity Committee mandatory reporting of all post-border detections of </w:t>
      </w:r>
      <w:r w:rsidR="00B3574A">
        <w:rPr>
          <w:szCs w:val="24"/>
          <w:lang w:val="en"/>
        </w:rPr>
        <w:t xml:space="preserve">prescribed </w:t>
      </w:r>
      <w:r w:rsidRPr="009F5732">
        <w:rPr>
          <w:szCs w:val="24"/>
          <w:lang w:val="en"/>
        </w:rPr>
        <w:t>exotic disease agents or pests to Australian and state/territory government departments.</w:t>
      </w:r>
    </w:p>
    <w:p w14:paraId="04AEB71E" w14:textId="0A196DA3" w:rsidR="00CC703E" w:rsidRPr="005A1031" w:rsidRDefault="00E37FDB">
      <w:pPr>
        <w:pBdr>
          <w:top w:val="single" w:sz="4" w:space="1" w:color="auto"/>
          <w:left w:val="single" w:sz="4" w:space="1" w:color="auto"/>
          <w:bottom w:val="single" w:sz="4" w:space="1" w:color="auto"/>
          <w:right w:val="single" w:sz="4" w:space="1" w:color="auto"/>
        </w:pBdr>
      </w:pPr>
      <w:r>
        <w:rPr>
          <w:b/>
        </w:rPr>
        <w:t>Department’s response:</w:t>
      </w:r>
      <w:r w:rsidR="005A1031">
        <w:t xml:space="preserve"> </w:t>
      </w:r>
      <w:r w:rsidR="005A1031" w:rsidRPr="005A1031">
        <w:t>Agree. The Australian government reports post quarantine detections to state and territory governments and will seek the National Biosecurity Committee’s agreement that states and territories share similar information with the Australian government and with each other.</w:t>
      </w:r>
    </w:p>
    <w:p w14:paraId="3DB3A5E2" w14:textId="77777777" w:rsidR="00CC703E" w:rsidRDefault="00E37FDB" w:rsidP="009F5732">
      <w:pPr>
        <w:pStyle w:val="Heading4"/>
      </w:pPr>
      <w:r>
        <w:t>National engagement and communication framework</w:t>
      </w:r>
    </w:p>
    <w:p w14:paraId="2FEF9A7B" w14:textId="5FA1EA6A" w:rsidR="00CC703E" w:rsidRDefault="00E37FDB" w:rsidP="00C11C6C">
      <w:r>
        <w:t>Effective communication is critical to biosecurity risk management and should focus on developing a shared view of controls (import requirements) and an understanding of the needs and capabilities of all stakeholders. Most industry participants are likely recognise the greater long-term benefits of a transparent and cooperative approach.</w:t>
      </w:r>
    </w:p>
    <w:p w14:paraId="1606302F" w14:textId="5D039465" w:rsidR="00CC703E" w:rsidRDefault="00E37FDB" w:rsidP="00C11C6C">
      <w:r>
        <w:t>Under the IGAB, a National Biosecurity Engagement and Communication Framework</w:t>
      </w:r>
      <w:r w:rsidR="009D26E9">
        <w:rPr>
          <w:vertAlign w:val="superscript"/>
        </w:rPr>
        <w:t>16</w:t>
      </w:r>
      <w:r w:rsidR="00DB4874">
        <w:rPr>
          <w:vertAlign w:val="superscript"/>
        </w:rPr>
        <w:t>4</w:t>
      </w:r>
      <w:r w:rsidR="00D269F4">
        <w:t xml:space="preserve"> </w:t>
      </w:r>
      <w:r>
        <w:t>was developed and endorsed by the National Biosecurity Committee in February 2013 to:</w:t>
      </w:r>
    </w:p>
    <w:p w14:paraId="06734A34" w14:textId="41131E79" w:rsidR="00CC703E" w:rsidRDefault="00E37FDB" w:rsidP="00C11C6C">
      <w:pPr>
        <w:pStyle w:val="ListBullet"/>
      </w:pPr>
      <w:r>
        <w:t>implement nationally consistent biosecurity communication strategies to achieve national goals and objectives</w:t>
      </w:r>
    </w:p>
    <w:p w14:paraId="0FF2592D" w14:textId="25CBA14D" w:rsidR="00CC703E" w:rsidRDefault="00E37FDB" w:rsidP="00C11C6C">
      <w:pPr>
        <w:pStyle w:val="ListBullet"/>
      </w:pPr>
      <w:r>
        <w:t>develop national tools and products to improve accessibility to biosecurity information</w:t>
      </w:r>
    </w:p>
    <w:p w14:paraId="5F53D43C" w14:textId="301FC3C6" w:rsidR="00CC703E" w:rsidRDefault="00E37FDB" w:rsidP="00C11C6C">
      <w:pPr>
        <w:pStyle w:val="ListBullet"/>
      </w:pPr>
      <w:r>
        <w:t>share effective and relevant communication tools and products for use among jurisdictions</w:t>
      </w:r>
    </w:p>
    <w:p w14:paraId="2E01E72D" w14:textId="0241C33E" w:rsidR="00CC703E" w:rsidRDefault="00E37FDB" w:rsidP="00C11C6C">
      <w:pPr>
        <w:pStyle w:val="ListBullet"/>
      </w:pPr>
      <w:r>
        <w:t>establish, review and revise governance of engagement and communication activities</w:t>
      </w:r>
    </w:p>
    <w:p w14:paraId="1A0E79F9" w14:textId="2FEBD48D" w:rsidR="00CC703E" w:rsidRDefault="00E37FDB" w:rsidP="00C11C6C">
      <w:pPr>
        <w:pStyle w:val="ListBullet"/>
      </w:pPr>
      <w:r>
        <w:lastRenderedPageBreak/>
        <w:t>establish education, communication and engagement methods and arrangements to facilitate non-government stakeholder participation in biosecurity activities (such as passive surveillance and compliance).</w:t>
      </w:r>
    </w:p>
    <w:p w14:paraId="386A0A04" w14:textId="5BCB5F9B" w:rsidR="00CC703E" w:rsidRDefault="00E37FDB" w:rsidP="00C11C6C">
      <w:r>
        <w:t>The department is implementing</w:t>
      </w:r>
      <w:r w:rsidR="009D26E9">
        <w:rPr>
          <w:vertAlign w:val="superscript"/>
        </w:rPr>
        <w:t>13</w:t>
      </w:r>
      <w:r w:rsidR="00DB4874">
        <w:rPr>
          <w:vertAlign w:val="superscript"/>
        </w:rPr>
        <w:t>8</w:t>
      </w:r>
      <w:r w:rsidR="007773CD">
        <w:rPr>
          <w:vertAlign w:val="superscript"/>
        </w:rPr>
        <w:t>,</w:t>
      </w:r>
      <w:r w:rsidR="002B16DB">
        <w:rPr>
          <w:vertAlign w:val="superscript"/>
        </w:rPr>
        <w:t xml:space="preserve"> </w:t>
      </w:r>
      <w:r w:rsidR="009D26E9">
        <w:rPr>
          <w:vertAlign w:val="superscript"/>
        </w:rPr>
        <w:t>1</w:t>
      </w:r>
      <w:r w:rsidR="00DB4874">
        <w:rPr>
          <w:vertAlign w:val="superscript"/>
        </w:rPr>
        <w:t>65</w:t>
      </w:r>
      <w:r w:rsidR="000D11A9">
        <w:t xml:space="preserve"> </w:t>
      </w:r>
      <w:r>
        <w:t xml:space="preserve">some of these measures with funding from the Australian Government’s </w:t>
      </w:r>
      <w:r w:rsidRPr="003D7BBE">
        <w:rPr>
          <w:rStyle w:val="Emphasis"/>
        </w:rPr>
        <w:t>Agricultural Competitiveness White Paper</w:t>
      </w:r>
      <w:r w:rsidR="004C638D">
        <w:rPr>
          <w:iCs/>
          <w:vertAlign w:val="superscript"/>
        </w:rPr>
        <w:t>16</w:t>
      </w:r>
      <w:r w:rsidR="00650D86">
        <w:rPr>
          <w:iCs/>
          <w:vertAlign w:val="superscript"/>
        </w:rPr>
        <w:t>6</w:t>
      </w:r>
      <w:r w:rsidR="008C436A">
        <w:rPr>
          <w:rStyle w:val="Emphasis"/>
          <w:i w:val="0"/>
        </w:rPr>
        <w:t xml:space="preserve"> </w:t>
      </w:r>
      <w:r>
        <w:t>initiative. The funding aims to improve active management of biosecurity risks. This will include the development of an integrated information system coupled with a biosecurity analytics capability</w:t>
      </w:r>
      <w:r w:rsidR="004C638D">
        <w:rPr>
          <w:vertAlign w:val="superscript"/>
        </w:rPr>
        <w:t>16</w:t>
      </w:r>
      <w:r w:rsidR="00650D86">
        <w:rPr>
          <w:vertAlign w:val="superscript"/>
        </w:rPr>
        <w:t>7</w:t>
      </w:r>
      <w:r>
        <w:t>.</w:t>
      </w:r>
    </w:p>
    <w:p w14:paraId="570F1D02" w14:textId="4876BC7D" w:rsidR="00CC703E" w:rsidRDefault="00E37FDB" w:rsidP="00C11C6C">
      <w:r>
        <w:t>Biosecurity sectoral committees are developing supporting strategies and plans for engaging and communicating with stakeholders on relevant issues.</w:t>
      </w:r>
    </w:p>
    <w:p w14:paraId="79D8C298" w14:textId="5CE13F87" w:rsidR="00CC703E" w:rsidRDefault="00E37FDB" w:rsidP="00C11C6C">
      <w:r>
        <w:t xml:space="preserve">During fieldwork, the IGB met several industry stakeholders (including industry representatives, individual importers and laboratory staff undertaking WSSV and YHV testing) </w:t>
      </w:r>
      <w:r w:rsidR="00A4077C">
        <w:t>who raised</w:t>
      </w:r>
      <w:r>
        <w:t xml:space="preserve"> concerns about the department’s lack of transparency in sharing information.</w:t>
      </w:r>
    </w:p>
    <w:p w14:paraId="0BAE3E81" w14:textId="484EF3B0" w:rsidR="00CC703E" w:rsidRDefault="00E37FDB" w:rsidP="00C11C6C">
      <w:r>
        <w:t>It is in the interests of both industry and the department to work together and resolve any issues through regular communication. It is commendable that the</w:t>
      </w:r>
      <w:r w:rsidR="00A4077C">
        <w:t xml:space="preserve"> prawn </w:t>
      </w:r>
      <w:r>
        <w:t>industry and community are cooperating with the department through Biosecurity Queensland in its attempt to contain and eradicate WSD from Australia.</w:t>
      </w:r>
    </w:p>
    <w:p w14:paraId="36A082F3" w14:textId="77777777" w:rsidR="00CC703E" w:rsidRDefault="00E37FDB" w:rsidP="005C231A">
      <w:pPr>
        <w:pStyle w:val="Heading3"/>
        <w:numPr>
          <w:ilvl w:val="0"/>
          <w:numId w:val="0"/>
        </w:numPr>
        <w:pBdr>
          <w:top w:val="single" w:sz="4" w:space="1" w:color="auto"/>
          <w:left w:val="single" w:sz="4" w:space="1" w:color="auto"/>
          <w:bottom w:val="single" w:sz="4" w:space="1" w:color="auto"/>
          <w:right w:val="single" w:sz="4" w:space="1" w:color="auto"/>
        </w:pBdr>
        <w:ind w:left="794" w:hanging="794"/>
      </w:pPr>
      <w:bookmarkStart w:id="305" w:name="_Toc499132672"/>
      <w:bookmarkStart w:id="306" w:name="_Toc499963192"/>
      <w:bookmarkStart w:id="307" w:name="_Toc500162498"/>
      <w:bookmarkStart w:id="308" w:name="_Toc500238755"/>
      <w:bookmarkStart w:id="309" w:name="_Toc500508440"/>
      <w:r>
        <w:t xml:space="preserve">Recommendation </w:t>
      </w:r>
      <w:r w:rsidR="00F329C0">
        <w:fldChar w:fldCharType="begin"/>
      </w:r>
      <w:r w:rsidR="00F329C0">
        <w:instrText xml:space="preserve"> SEQ Recommendation \* ARABIC </w:instrText>
      </w:r>
      <w:r w:rsidR="00F329C0">
        <w:fldChar w:fldCharType="separate"/>
      </w:r>
      <w:r w:rsidR="00121BC1">
        <w:rPr>
          <w:noProof/>
        </w:rPr>
        <w:t>16</w:t>
      </w:r>
      <w:bookmarkEnd w:id="305"/>
      <w:bookmarkEnd w:id="306"/>
      <w:bookmarkEnd w:id="307"/>
      <w:bookmarkEnd w:id="308"/>
      <w:bookmarkEnd w:id="309"/>
      <w:r w:rsidR="00F329C0">
        <w:rPr>
          <w:noProof/>
        </w:rPr>
        <w:fldChar w:fldCharType="end"/>
      </w:r>
    </w:p>
    <w:p w14:paraId="46CC84EF" w14:textId="278AC236" w:rsidR="00CC703E" w:rsidRDefault="009F5732" w:rsidP="005C231A">
      <w:pPr>
        <w:pBdr>
          <w:top w:val="single" w:sz="4" w:space="1" w:color="auto"/>
          <w:left w:val="single" w:sz="4" w:space="1" w:color="auto"/>
          <w:bottom w:val="single" w:sz="4" w:space="1" w:color="auto"/>
          <w:right w:val="single" w:sz="4" w:space="1" w:color="auto"/>
        </w:pBdr>
        <w:tabs>
          <w:tab w:val="clear" w:pos="567"/>
        </w:tabs>
        <w:spacing w:before="0" w:after="0"/>
        <w:rPr>
          <w:szCs w:val="24"/>
        </w:rPr>
      </w:pPr>
      <w:r w:rsidRPr="009F5732">
        <w:rPr>
          <w:szCs w:val="24"/>
        </w:rPr>
        <w:t xml:space="preserve">The department should collaborate with state/territory agencies, Animal Health Australia and relevant industry bodies to </w:t>
      </w:r>
      <w:r w:rsidR="00EF119D">
        <w:rPr>
          <w:szCs w:val="24"/>
        </w:rPr>
        <w:t>review and implement more effective</w:t>
      </w:r>
      <w:r w:rsidRPr="009F5732">
        <w:rPr>
          <w:szCs w:val="24"/>
        </w:rPr>
        <w:t xml:space="preserve"> communication polic</w:t>
      </w:r>
      <w:r w:rsidR="00EF119D">
        <w:rPr>
          <w:szCs w:val="24"/>
        </w:rPr>
        <w:t>ies</w:t>
      </w:r>
      <w:r w:rsidRPr="009F5732">
        <w:rPr>
          <w:szCs w:val="24"/>
        </w:rPr>
        <w:t xml:space="preserve"> to aid the early dissemination of information about exotic aquatic diseases and pests and their management to stakeholders.</w:t>
      </w:r>
    </w:p>
    <w:p w14:paraId="2F14AACE" w14:textId="5F2341EC" w:rsidR="00CC703E" w:rsidRPr="005A1031" w:rsidRDefault="00E37FDB" w:rsidP="005C231A">
      <w:pPr>
        <w:pBdr>
          <w:top w:val="single" w:sz="4" w:space="1" w:color="auto"/>
          <w:left w:val="single" w:sz="4" w:space="1" w:color="auto"/>
          <w:bottom w:val="single" w:sz="4" w:space="1" w:color="auto"/>
          <w:right w:val="single" w:sz="4" w:space="1" w:color="auto"/>
        </w:pBdr>
      </w:pPr>
      <w:r>
        <w:rPr>
          <w:b/>
        </w:rPr>
        <w:t>Department’s response:</w:t>
      </w:r>
      <w:r w:rsidR="005A1031">
        <w:t xml:space="preserve"> </w:t>
      </w:r>
      <w:r w:rsidR="005A1031" w:rsidRPr="005A1031">
        <w:t>Agree. Implementation is progressing.</w:t>
      </w:r>
    </w:p>
    <w:p w14:paraId="46E95C7B" w14:textId="75689B5A" w:rsidR="00CC703E" w:rsidRPr="005C231A" w:rsidRDefault="00E37FDB" w:rsidP="005C231A">
      <w:pPr>
        <w:pStyle w:val="Heading3"/>
        <w:rPr>
          <w:rStyle w:val="Heading3Char"/>
          <w:rFonts w:eastAsia="Calibri"/>
          <w:b/>
          <w:bCs/>
        </w:rPr>
      </w:pPr>
      <w:bookmarkStart w:id="310" w:name="_Toc491784138"/>
      <w:bookmarkStart w:id="311" w:name="_Toc500508441"/>
      <w:bookmarkEnd w:id="276"/>
      <w:r w:rsidRPr="005C231A">
        <w:rPr>
          <w:rStyle w:val="Heading3Char"/>
          <w:rFonts w:eastAsia="Calibri"/>
          <w:b/>
          <w:bCs/>
        </w:rPr>
        <w:t>Better national technical coordination and oversight of laboratory testing</w:t>
      </w:r>
      <w:bookmarkEnd w:id="310"/>
      <w:bookmarkEnd w:id="311"/>
    </w:p>
    <w:p w14:paraId="018DA4A4" w14:textId="77777777" w:rsidR="00CC703E" w:rsidRPr="00E37FDB" w:rsidRDefault="00E37FDB" w:rsidP="005C231A">
      <w:pPr>
        <w:pStyle w:val="Heading4"/>
        <w:rPr>
          <w:rFonts w:eastAsiaTheme="minorHAnsi"/>
        </w:rPr>
      </w:pPr>
      <w:r>
        <w:rPr>
          <w:rFonts w:eastAsiaTheme="minorHAnsi"/>
        </w:rPr>
        <w:t>Strengthening prescribed arrangements for import testing</w:t>
      </w:r>
    </w:p>
    <w:p w14:paraId="31F1E5C5" w14:textId="0186021B" w:rsidR="00CC703E" w:rsidRDefault="00E37FDB">
      <w:pPr>
        <w:shd w:val="clear" w:color="auto" w:fill="FFFFFF"/>
        <w:tabs>
          <w:tab w:val="clear" w:pos="567"/>
        </w:tabs>
        <w:spacing w:after="0"/>
        <w:rPr>
          <w:rFonts w:eastAsia="Times New Roman"/>
          <w:szCs w:val="24"/>
          <w:lang w:eastAsia="en-AU"/>
        </w:rPr>
      </w:pPr>
      <w:r>
        <w:rPr>
          <w:rFonts w:eastAsiaTheme="minorHAnsi" w:cstheme="minorBidi"/>
          <w:szCs w:val="24"/>
          <w:lang w:val="en-NZ"/>
        </w:rPr>
        <w:t xml:space="preserve">The department does not undertake its own testing of imported animal products. </w:t>
      </w:r>
      <w:r>
        <w:rPr>
          <w:szCs w:val="24"/>
          <w:lang w:eastAsia="en-AU"/>
        </w:rPr>
        <w:t>Under</w:t>
      </w:r>
      <w:r>
        <w:rPr>
          <w:szCs w:val="24"/>
        </w:rPr>
        <w:t xml:space="preserve"> the </w:t>
      </w:r>
      <w:r>
        <w:rPr>
          <w:i/>
          <w:szCs w:val="24"/>
        </w:rPr>
        <w:t>Quarantine Act 1908</w:t>
      </w:r>
      <w:r>
        <w:rPr>
          <w:szCs w:val="24"/>
        </w:rPr>
        <w:t>, it had no powers to order a test. For this reason, WSSV testing was made an import permit condition when the Director of Quarantine introduced mandatory WSSV testing in 2001 on all uncooked unpeeled and headless prawn imports from countries or zones that were not WSSV free. Importers were responsible for meeting permit conditions and for arranging a test certificate verifying that the prawn batch was negative for WSSV and YHV before it could be released. T</w:t>
      </w:r>
      <w:r>
        <w:rPr>
          <w:rFonts w:eastAsiaTheme="minorHAnsi" w:cstheme="minorBidi"/>
          <w:szCs w:val="24"/>
          <w:lang w:val="en-NZ"/>
        </w:rPr>
        <w:t xml:space="preserve">he department ‘facilitated’ that process by directing the samples to </w:t>
      </w:r>
      <w:r>
        <w:rPr>
          <w:rFonts w:eastAsia="Times New Roman"/>
          <w:szCs w:val="24"/>
          <w:lang w:eastAsia="en-AU"/>
        </w:rPr>
        <w:t xml:space="preserve">a place </w:t>
      </w:r>
      <w:r w:rsidR="008B0A53">
        <w:rPr>
          <w:rFonts w:eastAsia="Times New Roman"/>
          <w:szCs w:val="24"/>
          <w:lang w:eastAsia="en-AU"/>
        </w:rPr>
        <w:t xml:space="preserve">approved under Section 46A of the </w:t>
      </w:r>
      <w:r w:rsidR="008B0A53" w:rsidRPr="00771C64">
        <w:rPr>
          <w:rFonts w:eastAsia="Times New Roman"/>
          <w:i/>
          <w:szCs w:val="24"/>
          <w:lang w:eastAsia="en-AU"/>
        </w:rPr>
        <w:t>Quarantine Act 1908</w:t>
      </w:r>
      <w:r w:rsidR="008B0A53">
        <w:rPr>
          <w:rFonts w:eastAsia="Times New Roman"/>
          <w:szCs w:val="24"/>
          <w:lang w:eastAsia="en-AU"/>
        </w:rPr>
        <w:t xml:space="preserve"> as </w:t>
      </w:r>
      <w:r w:rsidR="000D1FF4">
        <w:rPr>
          <w:rFonts w:eastAsia="Times New Roman"/>
          <w:szCs w:val="24"/>
          <w:lang w:eastAsia="en-AU"/>
        </w:rPr>
        <w:t>‘</w:t>
      </w:r>
      <w:r w:rsidR="008B0A53">
        <w:rPr>
          <w:rFonts w:eastAsia="Times New Roman"/>
          <w:szCs w:val="24"/>
          <w:lang w:eastAsia="en-AU"/>
        </w:rPr>
        <w:t xml:space="preserve">a place </w:t>
      </w:r>
      <w:r>
        <w:rPr>
          <w:rFonts w:eastAsia="Times New Roman"/>
          <w:szCs w:val="24"/>
          <w:lang w:eastAsia="en-AU"/>
        </w:rPr>
        <w:t>where goods of a specified class that are subject to quarantine may be treated or otherwise dealt with</w:t>
      </w:r>
      <w:r w:rsidR="000D1FF4">
        <w:rPr>
          <w:rFonts w:eastAsia="Times New Roman"/>
          <w:szCs w:val="24"/>
          <w:lang w:eastAsia="en-AU"/>
        </w:rPr>
        <w:t>’</w:t>
      </w:r>
      <w:r>
        <w:rPr>
          <w:rFonts w:eastAsia="Times New Roman"/>
          <w:szCs w:val="24"/>
          <w:lang w:eastAsia="en-AU"/>
        </w:rPr>
        <w:t>.</w:t>
      </w:r>
    </w:p>
    <w:p w14:paraId="6A3A12BB" w14:textId="24758FDD" w:rsidR="00CC703E" w:rsidRDefault="00E37FDB">
      <w:pPr>
        <w:shd w:val="clear" w:color="auto" w:fill="FFFFFF"/>
        <w:tabs>
          <w:tab w:val="clear" w:pos="567"/>
        </w:tabs>
        <w:spacing w:after="0"/>
        <w:rPr>
          <w:rFonts w:eastAsiaTheme="minorHAnsi" w:cstheme="minorBidi"/>
          <w:lang w:val="en-NZ"/>
        </w:rPr>
      </w:pPr>
      <w:r>
        <w:rPr>
          <w:rFonts w:eastAsiaTheme="minorHAnsi" w:cstheme="minorHAnsi"/>
          <w:szCs w:val="24"/>
          <w:lang w:val="en-NZ"/>
        </w:rPr>
        <w:t xml:space="preserve">The public call in 2007 for expressions of interest to carry out viral testing of prawn imports </w:t>
      </w:r>
      <w:r w:rsidR="00A4077C">
        <w:rPr>
          <w:rFonts w:eastAsiaTheme="minorHAnsi" w:cstheme="minorHAnsi"/>
          <w:szCs w:val="24"/>
          <w:lang w:val="en-NZ"/>
        </w:rPr>
        <w:t>(</w:t>
      </w:r>
      <w:r w:rsidR="000D1FF4">
        <w:rPr>
          <w:rFonts w:eastAsiaTheme="minorHAnsi" w:cstheme="minorHAnsi"/>
          <w:szCs w:val="24"/>
          <w:lang w:val="en-NZ"/>
        </w:rPr>
        <w:t>s</w:t>
      </w:r>
      <w:r w:rsidR="00A4077C">
        <w:rPr>
          <w:rFonts w:eastAsiaTheme="minorHAnsi" w:cstheme="minorHAnsi"/>
          <w:szCs w:val="24"/>
          <w:lang w:val="en-NZ"/>
        </w:rPr>
        <w:t xml:space="preserve">ection </w:t>
      </w:r>
      <w:r w:rsidR="00921E59">
        <w:rPr>
          <w:rFonts w:eastAsiaTheme="minorHAnsi" w:cstheme="minorHAnsi"/>
          <w:szCs w:val="24"/>
          <w:lang w:val="en-NZ"/>
        </w:rPr>
        <w:t xml:space="preserve">5.3.3) </w:t>
      </w:r>
      <w:r>
        <w:rPr>
          <w:rFonts w:eastAsiaTheme="minorHAnsi" w:cstheme="minorHAnsi"/>
          <w:szCs w:val="24"/>
          <w:lang w:val="en-NZ"/>
        </w:rPr>
        <w:t xml:space="preserve">required any laboratory tendering for work to be a </w:t>
      </w:r>
      <w:r>
        <w:rPr>
          <w:rFonts w:eastAsiaTheme="minorHAnsi" w:cstheme="minorHAnsi"/>
          <w:szCs w:val="24"/>
          <w:lang w:val="en-NZ"/>
        </w:rPr>
        <w:lastRenderedPageBreak/>
        <w:t>quarantine approved premises and to be NATA accredited for molecular virological testing.</w:t>
      </w:r>
      <w:r w:rsidR="000D1FF4">
        <w:rPr>
          <w:rFonts w:eastAsiaTheme="minorHAnsi" w:cstheme="minorHAnsi"/>
          <w:szCs w:val="24"/>
          <w:lang w:val="en-NZ"/>
        </w:rPr>
        <w:t xml:space="preserve"> </w:t>
      </w:r>
      <w:r>
        <w:rPr>
          <w:rFonts w:eastAsiaTheme="minorHAnsi" w:cs="Cambria"/>
        </w:rPr>
        <w:t xml:space="preserve">Importers would choose an approved laboratory and </w:t>
      </w:r>
      <w:r>
        <w:t xml:space="preserve">departmental inspectors submitted </w:t>
      </w:r>
      <w:r>
        <w:rPr>
          <w:rFonts w:eastAsiaTheme="minorHAnsi" w:cs="Cambria"/>
        </w:rPr>
        <w:t xml:space="preserve">the samples for testing to the laboratory. </w:t>
      </w:r>
      <w:r>
        <w:rPr>
          <w:rFonts w:eastAsiaTheme="minorHAnsi" w:cstheme="minorBidi"/>
          <w:lang w:val="en-NZ"/>
        </w:rPr>
        <w:t>Importers paid for testing and could therefore be viewed as the client</w:t>
      </w:r>
      <w:r w:rsidR="00D418AF">
        <w:rPr>
          <w:rFonts w:eastAsiaTheme="minorHAnsi" w:cstheme="minorBidi"/>
          <w:lang w:val="en-NZ"/>
        </w:rPr>
        <w:t>s</w:t>
      </w:r>
      <w:r>
        <w:rPr>
          <w:rFonts w:eastAsiaTheme="minorHAnsi" w:cstheme="minorBidi"/>
          <w:lang w:val="en-NZ"/>
        </w:rPr>
        <w:t xml:space="preserve"> of the laboratory.</w:t>
      </w:r>
    </w:p>
    <w:p w14:paraId="50ED7C04" w14:textId="28DF63A0" w:rsidR="00CC703E" w:rsidRDefault="00E37FDB">
      <w:pPr>
        <w:spacing w:after="0"/>
        <w:rPr>
          <w:b/>
          <w:szCs w:val="24"/>
        </w:rPr>
      </w:pPr>
      <w:r>
        <w:rPr>
          <w:rFonts w:eastAsia="Times New Roman"/>
          <w:szCs w:val="24"/>
          <w:lang w:eastAsia="en-AU"/>
        </w:rPr>
        <w:t xml:space="preserve">Under the </w:t>
      </w:r>
      <w:r>
        <w:rPr>
          <w:rFonts w:eastAsia="Times New Roman"/>
          <w:i/>
          <w:szCs w:val="24"/>
          <w:lang w:eastAsia="en-AU"/>
        </w:rPr>
        <w:t>Biosecurity Act 2015</w:t>
      </w:r>
      <w:r>
        <w:rPr>
          <w:rFonts w:eastAsia="Times New Roman"/>
          <w:szCs w:val="24"/>
          <w:lang w:eastAsia="en-AU"/>
        </w:rPr>
        <w:t xml:space="preserve">, a biosecurity officer may direct product to be tested by a person of their choosing. This provides for the department to order testing on its own account. Laboratories are now effectively testing for the department as the client rather than the importer, as was the case in the past. However, the importer still pays for testing, which </w:t>
      </w:r>
      <w:r w:rsidR="00E03632">
        <w:rPr>
          <w:rFonts w:eastAsia="Times New Roman"/>
          <w:szCs w:val="24"/>
          <w:lang w:eastAsia="en-AU"/>
        </w:rPr>
        <w:t xml:space="preserve">can </w:t>
      </w:r>
      <w:r>
        <w:rPr>
          <w:rFonts w:eastAsia="Times New Roman"/>
          <w:szCs w:val="24"/>
          <w:lang w:eastAsia="en-AU"/>
        </w:rPr>
        <w:t xml:space="preserve">create a potential conflict of interest. To avoid this, the department could have a formal arrangement with </w:t>
      </w:r>
      <w:r>
        <w:rPr>
          <w:szCs w:val="24"/>
        </w:rPr>
        <w:t>each testing laboratory (under their approved arrangement) that covers issues including:</w:t>
      </w:r>
    </w:p>
    <w:p w14:paraId="41BB9326" w14:textId="4EDF2835" w:rsidR="00CC703E" w:rsidRDefault="00E37FDB" w:rsidP="00CF2678">
      <w:pPr>
        <w:pStyle w:val="ListBullet"/>
      </w:pPr>
      <w:r>
        <w:t>what the laboratory is required to do in the way of testing</w:t>
      </w:r>
    </w:p>
    <w:p w14:paraId="5408EFA5" w14:textId="505B7B75" w:rsidR="00CC703E" w:rsidRDefault="00E37FDB" w:rsidP="00CF2678">
      <w:pPr>
        <w:pStyle w:val="ListBullet"/>
      </w:pPr>
      <w:r>
        <w:t>what the department expects in the way of quality assurance (QA)</w:t>
      </w:r>
    </w:p>
    <w:p w14:paraId="75DE7AC9" w14:textId="5C9A626D" w:rsidR="00CC703E" w:rsidRDefault="00E37FDB" w:rsidP="00CF2678">
      <w:pPr>
        <w:pStyle w:val="ListBullet"/>
      </w:pPr>
      <w:r>
        <w:t>who pays for the QA</w:t>
      </w:r>
    </w:p>
    <w:p w14:paraId="731955CC" w14:textId="19B2634C" w:rsidR="00CC703E" w:rsidRDefault="00E37FDB" w:rsidP="00CF2678">
      <w:pPr>
        <w:pStyle w:val="ListBullet"/>
      </w:pPr>
      <w:r>
        <w:t>what the department will monitor</w:t>
      </w:r>
    </w:p>
    <w:p w14:paraId="2DFD58CA" w14:textId="4746A6CA" w:rsidR="00CC703E" w:rsidRDefault="00E37FDB" w:rsidP="00CF2678">
      <w:pPr>
        <w:pStyle w:val="ListBullet"/>
      </w:pPr>
      <w:r>
        <w:t>what happens if the laboratory fails a QA test</w:t>
      </w:r>
    </w:p>
    <w:p w14:paraId="6B440397" w14:textId="6E4D9582" w:rsidR="00CC703E" w:rsidRDefault="00E37FDB" w:rsidP="00CF2678">
      <w:pPr>
        <w:pStyle w:val="ListBullet"/>
      </w:pPr>
      <w:r>
        <w:t>who owns the samples and intellectual property (for example, for WSSV sequence data)</w:t>
      </w:r>
    </w:p>
    <w:p w14:paraId="2B4A9944" w14:textId="62752E11" w:rsidR="00CC703E" w:rsidRDefault="00E37FDB" w:rsidP="00CF2678">
      <w:pPr>
        <w:pStyle w:val="ListBullet"/>
      </w:pPr>
      <w:r>
        <w:t>who owns the results and what happens to the residual material</w:t>
      </w:r>
      <w:r w:rsidR="003D7BBE">
        <w:t>, and</w:t>
      </w:r>
    </w:p>
    <w:p w14:paraId="67E67E46" w14:textId="70DB22B3" w:rsidR="00CC703E" w:rsidRDefault="00E37FDB" w:rsidP="00CF2678">
      <w:pPr>
        <w:pStyle w:val="ListBullet"/>
      </w:pPr>
      <w:r>
        <w:t>what happens if the laboratory is found to have poor performance</w:t>
      </w:r>
      <w:r w:rsidR="00572DCF">
        <w:t>.</w:t>
      </w:r>
    </w:p>
    <w:p w14:paraId="10872298" w14:textId="090B6A5B" w:rsidR="00CC703E" w:rsidRDefault="00E37FDB" w:rsidP="00CF2678">
      <w:r>
        <w:t>The current quality assurance regime ensures that screening laboratories are able to perform well in inter-laboratory tests and have NATA accreditation. However, the</w:t>
      </w:r>
      <w:r w:rsidR="00DB6D6A">
        <w:t xml:space="preserve"> department should </w:t>
      </w:r>
      <w:r>
        <w:t>still verify that</w:t>
      </w:r>
      <w:r w:rsidR="00DB6D6A">
        <w:t xml:space="preserve"> import</w:t>
      </w:r>
      <w:r>
        <w:t xml:space="preserve"> testing is consistently performed to </w:t>
      </w:r>
      <w:r w:rsidR="00DB6D6A">
        <w:t xml:space="preserve">the departmental </w:t>
      </w:r>
      <w:r>
        <w:t xml:space="preserve">standard, without non-compliance. This could be achieved </w:t>
      </w:r>
      <w:r w:rsidR="00065267">
        <w:t xml:space="preserve">in </w:t>
      </w:r>
      <w:r>
        <w:t>a number of way</w:t>
      </w:r>
      <w:r w:rsidR="00ED3FC8">
        <w:t>s</w:t>
      </w:r>
      <w:r>
        <w:t>. For example, the inspector rather than the importer could choose the laboratory from a roster</w:t>
      </w:r>
      <w:r w:rsidR="00E03632">
        <w:t>,</w:t>
      </w:r>
      <w:r>
        <w:t xml:space="preserve"> or </w:t>
      </w:r>
      <w:r w:rsidR="00E03632">
        <w:t xml:space="preserve">the department could implement </w:t>
      </w:r>
      <w:r>
        <w:t xml:space="preserve">a system </w:t>
      </w:r>
      <w:r w:rsidR="00E03632">
        <w:t>where the inspector</w:t>
      </w:r>
      <w:r>
        <w:t xml:space="preserve"> random</w:t>
      </w:r>
      <w:r w:rsidR="00E03632">
        <w:t>ly forwarded</w:t>
      </w:r>
      <w:r>
        <w:t xml:space="preserve"> duplicate samples </w:t>
      </w:r>
      <w:r w:rsidR="00E03632">
        <w:t xml:space="preserve">to be </w:t>
      </w:r>
      <w:r>
        <w:t>tested in parallel at a second screening laboratory.</w:t>
      </w:r>
    </w:p>
    <w:p w14:paraId="2B46C88F" w14:textId="77777777" w:rsidR="00CC703E" w:rsidRDefault="00E37FDB" w:rsidP="00CF2678">
      <w:pPr>
        <w:pStyle w:val="Heading3"/>
        <w:numPr>
          <w:ilvl w:val="0"/>
          <w:numId w:val="0"/>
        </w:numPr>
        <w:pBdr>
          <w:top w:val="single" w:sz="4" w:space="1" w:color="auto"/>
          <w:left w:val="single" w:sz="4" w:space="1" w:color="auto"/>
          <w:bottom w:val="single" w:sz="4" w:space="1" w:color="auto"/>
          <w:right w:val="single" w:sz="4" w:space="1" w:color="auto"/>
        </w:pBdr>
        <w:ind w:left="794" w:hanging="794"/>
      </w:pPr>
      <w:bookmarkStart w:id="312" w:name="_Toc499132674"/>
      <w:bookmarkStart w:id="313" w:name="_Toc499963194"/>
      <w:bookmarkStart w:id="314" w:name="_Toc500162500"/>
      <w:bookmarkStart w:id="315" w:name="_Toc500238757"/>
      <w:bookmarkStart w:id="316" w:name="_Toc500508442"/>
      <w:r>
        <w:t xml:space="preserve">Recommendation </w:t>
      </w:r>
      <w:r w:rsidRPr="00E37FDB">
        <w:fldChar w:fldCharType="begin"/>
      </w:r>
      <w:r>
        <w:instrText xml:space="preserve"> SEQ Recommendation \* ARABIC </w:instrText>
      </w:r>
      <w:r w:rsidRPr="00E37FDB">
        <w:fldChar w:fldCharType="separate"/>
      </w:r>
      <w:r w:rsidR="00121BC1">
        <w:rPr>
          <w:noProof/>
        </w:rPr>
        <w:t>17</w:t>
      </w:r>
      <w:bookmarkEnd w:id="312"/>
      <w:bookmarkEnd w:id="313"/>
      <w:bookmarkEnd w:id="314"/>
      <w:bookmarkEnd w:id="315"/>
      <w:bookmarkEnd w:id="316"/>
      <w:r w:rsidRPr="00E37FDB">
        <w:rPr>
          <w:noProof/>
        </w:rPr>
        <w:fldChar w:fldCharType="end"/>
      </w:r>
    </w:p>
    <w:p w14:paraId="5588D749" w14:textId="2C7F9761" w:rsidR="00CC703E" w:rsidRDefault="009F5732" w:rsidP="00CF2678">
      <w:pPr>
        <w:pBdr>
          <w:top w:val="single" w:sz="4" w:space="1" w:color="auto"/>
          <w:left w:val="single" w:sz="4" w:space="1" w:color="auto"/>
          <w:bottom w:val="single" w:sz="4" w:space="1" w:color="auto"/>
          <w:right w:val="single" w:sz="4" w:space="1" w:color="auto"/>
        </w:pBdr>
        <w:tabs>
          <w:tab w:val="clear" w:pos="567"/>
        </w:tabs>
        <w:spacing w:before="0" w:after="0"/>
        <w:rPr>
          <w:szCs w:val="24"/>
        </w:rPr>
      </w:pPr>
      <w:r w:rsidRPr="009F5732">
        <w:rPr>
          <w:szCs w:val="24"/>
        </w:rPr>
        <w:t>The department should formalise, oversight and monitor stronger prescribed arrangements for laboratories undertaking import testing to ensure their accountability and ongoing implementation of prescribed testing standards.</w:t>
      </w:r>
    </w:p>
    <w:p w14:paraId="7DB7F457" w14:textId="1BC4BB8E" w:rsidR="00CC703E" w:rsidRPr="005A1031" w:rsidRDefault="00E37FDB" w:rsidP="00CF2678">
      <w:pPr>
        <w:pBdr>
          <w:top w:val="single" w:sz="4" w:space="1" w:color="auto"/>
          <w:left w:val="single" w:sz="4" w:space="1" w:color="auto"/>
          <w:bottom w:val="single" w:sz="4" w:space="1" w:color="auto"/>
          <w:right w:val="single" w:sz="4" w:space="1" w:color="auto"/>
        </w:pBdr>
      </w:pPr>
      <w:r>
        <w:rPr>
          <w:b/>
        </w:rPr>
        <w:t>Department’s response:</w:t>
      </w:r>
      <w:r w:rsidR="005A1031">
        <w:t xml:space="preserve"> </w:t>
      </w:r>
      <w:r w:rsidR="005A1031" w:rsidRPr="005A1031">
        <w:t>Agree. Implementation is progressing.</w:t>
      </w:r>
    </w:p>
    <w:p w14:paraId="1525B23B" w14:textId="77777777" w:rsidR="00CC703E" w:rsidRDefault="00E37FDB" w:rsidP="003D7BBE">
      <w:pPr>
        <w:pStyle w:val="Heading4"/>
      </w:pPr>
      <w:r>
        <w:t>Test standardisation</w:t>
      </w:r>
    </w:p>
    <w:p w14:paraId="62334864" w14:textId="67E5A6A8" w:rsidR="00CC703E" w:rsidRDefault="00E37FDB">
      <w:pPr>
        <w:spacing w:after="0"/>
      </w:pPr>
      <w:r>
        <w:t>T</w:t>
      </w:r>
      <w:r w:rsidR="008B4DAC">
        <w:t>esting</w:t>
      </w:r>
      <w:r>
        <w:t xml:space="preserve"> technology is constantly changing and the commercial equipment and reagents essential to the testing are also changing. This requires a consistent laboratory approach to testing and result interpretation.</w:t>
      </w:r>
    </w:p>
    <w:p w14:paraId="1A82FAE9" w14:textId="08904863" w:rsidR="00472C83" w:rsidRDefault="000C0EC6" w:rsidP="00C619AB">
      <w:pPr>
        <w:spacing w:after="0"/>
        <w:rPr>
          <w:rFonts w:cs="Segoe UI"/>
          <w:color w:val="000000"/>
          <w:szCs w:val="24"/>
          <w:lang w:val="en"/>
        </w:rPr>
      </w:pPr>
      <w:r>
        <w:t xml:space="preserve">An </w:t>
      </w:r>
      <w:r w:rsidR="001C01AE" w:rsidRPr="001C01AE">
        <w:t>Australian and New Zealand standard diagnostic procedure</w:t>
      </w:r>
      <w:r w:rsidR="00A91695" w:rsidRPr="0089730F">
        <w:rPr>
          <w:rStyle w:val="Hyperlink"/>
          <w:color w:val="auto"/>
          <w:u w:val="none"/>
          <w:vertAlign w:val="superscript"/>
        </w:rPr>
        <w:t>16</w:t>
      </w:r>
      <w:r w:rsidR="00650D86" w:rsidRPr="00494835">
        <w:rPr>
          <w:rStyle w:val="Hyperlink"/>
          <w:color w:val="auto"/>
          <w:u w:val="none"/>
          <w:vertAlign w:val="superscript"/>
        </w:rPr>
        <w:t>8</w:t>
      </w:r>
      <w:r>
        <w:t xml:space="preserve"> for WSSV, which included a nested PCR</w:t>
      </w:r>
      <w:r w:rsidR="00F865FD">
        <w:t>,</w:t>
      </w:r>
      <w:r>
        <w:t xml:space="preserve"> was approved for use in 2008, but it was not </w:t>
      </w:r>
      <w:r w:rsidR="00F31FC7">
        <w:t>implemented</w:t>
      </w:r>
      <w:r>
        <w:t xml:space="preserve"> </w:t>
      </w:r>
      <w:r>
        <w:lastRenderedPageBreak/>
        <w:t>uniformly across states and territor</w:t>
      </w:r>
      <w:r w:rsidR="00F865FD">
        <w:t>y</w:t>
      </w:r>
      <w:r>
        <w:t xml:space="preserve"> agencies undertaking WSSV testing.</w:t>
      </w:r>
      <w:r w:rsidR="00092D7B">
        <w:t xml:space="preserve"> </w:t>
      </w:r>
      <w:r w:rsidR="00A0177F">
        <w:t xml:space="preserve">On 30 July 2007 </w:t>
      </w:r>
      <w:r w:rsidR="00092D7B">
        <w:t xml:space="preserve">the department </w:t>
      </w:r>
      <w:r w:rsidR="00A0177F">
        <w:t>invited</w:t>
      </w:r>
      <w:r w:rsidR="00092D7B">
        <w:t xml:space="preserve"> an expression of interest </w:t>
      </w:r>
      <w:r w:rsidR="000E292F">
        <w:t xml:space="preserve">from interested laboratories </w:t>
      </w:r>
      <w:r w:rsidR="00092D7B">
        <w:t>to test prawns</w:t>
      </w:r>
      <w:r w:rsidR="000E292F">
        <w:t>. It</w:t>
      </w:r>
      <w:r w:rsidR="00A0177F">
        <w:t xml:space="preserve"> s</w:t>
      </w:r>
      <w:r w:rsidR="00092D7B">
        <w:t xml:space="preserve">pecified that the test be based on the PCR tests </w:t>
      </w:r>
      <w:r w:rsidR="00A0177F">
        <w:t xml:space="preserve">included </w:t>
      </w:r>
      <w:r w:rsidR="00092D7B">
        <w:t>in the current version of the OIE manual (</w:t>
      </w:r>
      <w:r w:rsidR="00A0177F">
        <w:t xml:space="preserve">that is, </w:t>
      </w:r>
      <w:r w:rsidR="00092D7B">
        <w:t>2007 version) or equivalent.</w:t>
      </w:r>
      <w:r>
        <w:t xml:space="preserve"> </w:t>
      </w:r>
      <w:r w:rsidR="00D27BE6">
        <w:t>Laboratories made their own interpretations, especially at the margins of test positivity</w:t>
      </w:r>
      <w:r w:rsidR="00472C83">
        <w:t xml:space="preserve"> (</w:t>
      </w:r>
      <w:r w:rsidR="007D0491">
        <w:t>s</w:t>
      </w:r>
      <w:r w:rsidR="00472C83">
        <w:t>ection 8.3)</w:t>
      </w:r>
      <w:r w:rsidR="00D27BE6">
        <w:t>.</w:t>
      </w:r>
      <w:r w:rsidR="005F42F8">
        <w:t xml:space="preserve"> </w:t>
      </w:r>
      <w:r w:rsidR="00E14352">
        <w:rPr>
          <w:rFonts w:cs="Segoe UI"/>
          <w:color w:val="000000"/>
          <w:szCs w:val="24"/>
          <w:lang w:val="en"/>
        </w:rPr>
        <w:t xml:space="preserve">From mid-2016, during Operation Cattai, the department progressively realised that there were </w:t>
      </w:r>
      <w:r w:rsidR="00D27BE6">
        <w:rPr>
          <w:rFonts w:cs="Segoe UI"/>
          <w:color w:val="000000"/>
          <w:szCs w:val="24"/>
          <w:lang w:val="en"/>
        </w:rPr>
        <w:t xml:space="preserve">significant </w:t>
      </w:r>
      <w:r w:rsidR="00E14352">
        <w:rPr>
          <w:rFonts w:cs="Segoe UI"/>
          <w:color w:val="000000"/>
          <w:szCs w:val="24"/>
          <w:lang w:val="en"/>
        </w:rPr>
        <w:t>v</w:t>
      </w:r>
      <w:r w:rsidR="008B4DAC">
        <w:rPr>
          <w:rFonts w:cs="Segoe UI"/>
          <w:color w:val="000000"/>
          <w:szCs w:val="24"/>
          <w:lang w:val="en"/>
        </w:rPr>
        <w:t xml:space="preserve">ariations between laboratories </w:t>
      </w:r>
      <w:r w:rsidR="00E14352">
        <w:rPr>
          <w:rFonts w:cs="Segoe UI"/>
          <w:color w:val="000000"/>
          <w:szCs w:val="24"/>
          <w:lang w:val="en"/>
        </w:rPr>
        <w:t>in</w:t>
      </w:r>
      <w:r w:rsidR="008B4DAC">
        <w:rPr>
          <w:rFonts w:cs="Segoe UI"/>
          <w:color w:val="000000"/>
          <w:szCs w:val="24"/>
          <w:lang w:val="en"/>
        </w:rPr>
        <w:t xml:space="preserve"> WSSV laboratory test interpretation</w:t>
      </w:r>
      <w:r w:rsidR="00E14352">
        <w:rPr>
          <w:rFonts w:cs="Segoe UI"/>
          <w:color w:val="000000"/>
          <w:szCs w:val="24"/>
          <w:lang w:val="en"/>
        </w:rPr>
        <w:t xml:space="preserve"> and possibly performance. It began planning with NATA and</w:t>
      </w:r>
      <w:r w:rsidR="008B4DAC">
        <w:rPr>
          <w:rFonts w:cs="Segoe UI"/>
          <w:color w:val="000000"/>
          <w:szCs w:val="24"/>
          <w:lang w:val="en"/>
        </w:rPr>
        <w:t xml:space="preserve"> the four laboratories to hold a ring test in September 2016, but this did not occur despite WSSV-positive test samples being available for use in the test. A meeting was finally convened on 16 May 2017 by NATA using an independen</w:t>
      </w:r>
      <w:r w:rsidR="001F4221">
        <w:rPr>
          <w:rFonts w:cs="Segoe UI"/>
          <w:color w:val="000000"/>
          <w:szCs w:val="24"/>
          <w:lang w:val="en"/>
        </w:rPr>
        <w:t>t chair. This led to</w:t>
      </w:r>
      <w:r w:rsidR="008B4DAC">
        <w:rPr>
          <w:rFonts w:cs="Segoe UI"/>
          <w:color w:val="000000"/>
          <w:szCs w:val="24"/>
          <w:lang w:val="en"/>
        </w:rPr>
        <w:t xml:space="preserve"> the development of a standardised protocol for the performance and interpretation of the qPCR tests </w:t>
      </w:r>
      <w:r w:rsidR="00472C83">
        <w:rPr>
          <w:rFonts w:cs="Segoe UI"/>
          <w:color w:val="000000"/>
          <w:szCs w:val="24"/>
          <w:lang w:val="en"/>
        </w:rPr>
        <w:t>for WSSV.</w:t>
      </w:r>
    </w:p>
    <w:p w14:paraId="4473A863" w14:textId="5F783C90" w:rsidR="00CC703E" w:rsidRDefault="00F31FC7">
      <w:pPr>
        <w:spacing w:after="0"/>
      </w:pPr>
      <w:r>
        <w:rPr>
          <w:rFonts w:cs="Segoe UI"/>
          <w:color w:val="000000"/>
          <w:szCs w:val="24"/>
          <w:lang w:val="en"/>
        </w:rPr>
        <w:t>In October 2017 the department released a</w:t>
      </w:r>
      <w:r w:rsidR="009E6841">
        <w:rPr>
          <w:rFonts w:cs="Segoe UI"/>
          <w:color w:val="000000"/>
          <w:szCs w:val="24"/>
          <w:lang w:val="en"/>
        </w:rPr>
        <w:t xml:space="preserve"> standard operating procedure</w:t>
      </w:r>
      <w:r w:rsidR="00472C83">
        <w:rPr>
          <w:rFonts w:cs="Segoe UI"/>
          <w:color w:val="000000"/>
          <w:szCs w:val="24"/>
          <w:lang w:val="en"/>
        </w:rPr>
        <w:t xml:space="preserve"> </w:t>
      </w:r>
      <w:r w:rsidR="009E6841">
        <w:rPr>
          <w:rFonts w:cs="Segoe UI"/>
          <w:color w:val="000000"/>
          <w:szCs w:val="24"/>
          <w:lang w:val="en"/>
        </w:rPr>
        <w:t>(</w:t>
      </w:r>
      <w:r w:rsidR="003B0513">
        <w:rPr>
          <w:rFonts w:cs="Segoe UI"/>
          <w:color w:val="000000"/>
          <w:szCs w:val="24"/>
          <w:lang w:val="en"/>
        </w:rPr>
        <w:t>SOP</w:t>
      </w:r>
      <w:r w:rsidR="009E6841">
        <w:rPr>
          <w:rFonts w:cs="Segoe UI"/>
          <w:color w:val="000000"/>
          <w:szCs w:val="24"/>
          <w:lang w:val="en"/>
        </w:rPr>
        <w:t>)</w:t>
      </w:r>
      <w:r w:rsidR="003B0513">
        <w:rPr>
          <w:rFonts w:cs="Segoe UI"/>
          <w:color w:val="000000"/>
          <w:szCs w:val="24"/>
          <w:lang w:val="en"/>
        </w:rPr>
        <w:t>,</w:t>
      </w:r>
      <w:r w:rsidR="005F42F8">
        <w:rPr>
          <w:rFonts w:cs="Segoe UI"/>
          <w:color w:val="000000"/>
          <w:szCs w:val="24"/>
          <w:lang w:val="en"/>
        </w:rPr>
        <w:t xml:space="preserve"> </w:t>
      </w:r>
      <w:r w:rsidR="001F4221" w:rsidRPr="005F42F8">
        <w:rPr>
          <w:rFonts w:cs="Segoe UI"/>
          <w:i/>
          <w:color w:val="000000"/>
          <w:szCs w:val="24"/>
          <w:lang w:val="en"/>
        </w:rPr>
        <w:t>P</w:t>
      </w:r>
      <w:r w:rsidR="00472C83" w:rsidRPr="005F42F8">
        <w:rPr>
          <w:rFonts w:cs="Segoe UI"/>
          <w:i/>
          <w:color w:val="000000"/>
          <w:szCs w:val="24"/>
          <w:lang w:val="en"/>
        </w:rPr>
        <w:t>rocedure for detection of white spot syndrome virus</w:t>
      </w:r>
      <w:r w:rsidR="008B4DAC" w:rsidRPr="005F42F8">
        <w:rPr>
          <w:rFonts w:cs="Segoe UI"/>
          <w:i/>
          <w:color w:val="000000"/>
          <w:szCs w:val="24"/>
          <w:lang w:val="en"/>
        </w:rPr>
        <w:t xml:space="preserve"> </w:t>
      </w:r>
      <w:r w:rsidR="00472C83" w:rsidRPr="005F42F8">
        <w:rPr>
          <w:rFonts w:cs="Segoe UI"/>
          <w:i/>
          <w:color w:val="000000"/>
          <w:szCs w:val="24"/>
          <w:lang w:val="en"/>
        </w:rPr>
        <w:t>for biosecurity risk management</w:t>
      </w:r>
      <w:r w:rsidR="003B0513">
        <w:rPr>
          <w:rFonts w:cs="Segoe UI"/>
          <w:color w:val="000000"/>
          <w:szCs w:val="24"/>
          <w:lang w:val="en"/>
        </w:rPr>
        <w:t xml:space="preserve"> to all approved laboratories, AAHL and NATA</w:t>
      </w:r>
      <w:r w:rsidR="008B4DAC">
        <w:rPr>
          <w:rFonts w:cs="Segoe UI"/>
          <w:color w:val="000000"/>
          <w:szCs w:val="24"/>
          <w:lang w:val="en"/>
        </w:rPr>
        <w:t>.</w:t>
      </w:r>
      <w:r w:rsidR="00472C83">
        <w:rPr>
          <w:rFonts w:cs="Segoe UI"/>
          <w:color w:val="000000"/>
          <w:szCs w:val="24"/>
          <w:lang w:val="en"/>
        </w:rPr>
        <w:t xml:space="preserve"> It covered</w:t>
      </w:r>
      <w:r w:rsidR="00E37FDB">
        <w:t xml:space="preserve"> OIE-approved and AAHL WSSV qPCR tests, including criteria for determining positive and negative results. This </w:t>
      </w:r>
      <w:r w:rsidR="00E03632">
        <w:t xml:space="preserve">procedure </w:t>
      </w:r>
      <w:r w:rsidR="00E37FDB">
        <w:t xml:space="preserve">was to be used by all import testing laboratories and </w:t>
      </w:r>
      <w:r w:rsidR="00980536">
        <w:t>NATA would assess the implementation of the procedure in each laboratory</w:t>
      </w:r>
      <w:r w:rsidR="00E37FDB">
        <w:t xml:space="preserve">. </w:t>
      </w:r>
      <w:r w:rsidR="003B0513">
        <w:t xml:space="preserve">The department also provided a copy of this SOP to prawn trading partners and recommended that </w:t>
      </w:r>
      <w:r w:rsidR="003B0513" w:rsidRPr="003B0513">
        <w:t>exporting country laboratories implement the procedure when undertaking pre-export testing of uncooked prawns for WSSV</w:t>
      </w:r>
      <w:r w:rsidR="003B0513">
        <w:t>.</w:t>
      </w:r>
      <w:r w:rsidR="003B0513" w:rsidRPr="003B0513">
        <w:t xml:space="preserve"> </w:t>
      </w:r>
      <w:r w:rsidR="00E37FDB">
        <w:t>The method was based on the qPCR test in the current version of the OIE </w:t>
      </w:r>
      <w:r w:rsidR="001C01AE" w:rsidRPr="001C01AE">
        <w:rPr>
          <w:i/>
        </w:rPr>
        <w:t>Manual of diagnostic tests for aquatic animals</w:t>
      </w:r>
      <w:r w:rsidR="00697211" w:rsidRPr="0089730F">
        <w:rPr>
          <w:rStyle w:val="Hyperlink"/>
          <w:color w:val="auto"/>
          <w:u w:val="none"/>
          <w:vertAlign w:val="superscript"/>
        </w:rPr>
        <w:t>1</w:t>
      </w:r>
      <w:r w:rsidR="00650D86" w:rsidRPr="00494835">
        <w:rPr>
          <w:rStyle w:val="Hyperlink"/>
          <w:color w:val="auto"/>
          <w:u w:val="none"/>
          <w:vertAlign w:val="superscript"/>
        </w:rPr>
        <w:t>49</w:t>
      </w:r>
      <w:r w:rsidR="00E37FDB">
        <w:t xml:space="preserve">. </w:t>
      </w:r>
      <w:r w:rsidR="00E37FDB" w:rsidRPr="00697211">
        <w:t>The department’s SOP specified</w:t>
      </w:r>
      <w:r w:rsidR="00E37FDB">
        <w:t xml:space="preserve"> that:</w:t>
      </w:r>
    </w:p>
    <w:p w14:paraId="240FC0DF" w14:textId="7BBE9DA6" w:rsidR="00CC703E" w:rsidRDefault="00E37FDB" w:rsidP="00CF2678">
      <w:pPr>
        <w:pStyle w:val="ListBullet"/>
      </w:pPr>
      <w:r>
        <w:t>Real-time PCR must run for 45 cycles.</w:t>
      </w:r>
    </w:p>
    <w:p w14:paraId="0B66FBDD" w14:textId="19DDA046" w:rsidR="00CC703E" w:rsidRDefault="00E37FDB" w:rsidP="00CF2678">
      <w:pPr>
        <w:pStyle w:val="ListBullet"/>
      </w:pPr>
      <w:r>
        <w:t>A negative result is where there is no amplification of WSSV DNA within 45 cycles (C</w:t>
      </w:r>
      <w:r>
        <w:rPr>
          <w:vertAlign w:val="subscript"/>
        </w:rPr>
        <w:t>t</w:t>
      </w:r>
      <w:r>
        <w:t>) in all 13 samples.</w:t>
      </w:r>
    </w:p>
    <w:p w14:paraId="08D90064" w14:textId="665A6A87" w:rsidR="00CC703E" w:rsidRDefault="00E37FDB" w:rsidP="00CF2678">
      <w:pPr>
        <w:pStyle w:val="ListBullet"/>
      </w:pPr>
      <w:r>
        <w:t>A positive result is where there is detectable amplification of WSSV DNA before 40 cycles (C</w:t>
      </w:r>
      <w:r w:rsidRPr="003D7BBE">
        <w:rPr>
          <w:vertAlign w:val="subscript"/>
        </w:rPr>
        <w:t>t</w:t>
      </w:r>
      <w:r>
        <w:t>&lt;40) in any one of the 13 samples.</w:t>
      </w:r>
    </w:p>
    <w:p w14:paraId="07F0AB29" w14:textId="5C51357A" w:rsidR="00CC703E" w:rsidRDefault="00E37FDB" w:rsidP="00CF2678">
      <w:pPr>
        <w:pStyle w:val="ListBullet"/>
      </w:pPr>
      <w:r>
        <w:t>A suspected positive result is where there is detectable amplification between 40 and 45 cycles in any one of the 13 samples.</w:t>
      </w:r>
    </w:p>
    <w:p w14:paraId="36E30B87" w14:textId="77777777" w:rsidR="00CC703E" w:rsidRDefault="00E37FDB" w:rsidP="00CF2678">
      <w:pPr>
        <w:pStyle w:val="ListBullet"/>
      </w:pPr>
      <w:r>
        <w:t>When a laboratory determines one or more suspected positive results in a batch, the laboratory should advise the importer to request confirmatory testing from AAHL.</w:t>
      </w:r>
    </w:p>
    <w:p w14:paraId="3F3E0665" w14:textId="78E7FE8B" w:rsidR="00CC703E" w:rsidRDefault="00E37FDB">
      <w:pPr>
        <w:tabs>
          <w:tab w:val="clear" w:pos="567"/>
        </w:tabs>
        <w:spacing w:after="0"/>
      </w:pPr>
      <w:r>
        <w:t>Under this SOP, only samples with a suspected positive test result are subject to confirmatory testing. Samples that tested negative at approved laboratories would not be sent for confirmatory testing. This is a change from the approach implemented in July 2017. If the importer chooses not to request confirmatory testing for suspected positive samples, these samples will be treated as positive for WSSV. If a batch contains positive and suspected positive samples, the importer has the option to request confirmatory testing for those samples at AAHL. If suspected positive samples again produce a C</w:t>
      </w:r>
      <w:r>
        <w:rPr>
          <w:vertAlign w:val="subscript"/>
        </w:rPr>
        <w:t>t</w:t>
      </w:r>
      <w:r>
        <w:t xml:space="preserve"> value before 45 cycles, these samples will be reported as positive. This is because AAHL </w:t>
      </w:r>
      <w:r w:rsidR="0095120F">
        <w:t xml:space="preserve">are able to </w:t>
      </w:r>
      <w:r>
        <w:t>conduct additional testing to further confirm these samples are positive for WSSV.</w:t>
      </w:r>
    </w:p>
    <w:p w14:paraId="49882E0D" w14:textId="1014D7EE" w:rsidR="00CC703E" w:rsidRDefault="00E37FDB">
      <w:pPr>
        <w:spacing w:after="0"/>
        <w:rPr>
          <w:lang w:eastAsia="ja-JP"/>
        </w:rPr>
      </w:pPr>
      <w:r>
        <w:lastRenderedPageBreak/>
        <w:t xml:space="preserve">This test standardisation is a necessary first step in achieving comparability of results. </w:t>
      </w:r>
      <w:r>
        <w:rPr>
          <w:lang w:eastAsia="ja-JP"/>
        </w:rPr>
        <w:t>For trade purposes, all screening laboratories should use the same tests—preferably the OIE-approved tests and methods for import testing. This would better meet the new requirement for testing of uncooked prawn consignments overseas and retest on arrival in Australia.</w:t>
      </w:r>
    </w:p>
    <w:p w14:paraId="085B8F01" w14:textId="77777777" w:rsidR="00CC703E" w:rsidRDefault="00E37FDB" w:rsidP="003D7BBE">
      <w:pPr>
        <w:pStyle w:val="Heading4"/>
      </w:pPr>
      <w:r>
        <w:t>Quality assurance of laboratory results</w:t>
      </w:r>
    </w:p>
    <w:p w14:paraId="3B89CA84" w14:textId="517F3C83" w:rsidR="00CC703E" w:rsidRDefault="00E37FDB">
      <w:pPr>
        <w:spacing w:after="0"/>
        <w:rPr>
          <w:lang w:val="x-none"/>
        </w:rPr>
      </w:pPr>
      <w:r>
        <w:t>Before October 2017 none</w:t>
      </w:r>
      <w:r>
        <w:rPr>
          <w:lang w:val="x-none"/>
        </w:rPr>
        <w:t xml:space="preserve"> of the Australian </w:t>
      </w:r>
      <w:r>
        <w:t xml:space="preserve">import testing </w:t>
      </w:r>
      <w:r>
        <w:rPr>
          <w:lang w:val="x-none"/>
        </w:rPr>
        <w:t>laboratories follow</w:t>
      </w:r>
      <w:r>
        <w:t>ed</w:t>
      </w:r>
      <w:r>
        <w:rPr>
          <w:lang w:val="x-none"/>
        </w:rPr>
        <w:t xml:space="preserve"> the OIE</w:t>
      </w:r>
      <w:r>
        <w:t xml:space="preserve"> WSSV qPCR</w:t>
      </w:r>
      <w:r>
        <w:rPr>
          <w:lang w:val="x-none"/>
        </w:rPr>
        <w:t xml:space="preserve"> test</w:t>
      </w:r>
      <w:r>
        <w:t xml:space="preserve"> precisely. Instead, they</w:t>
      </w:r>
      <w:r>
        <w:rPr>
          <w:lang w:val="x-none"/>
        </w:rPr>
        <w:t xml:space="preserve"> ha</w:t>
      </w:r>
      <w:r>
        <w:t>d</w:t>
      </w:r>
      <w:r>
        <w:rPr>
          <w:lang w:val="x-none"/>
        </w:rPr>
        <w:t xml:space="preserve"> adapted the test to their particular circumstances (</w:t>
      </w:r>
      <w:r>
        <w:t xml:space="preserve">for example, </w:t>
      </w:r>
      <w:r>
        <w:rPr>
          <w:lang w:val="x-none"/>
        </w:rPr>
        <w:t>using different machines and consumables).</w:t>
      </w:r>
      <w:r>
        <w:t xml:space="preserve"> This</w:t>
      </w:r>
      <w:r>
        <w:rPr>
          <w:lang w:val="x-none"/>
        </w:rPr>
        <w:t xml:space="preserve"> is allowed</w:t>
      </w:r>
      <w:r>
        <w:t xml:space="preserve"> under OIE guidelines</w:t>
      </w:r>
      <w:r>
        <w:rPr>
          <w:lang w:val="x-none"/>
        </w:rPr>
        <w:t>, but laboratories</w:t>
      </w:r>
      <w:r>
        <w:t xml:space="preserve"> were </w:t>
      </w:r>
      <w:r>
        <w:rPr>
          <w:lang w:val="x-none"/>
        </w:rPr>
        <w:t xml:space="preserve">required to standardise and validate their own </w:t>
      </w:r>
      <w:r>
        <w:t>variants</w:t>
      </w:r>
      <w:r>
        <w:rPr>
          <w:lang w:val="x-none"/>
        </w:rPr>
        <w:t xml:space="preserve"> of the test against the OIE test to demonstrate that the</w:t>
      </w:r>
      <w:r>
        <w:t>ir</w:t>
      </w:r>
      <w:r>
        <w:rPr>
          <w:lang w:val="x-none"/>
        </w:rPr>
        <w:t xml:space="preserve"> test </w:t>
      </w:r>
      <w:r>
        <w:t>was</w:t>
      </w:r>
      <w:r>
        <w:rPr>
          <w:lang w:val="x-none"/>
        </w:rPr>
        <w:t xml:space="preserve"> equivalent to the </w:t>
      </w:r>
      <w:r w:rsidRPr="00697211">
        <w:rPr>
          <w:lang w:val="x-none"/>
        </w:rPr>
        <w:t xml:space="preserve">OIE test. To assist with </w:t>
      </w:r>
      <w:r w:rsidRPr="00697211">
        <w:t>validation,</w:t>
      </w:r>
      <w:r>
        <w:t xml:space="preserve"> </w:t>
      </w:r>
      <w:r>
        <w:rPr>
          <w:lang w:val="x-none"/>
        </w:rPr>
        <w:t xml:space="preserve">the OIE </w:t>
      </w:r>
      <w:r w:rsidR="001C01AE" w:rsidRPr="001C01AE">
        <w:rPr>
          <w:i/>
        </w:rPr>
        <w:t>Manual of diagnostic tests for aquatic animals</w:t>
      </w:r>
      <w:r w:rsidR="00697211" w:rsidRPr="0089730F">
        <w:rPr>
          <w:rStyle w:val="Hyperlink"/>
          <w:color w:val="auto"/>
          <w:u w:val="none"/>
          <w:vertAlign w:val="superscript"/>
        </w:rPr>
        <w:t>1</w:t>
      </w:r>
      <w:r w:rsidR="00650D86" w:rsidRPr="00494835">
        <w:rPr>
          <w:rStyle w:val="Hyperlink"/>
          <w:color w:val="auto"/>
          <w:u w:val="none"/>
          <w:vertAlign w:val="superscript"/>
        </w:rPr>
        <w:t>49</w:t>
      </w:r>
      <w:r>
        <w:rPr>
          <w:lang w:val="x-none"/>
        </w:rPr>
        <w:t xml:space="preserve"> </w:t>
      </w:r>
      <w:r>
        <w:t>has</w:t>
      </w:r>
      <w:r>
        <w:rPr>
          <w:lang w:val="x-none"/>
        </w:rPr>
        <w:t xml:space="preserve"> a detailed chapter on </w:t>
      </w:r>
      <w:r w:rsidR="004E428D">
        <w:t>‘</w:t>
      </w:r>
      <w:r w:rsidR="001C01AE" w:rsidRPr="001C01AE">
        <w:rPr>
          <w:lang w:val="x-none"/>
        </w:rPr>
        <w:t>Principles and methods of validation of diagnostic assays for infectious diseases</w:t>
      </w:r>
      <w:r w:rsidR="004E428D" w:rsidRPr="0089730F">
        <w:rPr>
          <w:rStyle w:val="Hyperlink"/>
          <w:color w:val="auto"/>
          <w:u w:val="none"/>
        </w:rPr>
        <w:t>’</w:t>
      </w:r>
      <w:r>
        <w:rPr>
          <w:lang w:val="x-none"/>
        </w:rPr>
        <w:t>.</w:t>
      </w:r>
      <w:r>
        <w:t xml:space="preserve"> NATA has a similar document</w:t>
      </w:r>
      <w:r w:rsidR="00697211">
        <w:rPr>
          <w:vertAlign w:val="superscript"/>
        </w:rPr>
        <w:t>16</w:t>
      </w:r>
      <w:r w:rsidR="00650D86">
        <w:rPr>
          <w:vertAlign w:val="superscript"/>
        </w:rPr>
        <w:t>9</w:t>
      </w:r>
      <w:r>
        <w:t xml:space="preserve">. </w:t>
      </w:r>
      <w:r>
        <w:rPr>
          <w:lang w:val="x-none"/>
        </w:rPr>
        <w:t xml:space="preserve">Laboratories </w:t>
      </w:r>
      <w:r w:rsidR="001F4221">
        <w:t>must</w:t>
      </w:r>
      <w:r>
        <w:rPr>
          <w:lang w:val="x-none"/>
        </w:rPr>
        <w:t xml:space="preserve"> keep </w:t>
      </w:r>
      <w:r>
        <w:t>and</w:t>
      </w:r>
      <w:r>
        <w:rPr>
          <w:lang w:val="x-none"/>
        </w:rPr>
        <w:t xml:space="preserve"> regularly update the validation folder for each of their tests so they can satisfy an auditor that </w:t>
      </w:r>
      <w:r>
        <w:t xml:space="preserve">they are </w:t>
      </w:r>
      <w:r>
        <w:rPr>
          <w:lang w:val="x-none"/>
        </w:rPr>
        <w:t>validati</w:t>
      </w:r>
      <w:r>
        <w:t>ng</w:t>
      </w:r>
      <w:r>
        <w:rPr>
          <w:lang w:val="x-none"/>
        </w:rPr>
        <w:t xml:space="preserve"> and standardi</w:t>
      </w:r>
      <w:r>
        <w:t>sing</w:t>
      </w:r>
      <w:r>
        <w:rPr>
          <w:lang w:val="x-none"/>
        </w:rPr>
        <w:t xml:space="preserve"> the</w:t>
      </w:r>
      <w:r>
        <w:t>ir</w:t>
      </w:r>
      <w:r>
        <w:rPr>
          <w:lang w:val="x-none"/>
        </w:rPr>
        <w:t xml:space="preserve"> test</w:t>
      </w:r>
      <w:r>
        <w:t xml:space="preserve">s. Laboratories are required to make </w:t>
      </w:r>
      <w:r>
        <w:rPr>
          <w:lang w:val="x-none"/>
        </w:rPr>
        <w:t>validation folders available to the NATA auditor on request.</w:t>
      </w:r>
    </w:p>
    <w:p w14:paraId="302B09CA" w14:textId="50687F5D" w:rsidR="00CC703E" w:rsidRDefault="00E37FDB">
      <w:pPr>
        <w:spacing w:after="0"/>
      </w:pPr>
      <w:r>
        <w:t xml:space="preserve">NATA relies on the advice of specialised technical auditors, drawn from a small pool, to review laboratory applications for NATA accreditation. However, auditors can only examine in detail a subset of tests, so although an audit may take two days, a specific test such as WSSV might not be audited. The NATA audit is a process audit that does not focus on specifics. This means that a laboratory can pass an audit provided the paperwork is in order, the inter-laboratory tests have been satisfactory and the staff training records are complete. A NATA audit is not designed to pick up </w:t>
      </w:r>
      <w:r w:rsidR="00ED3FC8">
        <w:t xml:space="preserve">any </w:t>
      </w:r>
      <w:r>
        <w:t xml:space="preserve">deliberate </w:t>
      </w:r>
      <w:r w:rsidR="00ED3FC8">
        <w:t xml:space="preserve">non-compliance </w:t>
      </w:r>
      <w:r>
        <w:t xml:space="preserve">and NATA has no power to discipline a laboratory other than the ultimate sanction of withdrawing accreditation. This situation has been exacerbated by the demise of the </w:t>
      </w:r>
      <w:r>
        <w:rPr>
          <w:lang w:val="en"/>
        </w:rPr>
        <w:t>Subcommittee on Animal Health Laboratory Standards (</w:t>
      </w:r>
      <w:r>
        <w:t>SCAHLS), a panel of national experts who provided another level of oversight on laboratory standards, including specific inter-laboratory diagnostic test evaluation and validation.</w:t>
      </w:r>
    </w:p>
    <w:p w14:paraId="7E234A12" w14:textId="77777777" w:rsidR="00CC703E" w:rsidRDefault="00E37FDB" w:rsidP="00C9053C">
      <w:pPr>
        <w:pStyle w:val="Heading4"/>
      </w:pPr>
      <w:r>
        <w:t>Proficiency testing of laboratories by ANQAP/LEADRR</w:t>
      </w:r>
    </w:p>
    <w:p w14:paraId="2ADD7D84" w14:textId="74CCBB95" w:rsidR="00CC703E" w:rsidRDefault="00E37FDB">
      <w:pPr>
        <w:spacing w:after="0"/>
      </w:pPr>
      <w:r>
        <w:t>An essential criterion for ISO/IEC 17025 accreditation is that the laboratory participate in a quality assurance program. Part of that program involves participation in inter-laboratory (ring) tests, where laboratories test unknown samples sent out by an independent testing authority to demonstrate their ability to correctly apply the test and achieve the required results. The department funded all the Australian laboratories involved in the WSSV testing program to undertake proficiency testing through the Australian National Quality Assurance Program (ANQAP)</w:t>
      </w:r>
      <w:r w:rsidR="00BA133D">
        <w:rPr>
          <w:vertAlign w:val="superscript"/>
        </w:rPr>
        <w:t>1</w:t>
      </w:r>
      <w:r w:rsidR="00820EF4">
        <w:rPr>
          <w:vertAlign w:val="superscript"/>
        </w:rPr>
        <w:t>7</w:t>
      </w:r>
      <w:r w:rsidR="00650D86">
        <w:rPr>
          <w:vertAlign w:val="superscript"/>
        </w:rPr>
        <w:t>0</w:t>
      </w:r>
      <w:r>
        <w:t>. However, ANQAP is a pass/fail system, with no opportunity to share experience between participants. The use of proficiency test panels provides some level of assurance on a laboratory’s system but only addresses the basics of laboratory diagnostic tests and does not provide for peer review and improvement.</w:t>
      </w:r>
    </w:p>
    <w:p w14:paraId="0E24F6DD" w14:textId="6D452D3A" w:rsidR="00CC703E" w:rsidRDefault="00E37FDB">
      <w:pPr>
        <w:spacing w:after="0"/>
        <w:rPr>
          <w:b/>
          <w:bCs/>
        </w:rPr>
      </w:pPr>
      <w:r>
        <w:lastRenderedPageBreak/>
        <w:t xml:space="preserve">For the highest priority diseases, a rigorous system of laboratory and test evaluation needs to be established so that </w:t>
      </w:r>
      <w:r w:rsidR="006E27E2">
        <w:t xml:space="preserve">national, </w:t>
      </w:r>
      <w:r>
        <w:t>state</w:t>
      </w:r>
      <w:r w:rsidR="006E27E2">
        <w:t xml:space="preserve"> and</w:t>
      </w:r>
      <w:r w:rsidR="008F65EF">
        <w:t xml:space="preserve"> territory</w:t>
      </w:r>
      <w:r>
        <w:t xml:space="preserve"> chief veterinary officers have the highest possible confidence in the results issued by diagnostic laboratories. </w:t>
      </w:r>
      <w:r w:rsidRPr="00C9053C">
        <w:t xml:space="preserve">Awareness of this need </w:t>
      </w:r>
      <w:r>
        <w:t xml:space="preserve">led to the formation of the </w:t>
      </w:r>
      <w:r>
        <w:rPr>
          <w:lang w:val="en"/>
        </w:rPr>
        <w:t xml:space="preserve">Laboratories </w:t>
      </w:r>
      <w:r w:rsidR="00C9053C">
        <w:rPr>
          <w:lang w:val="en"/>
        </w:rPr>
        <w:t xml:space="preserve">for </w:t>
      </w:r>
      <w:r>
        <w:rPr>
          <w:lang w:val="en"/>
        </w:rPr>
        <w:t>Emergency Animal Disease Diagnosis and Response network (</w:t>
      </w:r>
      <w:r>
        <w:t>LEADDR</w:t>
      </w:r>
      <w:r>
        <w:rPr>
          <w:lang w:val="en"/>
        </w:rPr>
        <w:t xml:space="preserve">) in early 2009. The network is managed by AAHL and aims to standardise or harmonise routine frontline testing for a number of targeted terrestrial and aquatic diseases through ANQAP or its own programs. LEADDR has targeted WSSV in the past. Currently, the network consists of all government animal health laboratories and AAHL. Commercial laboratories were not included, which may account for the </w:t>
      </w:r>
      <w:r w:rsidR="009E6841">
        <w:rPr>
          <w:lang w:val="en"/>
        </w:rPr>
        <w:t xml:space="preserve">past </w:t>
      </w:r>
      <w:r>
        <w:rPr>
          <w:lang w:val="en"/>
        </w:rPr>
        <w:t xml:space="preserve">similarities in AAHL and EMAI test results and the variations in results from the </w:t>
      </w:r>
      <w:r w:rsidR="009E6841">
        <w:rPr>
          <w:lang w:val="en"/>
        </w:rPr>
        <w:t>private</w:t>
      </w:r>
      <w:r>
        <w:rPr>
          <w:lang w:val="en"/>
        </w:rPr>
        <w:t xml:space="preserve"> laboratories.</w:t>
      </w:r>
    </w:p>
    <w:p w14:paraId="3B1F41D2" w14:textId="11E4EBB4" w:rsidR="00CC703E" w:rsidRDefault="00E37FDB">
      <w:pPr>
        <w:spacing w:after="0"/>
      </w:pPr>
      <w:r>
        <w:t>Neither the NATA audit system nor the proficiency testing programs will detect deliberate non-compliance. The department, in collaboration with NATA, needs to take a stronger role in oversighting the QA arrangements of the laboratories that it approves to carry out import testing.</w:t>
      </w:r>
    </w:p>
    <w:p w14:paraId="392CDE58" w14:textId="77777777" w:rsidR="00CC703E" w:rsidRDefault="00E37FDB" w:rsidP="00CF2678">
      <w:pPr>
        <w:pStyle w:val="Heading3"/>
        <w:numPr>
          <w:ilvl w:val="0"/>
          <w:numId w:val="0"/>
        </w:numPr>
        <w:pBdr>
          <w:top w:val="single" w:sz="4" w:space="1" w:color="auto"/>
          <w:left w:val="single" w:sz="4" w:space="1" w:color="auto"/>
          <w:bottom w:val="single" w:sz="4" w:space="1" w:color="auto"/>
          <w:right w:val="single" w:sz="4" w:space="1" w:color="auto"/>
        </w:pBdr>
        <w:ind w:left="794" w:hanging="794"/>
      </w:pPr>
      <w:bookmarkStart w:id="317" w:name="_Toc499132675"/>
      <w:bookmarkStart w:id="318" w:name="_Toc499963195"/>
      <w:bookmarkStart w:id="319" w:name="_Toc500162501"/>
      <w:bookmarkStart w:id="320" w:name="_Toc500238758"/>
      <w:bookmarkStart w:id="321" w:name="_Toc500508443"/>
      <w:r>
        <w:t xml:space="preserve">Recommendation </w:t>
      </w:r>
      <w:r w:rsidRPr="00E37FDB">
        <w:fldChar w:fldCharType="begin"/>
      </w:r>
      <w:r>
        <w:instrText xml:space="preserve"> SEQ Recommendation \* ARABIC </w:instrText>
      </w:r>
      <w:r w:rsidRPr="00E37FDB">
        <w:fldChar w:fldCharType="separate"/>
      </w:r>
      <w:r w:rsidR="00121BC1">
        <w:rPr>
          <w:noProof/>
        </w:rPr>
        <w:t>18</w:t>
      </w:r>
      <w:bookmarkEnd w:id="317"/>
      <w:bookmarkEnd w:id="318"/>
      <w:bookmarkEnd w:id="319"/>
      <w:bookmarkEnd w:id="320"/>
      <w:bookmarkEnd w:id="321"/>
      <w:r w:rsidRPr="00E37FDB">
        <w:rPr>
          <w:noProof/>
        </w:rPr>
        <w:fldChar w:fldCharType="end"/>
      </w:r>
    </w:p>
    <w:p w14:paraId="095AB3A2" w14:textId="1AE60C51" w:rsidR="00CC703E" w:rsidRDefault="009F5732" w:rsidP="00CF2678">
      <w:pPr>
        <w:pBdr>
          <w:top w:val="single" w:sz="4" w:space="1" w:color="auto"/>
          <w:left w:val="single" w:sz="4" w:space="1" w:color="auto"/>
          <w:bottom w:val="single" w:sz="4" w:space="1" w:color="auto"/>
          <w:right w:val="single" w:sz="4" w:space="1" w:color="auto"/>
        </w:pBdr>
        <w:tabs>
          <w:tab w:val="clear" w:pos="567"/>
        </w:tabs>
        <w:spacing w:before="0" w:after="0"/>
        <w:rPr>
          <w:b/>
          <w:szCs w:val="24"/>
        </w:rPr>
      </w:pPr>
      <w:r w:rsidRPr="009F5732">
        <w:rPr>
          <w:szCs w:val="24"/>
        </w:rPr>
        <w:t>The department should, in collaboration with National Association of Testing Authorities, oversight the performance of import testing laboratories in quality assurance programs. This should include regular proficiency testing and assessment of control samples distributed among the laboratory network, with means to ensure that laboratories rectify any identified deficiencies in a reasonable period of time.</w:t>
      </w:r>
    </w:p>
    <w:p w14:paraId="77AA0346" w14:textId="21DC4A08" w:rsidR="00CC703E" w:rsidRPr="005A1031" w:rsidRDefault="00E37FDB" w:rsidP="00CF2678">
      <w:pPr>
        <w:pBdr>
          <w:top w:val="single" w:sz="4" w:space="1" w:color="auto"/>
          <w:left w:val="single" w:sz="4" w:space="1" w:color="auto"/>
          <w:bottom w:val="single" w:sz="4" w:space="1" w:color="auto"/>
          <w:right w:val="single" w:sz="4" w:space="1" w:color="auto"/>
        </w:pBdr>
      </w:pPr>
      <w:r>
        <w:rPr>
          <w:b/>
        </w:rPr>
        <w:t>Department’s response:</w:t>
      </w:r>
      <w:r w:rsidR="005A1031">
        <w:t xml:space="preserve"> </w:t>
      </w:r>
      <w:r w:rsidR="005A1031" w:rsidRPr="005A1031">
        <w:t>Agree. Implementation is well progressed.</w:t>
      </w:r>
    </w:p>
    <w:p w14:paraId="1BE02B30" w14:textId="36D19EF3" w:rsidR="007E59D5" w:rsidRDefault="00E37FDB">
      <w:pPr>
        <w:tabs>
          <w:tab w:val="clear" w:pos="567"/>
        </w:tabs>
        <w:spacing w:before="240" w:after="0"/>
        <w:rPr>
          <w:lang w:val="en"/>
        </w:rPr>
      </w:pPr>
      <w:r>
        <w:rPr>
          <w:lang w:val="en"/>
        </w:rPr>
        <w:t>Diagnostic test interpretation rightly resides with the diagnostic specialists in the diagnostic laboratories. However, in the absence of a suitable national body, little effort was made to ensure the laboratories agreed on the definitions for negative and positive results and their confirmation—particularly with regard to molecular tests for the detection of WSSV. This oversight role used to be filled by SCAHLS. Peer review is crucial to achieving high levels of technical specification consistent with scientific best practice and developments. As noted in section 4.4</w:t>
      </w:r>
      <w:r w:rsidR="00E03632">
        <w:rPr>
          <w:lang w:val="en"/>
        </w:rPr>
        <w:t xml:space="preserve"> of this report</w:t>
      </w:r>
      <w:r>
        <w:rPr>
          <w:lang w:val="en"/>
        </w:rPr>
        <w:t xml:space="preserve">, the Animal Health Committee has now formed a National Laboratory Task Group and a Sub-committee on Aquatic Animal Health. </w:t>
      </w:r>
      <w:r w:rsidR="00735C33" w:rsidRPr="00735C33">
        <w:rPr>
          <w:lang w:val="en"/>
        </w:rPr>
        <w:t>Representatives of both these bodies should be tasked to review and update the current (but out-of-date) Australian and New Zealand standard diagnostic procedure for WSSV</w:t>
      </w:r>
      <w:r w:rsidR="007404CB">
        <w:rPr>
          <w:lang w:val="en"/>
        </w:rPr>
        <w:t>.</w:t>
      </w:r>
      <w:r w:rsidR="00735C33" w:rsidRPr="00735C33">
        <w:rPr>
          <w:lang w:val="en"/>
        </w:rPr>
        <w:t xml:space="preserve"> </w:t>
      </w:r>
      <w:r w:rsidR="007404CB">
        <w:rPr>
          <w:lang w:val="en"/>
        </w:rPr>
        <w:t>This should include</w:t>
      </w:r>
      <w:r w:rsidR="00735C33" w:rsidRPr="00735C33">
        <w:rPr>
          <w:lang w:val="en"/>
        </w:rPr>
        <w:t xml:space="preserve"> peer-review</w:t>
      </w:r>
      <w:r w:rsidR="007404CB">
        <w:rPr>
          <w:lang w:val="en"/>
        </w:rPr>
        <w:t>ing</w:t>
      </w:r>
      <w:r w:rsidR="00735C33" w:rsidRPr="00735C33">
        <w:rPr>
          <w:lang w:val="en"/>
        </w:rPr>
        <w:t xml:space="preserve"> the department’s recently issued </w:t>
      </w:r>
      <w:r w:rsidR="007404CB" w:rsidRPr="00711CA0">
        <w:rPr>
          <w:i/>
          <w:lang w:val="en"/>
        </w:rPr>
        <w:t>P</w:t>
      </w:r>
      <w:r w:rsidR="00735C33" w:rsidRPr="00711CA0">
        <w:rPr>
          <w:i/>
          <w:lang w:val="en"/>
        </w:rPr>
        <w:t>rocedure</w:t>
      </w:r>
      <w:r w:rsidR="007404CB" w:rsidRPr="00711CA0">
        <w:rPr>
          <w:i/>
          <w:lang w:val="en"/>
        </w:rPr>
        <w:t xml:space="preserve"> for detection of </w:t>
      </w:r>
      <w:r w:rsidR="00626988">
        <w:rPr>
          <w:i/>
          <w:lang w:val="en"/>
        </w:rPr>
        <w:t>white spot syndrome virus</w:t>
      </w:r>
      <w:r w:rsidR="007404CB" w:rsidRPr="00711CA0">
        <w:rPr>
          <w:i/>
          <w:lang w:val="en"/>
        </w:rPr>
        <w:t xml:space="preserve"> for biosecurity risk management</w:t>
      </w:r>
      <w:r w:rsidR="00711CA0">
        <w:rPr>
          <w:lang w:val="en"/>
        </w:rPr>
        <w:t xml:space="preserve">. </w:t>
      </w:r>
      <w:r w:rsidR="007E59D5">
        <w:rPr>
          <w:lang w:val="en"/>
        </w:rPr>
        <w:t>The same bodies could contribute to stronger national oversight, informed by</w:t>
      </w:r>
      <w:r w:rsidR="007E59D5">
        <w:t xml:space="preserve"> specialised and rapidly evolving scientific knowledge,</w:t>
      </w:r>
      <w:r w:rsidR="007E59D5">
        <w:rPr>
          <w:lang w:val="en"/>
        </w:rPr>
        <w:t xml:space="preserve"> of </w:t>
      </w:r>
      <w:r w:rsidR="007E59D5">
        <w:t>aquatic animal health laboratory standards more generally.</w:t>
      </w:r>
    </w:p>
    <w:p w14:paraId="221D5CFD" w14:textId="77777777" w:rsidR="00CC703E" w:rsidRDefault="00E37FDB" w:rsidP="00CF2678">
      <w:pPr>
        <w:pStyle w:val="Heading3"/>
        <w:numPr>
          <w:ilvl w:val="0"/>
          <w:numId w:val="0"/>
        </w:numPr>
        <w:pBdr>
          <w:top w:val="single" w:sz="4" w:space="1" w:color="auto"/>
          <w:left w:val="single" w:sz="4" w:space="1" w:color="auto"/>
          <w:bottom w:val="single" w:sz="4" w:space="1" w:color="auto"/>
          <w:right w:val="single" w:sz="4" w:space="1" w:color="auto"/>
        </w:pBdr>
        <w:ind w:left="794" w:hanging="794"/>
      </w:pPr>
      <w:bookmarkStart w:id="322" w:name="_Toc499132676"/>
      <w:bookmarkStart w:id="323" w:name="_Toc499963196"/>
      <w:bookmarkStart w:id="324" w:name="_Toc500162502"/>
      <w:bookmarkStart w:id="325" w:name="_Toc500238759"/>
      <w:bookmarkStart w:id="326" w:name="_Toc500508444"/>
      <w:r>
        <w:t xml:space="preserve">Recommendation </w:t>
      </w:r>
      <w:r w:rsidR="00F329C0">
        <w:fldChar w:fldCharType="begin"/>
      </w:r>
      <w:r w:rsidR="00F329C0">
        <w:instrText xml:space="preserve"> SEQ Recommendation \* ARABIC </w:instrText>
      </w:r>
      <w:r w:rsidR="00F329C0">
        <w:fldChar w:fldCharType="separate"/>
      </w:r>
      <w:r w:rsidR="00121BC1">
        <w:rPr>
          <w:noProof/>
        </w:rPr>
        <w:t>19</w:t>
      </w:r>
      <w:bookmarkEnd w:id="322"/>
      <w:bookmarkEnd w:id="323"/>
      <w:bookmarkEnd w:id="324"/>
      <w:bookmarkEnd w:id="325"/>
      <w:bookmarkEnd w:id="326"/>
      <w:r w:rsidR="00F329C0">
        <w:rPr>
          <w:noProof/>
        </w:rPr>
        <w:fldChar w:fldCharType="end"/>
      </w:r>
    </w:p>
    <w:p w14:paraId="5B850783" w14:textId="39D117D4" w:rsidR="00CC703E" w:rsidRDefault="009F5732" w:rsidP="00CF2678">
      <w:pPr>
        <w:pBdr>
          <w:top w:val="single" w:sz="4" w:space="1" w:color="auto"/>
          <w:left w:val="single" w:sz="4" w:space="1" w:color="auto"/>
          <w:bottom w:val="single" w:sz="4" w:space="1" w:color="auto"/>
          <w:right w:val="single" w:sz="4" w:space="1" w:color="auto"/>
        </w:pBdr>
        <w:tabs>
          <w:tab w:val="clear" w:pos="567"/>
        </w:tabs>
        <w:spacing w:before="0" w:after="0"/>
        <w:rPr>
          <w:szCs w:val="24"/>
        </w:rPr>
      </w:pPr>
      <w:r w:rsidRPr="009F5732">
        <w:rPr>
          <w:szCs w:val="24"/>
        </w:rPr>
        <w:t xml:space="preserve">The department should promote </w:t>
      </w:r>
      <w:r w:rsidR="00735C33" w:rsidRPr="00735C33">
        <w:rPr>
          <w:szCs w:val="24"/>
        </w:rPr>
        <w:t>an update of the old</w:t>
      </w:r>
      <w:r w:rsidRPr="009F5732">
        <w:rPr>
          <w:szCs w:val="24"/>
        </w:rPr>
        <w:t xml:space="preserve"> Australian and New Zealand standard diagnostic procedure for white spot syndrome virus</w:t>
      </w:r>
      <w:r w:rsidR="00735C33">
        <w:rPr>
          <w:szCs w:val="24"/>
        </w:rPr>
        <w:t xml:space="preserve"> </w:t>
      </w:r>
      <w:r w:rsidR="003708EA">
        <w:rPr>
          <w:szCs w:val="24"/>
        </w:rPr>
        <w:t xml:space="preserve">including peer review of </w:t>
      </w:r>
      <w:r w:rsidR="00735C33" w:rsidRPr="00735C33">
        <w:rPr>
          <w:szCs w:val="24"/>
        </w:rPr>
        <w:t xml:space="preserve">the new </w:t>
      </w:r>
      <w:r w:rsidR="00626988" w:rsidRPr="00626988">
        <w:rPr>
          <w:i/>
          <w:lang w:val="en"/>
        </w:rPr>
        <w:t xml:space="preserve">Procedure for detection of white spot syndrome virus for biosecurity </w:t>
      </w:r>
      <w:r w:rsidR="00626988" w:rsidRPr="00626988">
        <w:rPr>
          <w:i/>
          <w:lang w:val="en"/>
        </w:rPr>
        <w:lastRenderedPageBreak/>
        <w:t>risk management</w:t>
      </w:r>
      <w:r w:rsidRPr="009F5732">
        <w:rPr>
          <w:szCs w:val="24"/>
        </w:rPr>
        <w:t xml:space="preserve">. This should be conducted by a suitably resourced national technical </w:t>
      </w:r>
      <w:r w:rsidR="003708EA">
        <w:rPr>
          <w:szCs w:val="24"/>
        </w:rPr>
        <w:t>group</w:t>
      </w:r>
      <w:r w:rsidRPr="009F5732">
        <w:rPr>
          <w:szCs w:val="24"/>
        </w:rPr>
        <w:t xml:space="preserve"> formed from the </w:t>
      </w:r>
      <w:r w:rsidR="003708EA" w:rsidRPr="009F5732">
        <w:rPr>
          <w:szCs w:val="24"/>
        </w:rPr>
        <w:t xml:space="preserve">Animal Health Committee’s </w:t>
      </w:r>
      <w:r w:rsidRPr="009F5732">
        <w:rPr>
          <w:szCs w:val="24"/>
        </w:rPr>
        <w:t>National Laboratory Task Group and Sub-Committee on Aquatic Animal Health.</w:t>
      </w:r>
    </w:p>
    <w:p w14:paraId="197E0FDF" w14:textId="06E171AF" w:rsidR="00CC703E" w:rsidRPr="005A1031" w:rsidRDefault="00E37FDB" w:rsidP="00CF2678">
      <w:pPr>
        <w:pBdr>
          <w:top w:val="single" w:sz="4" w:space="1" w:color="auto"/>
          <w:left w:val="single" w:sz="4" w:space="1" w:color="auto"/>
          <w:bottom w:val="single" w:sz="4" w:space="1" w:color="auto"/>
          <w:right w:val="single" w:sz="4" w:space="1" w:color="auto"/>
        </w:pBdr>
      </w:pPr>
      <w:r>
        <w:rPr>
          <w:b/>
        </w:rPr>
        <w:t>Department’s response:</w:t>
      </w:r>
      <w:r w:rsidR="005A1031">
        <w:t xml:space="preserve"> </w:t>
      </w:r>
      <w:r w:rsidR="005A1031" w:rsidRPr="005A1031">
        <w:t>Agree. Implementation is progressing</w:t>
      </w:r>
      <w:r w:rsidR="005A1031">
        <w:t>.</w:t>
      </w:r>
    </w:p>
    <w:p w14:paraId="1433AB57" w14:textId="534EEEED" w:rsidR="00CC703E" w:rsidRDefault="00E37FDB" w:rsidP="00436229">
      <w:pPr>
        <w:pStyle w:val="Heading2"/>
      </w:pPr>
      <w:bookmarkStart w:id="327" w:name="_Toc491784142"/>
      <w:bookmarkStart w:id="328" w:name="_Toc500508445"/>
      <w:r>
        <w:lastRenderedPageBreak/>
        <w:t>Future post-border biosecurity—implementing a shared responsibility</w:t>
      </w:r>
      <w:bookmarkEnd w:id="327"/>
      <w:bookmarkEnd w:id="328"/>
    </w:p>
    <w:p w14:paraId="1D40ED78" w14:textId="77777777" w:rsidR="00CC703E" w:rsidRPr="00436229" w:rsidRDefault="00E37FDB" w:rsidP="00436229">
      <w:pPr>
        <w:pStyle w:val="Heading3"/>
        <w:rPr>
          <w:rStyle w:val="Heading3Char"/>
          <w:rFonts w:eastAsia="Calibri"/>
          <w:b/>
          <w:bCs/>
        </w:rPr>
      </w:pPr>
      <w:bookmarkStart w:id="329" w:name="_Toc490040539"/>
      <w:bookmarkStart w:id="330" w:name="_Toc500508446"/>
      <w:bookmarkStart w:id="331" w:name="_Toc491784143"/>
      <w:r w:rsidRPr="00436229">
        <w:rPr>
          <w:rStyle w:val="Heading3Char"/>
          <w:rFonts w:eastAsia="Calibri"/>
          <w:b/>
          <w:bCs/>
        </w:rPr>
        <w:t>Stronger network of aquatic animal disease expertise</w:t>
      </w:r>
      <w:bookmarkEnd w:id="329"/>
      <w:bookmarkEnd w:id="330"/>
    </w:p>
    <w:p w14:paraId="5EE2C54C" w14:textId="77777777" w:rsidR="00CC703E" w:rsidRPr="00476B9F" w:rsidRDefault="00E37FDB" w:rsidP="00436229">
      <w:pPr>
        <w:pStyle w:val="Heading4"/>
      </w:pPr>
      <w:r w:rsidRPr="00476B9F">
        <w:t>Other Australian laboratories carrying out WSSV testing—past and potential roles</w:t>
      </w:r>
    </w:p>
    <w:p w14:paraId="57583179" w14:textId="49C769FB" w:rsidR="00E03632" w:rsidRDefault="00E37FDB">
      <w:pPr>
        <w:spacing w:after="0"/>
        <w:rPr>
          <w:szCs w:val="24"/>
        </w:rPr>
      </w:pPr>
      <w:r>
        <w:rPr>
          <w:szCs w:val="24"/>
        </w:rPr>
        <w:t xml:space="preserve">The department </w:t>
      </w:r>
      <w:r w:rsidR="00E03632">
        <w:rPr>
          <w:szCs w:val="24"/>
        </w:rPr>
        <w:t xml:space="preserve">approves government and selected private laboratories to carry out </w:t>
      </w:r>
      <w:r w:rsidR="00A323F8">
        <w:rPr>
          <w:szCs w:val="24"/>
        </w:rPr>
        <w:t xml:space="preserve">import </w:t>
      </w:r>
      <w:r w:rsidR="00E03632">
        <w:rPr>
          <w:szCs w:val="24"/>
        </w:rPr>
        <w:t xml:space="preserve">testing for exotic agents such as WSSV, according to stringent biosecurity and technical criteria, and </w:t>
      </w:r>
      <w:r>
        <w:rPr>
          <w:szCs w:val="24"/>
        </w:rPr>
        <w:t>generally discourages testing for diseases exotic to Australia</w:t>
      </w:r>
      <w:r w:rsidR="0095120F">
        <w:rPr>
          <w:szCs w:val="24"/>
        </w:rPr>
        <w:t xml:space="preserve"> by non-approved laboratories</w:t>
      </w:r>
      <w:r>
        <w:rPr>
          <w:szCs w:val="24"/>
        </w:rPr>
        <w:t>. It routinely refers suspect exotic disease cases to AAHL, which is funded f</w:t>
      </w:r>
      <w:r w:rsidR="00B13F4E">
        <w:rPr>
          <w:szCs w:val="24"/>
        </w:rPr>
        <w:t>or that work by the department.</w:t>
      </w:r>
    </w:p>
    <w:p w14:paraId="3CB7D0FF" w14:textId="43436851" w:rsidR="00CC703E" w:rsidRDefault="00E37FDB">
      <w:pPr>
        <w:spacing w:after="0"/>
        <w:rPr>
          <w:szCs w:val="24"/>
        </w:rPr>
      </w:pPr>
      <w:r>
        <w:rPr>
          <w:szCs w:val="24"/>
        </w:rPr>
        <w:t xml:space="preserve">Sound biocontainment and trade issues underpin this policy. It was </w:t>
      </w:r>
      <w:r w:rsidR="0095120F">
        <w:rPr>
          <w:szCs w:val="24"/>
        </w:rPr>
        <w:t xml:space="preserve">originally </w:t>
      </w:r>
      <w:r>
        <w:rPr>
          <w:szCs w:val="24"/>
        </w:rPr>
        <w:t>developed with culture-based testing in mind rather than molecular testing, which looks for traces of DNA and does not culture live organisms. However, state government veterinary laboratories, which carry out surveillance for endemic diseases, also require capability to diagnose exotic diseases. Although Australia claimed freedom from WSD, the virus was found in product that could be bought in Australian supermarkets until at least 2007, was known by aquatic disease specialists to occur in supermarkets from 2007 to 2016, and was tested for in Australian university and government laboratories other than those approved to carry out import testing</w:t>
      </w:r>
      <w:r w:rsidR="006B015A">
        <w:rPr>
          <w:szCs w:val="24"/>
          <w:vertAlign w:val="superscript"/>
        </w:rPr>
        <w:t>1</w:t>
      </w:r>
      <w:r w:rsidR="00650D86">
        <w:rPr>
          <w:szCs w:val="24"/>
          <w:vertAlign w:val="superscript"/>
        </w:rPr>
        <w:t>71</w:t>
      </w:r>
      <w:r>
        <w:rPr>
          <w:szCs w:val="24"/>
        </w:rPr>
        <w:t>.</w:t>
      </w:r>
    </w:p>
    <w:p w14:paraId="7C988CBE" w14:textId="48FF128C" w:rsidR="005F432D" w:rsidRDefault="00E37FDB">
      <w:pPr>
        <w:spacing w:after="0"/>
        <w:rPr>
          <w:rFonts w:cs="Arial"/>
        </w:rPr>
      </w:pPr>
      <w:r w:rsidRPr="00B13F4E">
        <w:rPr>
          <w:szCs w:val="24"/>
        </w:rPr>
        <w:t xml:space="preserve">A similar situation occurred in </w:t>
      </w:r>
      <w:r w:rsidR="0095120F" w:rsidRPr="00B13F4E">
        <w:rPr>
          <w:szCs w:val="24"/>
        </w:rPr>
        <w:t xml:space="preserve">1993 </w:t>
      </w:r>
      <w:r w:rsidRPr="00B13F4E">
        <w:rPr>
          <w:szCs w:val="24"/>
        </w:rPr>
        <w:t>with gourami iridovirus. Ornamental fish infected with the virus were readily available in Australian pet shops despite the viral disease being considered exotic to Australia. As a result, there were a number of instances of Australian laboratories testing for both WSSV and gourami iridovirus</w:t>
      </w:r>
      <w:r w:rsidR="006B015A">
        <w:rPr>
          <w:szCs w:val="24"/>
          <w:vertAlign w:val="superscript"/>
        </w:rPr>
        <w:t>1</w:t>
      </w:r>
      <w:r w:rsidR="00650D86">
        <w:rPr>
          <w:szCs w:val="24"/>
          <w:vertAlign w:val="superscript"/>
        </w:rPr>
        <w:t>72</w:t>
      </w:r>
      <w:r w:rsidR="007773CD">
        <w:rPr>
          <w:szCs w:val="24"/>
          <w:vertAlign w:val="superscript"/>
        </w:rPr>
        <w:t>,</w:t>
      </w:r>
      <w:r w:rsidR="002B16DB">
        <w:rPr>
          <w:szCs w:val="24"/>
          <w:vertAlign w:val="superscript"/>
        </w:rPr>
        <w:t xml:space="preserve"> </w:t>
      </w:r>
      <w:r w:rsidR="006B015A">
        <w:rPr>
          <w:szCs w:val="24"/>
          <w:vertAlign w:val="superscript"/>
        </w:rPr>
        <w:t>1</w:t>
      </w:r>
      <w:r w:rsidR="00820EF4">
        <w:rPr>
          <w:szCs w:val="24"/>
          <w:vertAlign w:val="superscript"/>
        </w:rPr>
        <w:t>7</w:t>
      </w:r>
      <w:r w:rsidR="00650D86">
        <w:rPr>
          <w:szCs w:val="24"/>
          <w:vertAlign w:val="superscript"/>
        </w:rPr>
        <w:t>3</w:t>
      </w:r>
      <w:r w:rsidRPr="00B13F4E">
        <w:rPr>
          <w:szCs w:val="24"/>
        </w:rPr>
        <w:t xml:space="preserve">. </w:t>
      </w:r>
      <w:r w:rsidR="0031053B">
        <w:rPr>
          <w:szCs w:val="24"/>
        </w:rPr>
        <w:t>T</w:t>
      </w:r>
      <w:r w:rsidRPr="00B13F4E">
        <w:rPr>
          <w:szCs w:val="24"/>
        </w:rPr>
        <w:t>he policy of allowing certain laboratories with both ISO/IEC 17025 accreditation and QAP status to test for th</w:t>
      </w:r>
      <w:r w:rsidR="00A323F8">
        <w:rPr>
          <w:szCs w:val="24"/>
        </w:rPr>
        <w:t>ese</w:t>
      </w:r>
      <w:r w:rsidRPr="00B13F4E">
        <w:rPr>
          <w:szCs w:val="24"/>
        </w:rPr>
        <w:t xml:space="preserve"> exotic </w:t>
      </w:r>
      <w:r w:rsidR="00AC255C">
        <w:rPr>
          <w:szCs w:val="24"/>
        </w:rPr>
        <w:t>virus</w:t>
      </w:r>
      <w:r w:rsidR="00A323F8">
        <w:rPr>
          <w:szCs w:val="24"/>
        </w:rPr>
        <w:t>es</w:t>
      </w:r>
      <w:r w:rsidRPr="00B13F4E">
        <w:rPr>
          <w:szCs w:val="24"/>
        </w:rPr>
        <w:t xml:space="preserve"> undermined the </w:t>
      </w:r>
      <w:r w:rsidR="00AC255C">
        <w:rPr>
          <w:szCs w:val="24"/>
        </w:rPr>
        <w:t>‘</w:t>
      </w:r>
      <w:r w:rsidRPr="00B13F4E">
        <w:rPr>
          <w:szCs w:val="24"/>
        </w:rPr>
        <w:t>no exotic disease testing</w:t>
      </w:r>
      <w:r w:rsidR="00AC255C">
        <w:rPr>
          <w:szCs w:val="24"/>
        </w:rPr>
        <w:t>’</w:t>
      </w:r>
      <w:r w:rsidRPr="00B13F4E">
        <w:rPr>
          <w:szCs w:val="24"/>
        </w:rPr>
        <w:t xml:space="preserve"> policy.</w:t>
      </w:r>
      <w:r w:rsidR="008B0A53" w:rsidRPr="00B13F4E">
        <w:rPr>
          <w:szCs w:val="24"/>
        </w:rPr>
        <w:t xml:space="preserve"> In addition, with the development of the LEADDR (</w:t>
      </w:r>
      <w:r w:rsidR="008B0A53" w:rsidRPr="00B13F4E">
        <w:rPr>
          <w:rFonts w:cs="Arial"/>
          <w:bCs/>
        </w:rPr>
        <w:t>Laboratories</w:t>
      </w:r>
      <w:r w:rsidR="008B0A53" w:rsidRPr="00B13F4E">
        <w:rPr>
          <w:rFonts w:cs="Arial"/>
        </w:rPr>
        <w:t xml:space="preserve"> for Emergency Animal </w:t>
      </w:r>
      <w:r w:rsidR="008B0A53" w:rsidRPr="00B13F4E">
        <w:rPr>
          <w:rFonts w:cs="Arial"/>
          <w:bCs/>
        </w:rPr>
        <w:t>Disease Diagnosis</w:t>
      </w:r>
      <w:r w:rsidR="008B0A53" w:rsidRPr="00B13F4E">
        <w:rPr>
          <w:rFonts w:cs="Arial"/>
        </w:rPr>
        <w:t xml:space="preserve"> and Response) network, testing for specified exotic diseases amongst government laboratories is facilitated. </w:t>
      </w:r>
      <w:r w:rsidR="00A323F8">
        <w:rPr>
          <w:rFonts w:cs="Arial"/>
        </w:rPr>
        <w:t xml:space="preserve">It may be appropriate for </w:t>
      </w:r>
      <w:r w:rsidR="00AC255C">
        <w:rPr>
          <w:rFonts w:cs="Arial"/>
        </w:rPr>
        <w:t>Animal Health Committee and t</w:t>
      </w:r>
      <w:r w:rsidR="00A323F8">
        <w:rPr>
          <w:rFonts w:cs="Arial"/>
        </w:rPr>
        <w:t>he department</w:t>
      </w:r>
      <w:r w:rsidR="00AC255C">
        <w:rPr>
          <w:rFonts w:cs="Arial"/>
        </w:rPr>
        <w:t xml:space="preserve"> to review</w:t>
      </w:r>
      <w:r w:rsidR="005F432D">
        <w:rPr>
          <w:rFonts w:cs="Arial"/>
        </w:rPr>
        <w:t xml:space="preserve"> </w:t>
      </w:r>
      <w:r w:rsidR="00AC255C">
        <w:rPr>
          <w:rFonts w:cs="Arial"/>
        </w:rPr>
        <w:t xml:space="preserve">relevant </w:t>
      </w:r>
      <w:r w:rsidR="005F432D">
        <w:rPr>
          <w:rFonts w:cs="Arial"/>
        </w:rPr>
        <w:t xml:space="preserve">policy guidelines </w:t>
      </w:r>
      <w:r w:rsidR="00A323F8">
        <w:rPr>
          <w:rFonts w:cs="Arial"/>
        </w:rPr>
        <w:t>on</w:t>
      </w:r>
      <w:r w:rsidR="00AC255C">
        <w:rPr>
          <w:rFonts w:cs="Arial"/>
        </w:rPr>
        <w:t xml:space="preserve"> </w:t>
      </w:r>
      <w:r w:rsidR="005F432D">
        <w:rPr>
          <w:rFonts w:cs="Arial"/>
        </w:rPr>
        <w:t>testing f</w:t>
      </w:r>
      <w:r w:rsidR="00A323F8">
        <w:rPr>
          <w:rFonts w:cs="Arial"/>
        </w:rPr>
        <w:t>or</w:t>
      </w:r>
      <w:r w:rsidR="005F432D">
        <w:rPr>
          <w:rFonts w:cs="Arial"/>
        </w:rPr>
        <w:t xml:space="preserve"> exotic diseases in Australia</w:t>
      </w:r>
      <w:r w:rsidR="00A323F8">
        <w:rPr>
          <w:rFonts w:cs="Arial"/>
        </w:rPr>
        <w:t>, taking account of these variations</w:t>
      </w:r>
      <w:r w:rsidR="005F432D">
        <w:rPr>
          <w:rFonts w:cs="Arial"/>
        </w:rPr>
        <w:t>.</w:t>
      </w:r>
    </w:p>
    <w:p w14:paraId="72D99F0D" w14:textId="7318B9DB" w:rsidR="00CC703E" w:rsidRPr="00B13F4E" w:rsidRDefault="008B0A53">
      <w:pPr>
        <w:spacing w:after="0"/>
        <w:rPr>
          <w:szCs w:val="24"/>
        </w:rPr>
      </w:pPr>
      <w:r w:rsidRPr="00B13F4E">
        <w:rPr>
          <w:rFonts w:cs="Arial"/>
        </w:rPr>
        <w:t>There is a real shortage of expertise and experience in aquatic diseases in Australia</w:t>
      </w:r>
      <w:r w:rsidRPr="00B13F4E">
        <w:rPr>
          <w:szCs w:val="24"/>
        </w:rPr>
        <w:t>, particularly those affecting prawn</w:t>
      </w:r>
      <w:r w:rsidR="007E0A6D">
        <w:rPr>
          <w:szCs w:val="24"/>
        </w:rPr>
        <w:t>s</w:t>
      </w:r>
      <w:r w:rsidR="00DA6661">
        <w:rPr>
          <w:szCs w:val="24"/>
          <w:vertAlign w:val="superscript"/>
        </w:rPr>
        <w:t>17</w:t>
      </w:r>
      <w:r w:rsidR="00650D86">
        <w:rPr>
          <w:szCs w:val="24"/>
          <w:vertAlign w:val="superscript"/>
        </w:rPr>
        <w:t>4</w:t>
      </w:r>
      <w:r w:rsidR="007E0A6D">
        <w:rPr>
          <w:szCs w:val="24"/>
        </w:rPr>
        <w:t xml:space="preserve"> </w:t>
      </w:r>
      <w:r w:rsidRPr="00B13F4E">
        <w:rPr>
          <w:rFonts w:cs="Arial"/>
        </w:rPr>
        <w:t xml:space="preserve">and much of that experience resides outside of the government system. </w:t>
      </w:r>
      <w:r w:rsidRPr="00B13F4E">
        <w:t xml:space="preserve">While the government laboratories undoubtedly have excellent skills and facilities, they were very stretched in dealing with the WSD outbreak and post-border prawn withdrawal program. A greater effort by the department to engage with specialists in the university sector (who had both the skills and equipment to carry out WSSV testing) </w:t>
      </w:r>
      <w:r w:rsidR="00A323F8">
        <w:t>c</w:t>
      </w:r>
      <w:r w:rsidRPr="00B13F4E">
        <w:t>ould have been helpful in mobilising a wider group of experts to examine the problems. Knowledge of the whereabouts of such expertise can be readily obtained through SCAAH or the FRDC.</w:t>
      </w:r>
    </w:p>
    <w:p w14:paraId="57B39A00" w14:textId="77777777" w:rsidR="00CC703E" w:rsidRDefault="00E37FDB" w:rsidP="0087638C">
      <w:pPr>
        <w:pStyle w:val="Heading4"/>
      </w:pPr>
      <w:r>
        <w:lastRenderedPageBreak/>
        <w:t>Science needs</w:t>
      </w:r>
    </w:p>
    <w:p w14:paraId="2027D62E" w14:textId="270E68C4" w:rsidR="00CC703E" w:rsidRDefault="00E37FDB">
      <w:pPr>
        <w:spacing w:after="0"/>
        <w:rPr>
          <w:szCs w:val="24"/>
        </w:rPr>
      </w:pPr>
      <w:r>
        <w:rPr>
          <w:szCs w:val="24"/>
        </w:rPr>
        <w:t>Australia’s fisheries/aquaculture sector makes a significant contribution to export earnings and job creation, especially in regional Australia. These industries are vital to our future prosperity.</w:t>
      </w:r>
      <w:r w:rsidR="00A323F8">
        <w:rPr>
          <w:szCs w:val="24"/>
        </w:rPr>
        <w:t xml:space="preserve"> </w:t>
      </w:r>
    </w:p>
    <w:p w14:paraId="335076EE" w14:textId="3C32920E" w:rsidR="00CC703E" w:rsidRDefault="00E37FDB" w:rsidP="007D4F28">
      <w:r>
        <w:t xml:space="preserve">Australia is fortunate to have an aquatic animal sector free from many diseases that could significantly affect the productivity of our aquaculture industry, reduce trade or result in significant social and economic costs. It is vital for Australia to maintain this disease-free status, not only to enhance our competitiveness but also to protect Australia’s unique natural resources. However, Australia also has a range of poorly understood host species and endemic pathogens. This includes local strain variations of </w:t>
      </w:r>
      <w:r w:rsidR="007E59D5">
        <w:t xml:space="preserve">internationally significant </w:t>
      </w:r>
      <w:r>
        <w:t>pathogens that are becoming increasingly important</w:t>
      </w:r>
      <w:r w:rsidR="007E59D5">
        <w:t xml:space="preserve"> for</w:t>
      </w:r>
      <w:r>
        <w:t xml:space="preserve"> our export trade. Known significant pathogens/diseases currently in Australia include </w:t>
      </w:r>
      <w:r w:rsidR="007E59D5">
        <w:t>oyster</w:t>
      </w:r>
      <w:r>
        <w:t xml:space="preserve"> herpesvirus</w:t>
      </w:r>
      <w:r w:rsidR="00E35A21">
        <w:rPr>
          <w:vertAlign w:val="superscript"/>
        </w:rPr>
        <w:t>17</w:t>
      </w:r>
      <w:r w:rsidR="00C06EA4">
        <w:rPr>
          <w:vertAlign w:val="superscript"/>
        </w:rPr>
        <w:t>5</w:t>
      </w:r>
      <w:r>
        <w:t>, oyster oedema disease</w:t>
      </w:r>
      <w:r w:rsidR="00E35A21">
        <w:rPr>
          <w:vertAlign w:val="superscript"/>
        </w:rPr>
        <w:t>17</w:t>
      </w:r>
      <w:r w:rsidR="00C06EA4">
        <w:rPr>
          <w:vertAlign w:val="superscript"/>
        </w:rPr>
        <w:t>6</w:t>
      </w:r>
      <w:r>
        <w:t>, abalone herpesvirus</w:t>
      </w:r>
      <w:r w:rsidR="00E35A21">
        <w:rPr>
          <w:vertAlign w:val="superscript"/>
        </w:rPr>
        <w:t>17</w:t>
      </w:r>
      <w:r w:rsidR="00C06EA4">
        <w:rPr>
          <w:vertAlign w:val="superscript"/>
        </w:rPr>
        <w:t>7</w:t>
      </w:r>
      <w:r>
        <w:t>, salmon or pilchard orthomyxo-like virus</w:t>
      </w:r>
      <w:r w:rsidR="00E35A21">
        <w:rPr>
          <w:vertAlign w:val="superscript"/>
        </w:rPr>
        <w:t>17</w:t>
      </w:r>
      <w:r w:rsidR="00C06EA4">
        <w:rPr>
          <w:vertAlign w:val="superscript"/>
        </w:rPr>
        <w:t>8</w:t>
      </w:r>
      <w:r>
        <w:t xml:space="preserve">, </w:t>
      </w:r>
      <w:r>
        <w:rPr>
          <w:i/>
        </w:rPr>
        <w:t>Cardicola</w:t>
      </w:r>
      <w:r>
        <w:t xml:space="preserve"> spp. in southern bluefin tuna</w:t>
      </w:r>
      <w:r w:rsidR="00E35A21">
        <w:rPr>
          <w:vertAlign w:val="superscript"/>
        </w:rPr>
        <w:t>17</w:t>
      </w:r>
      <w:r w:rsidR="00C06EA4">
        <w:rPr>
          <w:vertAlign w:val="superscript"/>
        </w:rPr>
        <w:t>9</w:t>
      </w:r>
      <w:r w:rsidR="007E0A6D" w:rsidRPr="007E0A6D">
        <w:rPr>
          <w:lang w:val="en"/>
        </w:rPr>
        <w:t xml:space="preserve"> </w:t>
      </w:r>
      <w:r>
        <w:t xml:space="preserve">and viruses associated with </w:t>
      </w:r>
      <w:r w:rsidRPr="00B13F4E">
        <w:t>yellow head</w:t>
      </w:r>
      <w:r>
        <w:t xml:space="preserve"> disease in prawns</w:t>
      </w:r>
      <w:r w:rsidR="00C06EA4">
        <w:rPr>
          <w:vertAlign w:val="superscript"/>
        </w:rPr>
        <w:t>180</w:t>
      </w:r>
      <w:r>
        <w:t>.</w:t>
      </w:r>
    </w:p>
    <w:p w14:paraId="30EF6898" w14:textId="2E342B57" w:rsidR="00CC703E" w:rsidRDefault="00E37FDB" w:rsidP="007D4F28">
      <w:r>
        <w:t xml:space="preserve">Compared with the terrestrial animal industries, the state of knowledge of aquatic animal health management is </w:t>
      </w:r>
      <w:r w:rsidR="0095120F">
        <w:t xml:space="preserve">very </w:t>
      </w:r>
      <w:r>
        <w:t>limited. This includes the epidemiology of disease threats, physiology of hosts and technology for managing disease. Research has a critical role in expanding this knowledge and enhancing management practices to prevent disease or limit its impact on the expanding fisheries/aquaculture sector and on recreational fisheries and natural resources</w:t>
      </w:r>
      <w:r w:rsidR="002E2FBF">
        <w:rPr>
          <w:vertAlign w:val="superscript"/>
        </w:rPr>
        <w:t>18</w:t>
      </w:r>
      <w:r w:rsidR="00C06EA4">
        <w:rPr>
          <w:vertAlign w:val="superscript"/>
        </w:rPr>
        <w:t>1</w:t>
      </w:r>
      <w:r>
        <w:t>.</w:t>
      </w:r>
    </w:p>
    <w:p w14:paraId="6B8C6AC7" w14:textId="0CF16134" w:rsidR="00CC703E" w:rsidRDefault="00E37FDB" w:rsidP="007D4F28">
      <w:r>
        <w:t>To date, more than</w:t>
      </w:r>
      <w:r>
        <w:rPr>
          <w:lang w:val="en"/>
        </w:rPr>
        <w:t xml:space="preserve"> 20 pathogens are known to cause diseases in prawns. It is not yet possible to develop vaccines for prawns because the crustaceans lack an adequate adaptive immune response</w:t>
      </w:r>
      <w:r w:rsidR="00E6098F">
        <w:rPr>
          <w:vertAlign w:val="superscript"/>
        </w:rPr>
        <w:t>1</w:t>
      </w:r>
      <w:r w:rsidR="00FC369F">
        <w:rPr>
          <w:vertAlign w:val="superscript"/>
        </w:rPr>
        <w:t>82</w:t>
      </w:r>
      <w:r>
        <w:rPr>
          <w:lang w:val="en"/>
        </w:rPr>
        <w:t xml:space="preserve">. As a result, the prawn aquaculture industry needs </w:t>
      </w:r>
      <w:r w:rsidR="007E59D5">
        <w:rPr>
          <w:lang w:val="en"/>
        </w:rPr>
        <w:t>not only</w:t>
      </w:r>
      <w:r>
        <w:rPr>
          <w:lang w:val="en"/>
        </w:rPr>
        <w:t xml:space="preserve"> SPF (specific pathogen free) stocks </w:t>
      </w:r>
      <w:r w:rsidR="007E59D5">
        <w:rPr>
          <w:lang w:val="en"/>
        </w:rPr>
        <w:t>but also</w:t>
      </w:r>
      <w:r>
        <w:rPr>
          <w:lang w:val="en"/>
        </w:rPr>
        <w:t xml:space="preserve"> SPR (specific pathogen resistant) stocks</w:t>
      </w:r>
      <w:r w:rsidR="00E6098F">
        <w:rPr>
          <w:vertAlign w:val="superscript"/>
        </w:rPr>
        <w:t>1</w:t>
      </w:r>
      <w:r w:rsidR="00FC369F">
        <w:rPr>
          <w:vertAlign w:val="superscript"/>
        </w:rPr>
        <w:t>82</w:t>
      </w:r>
      <w:r>
        <w:rPr>
          <w:lang w:val="en"/>
        </w:rPr>
        <w:t>. Research findings on prawn and copepod responses to bacteria, parasites and viral pathogens are regarded as experimental or theoretical models</w:t>
      </w:r>
      <w:r w:rsidR="00E6098F">
        <w:rPr>
          <w:vertAlign w:val="superscript"/>
        </w:rPr>
        <w:t>15</w:t>
      </w:r>
      <w:r w:rsidR="00FC369F">
        <w:rPr>
          <w:vertAlign w:val="superscript"/>
        </w:rPr>
        <w:t>4</w:t>
      </w:r>
      <w:r w:rsidR="007773CD">
        <w:rPr>
          <w:vertAlign w:val="superscript"/>
        </w:rPr>
        <w:t>,</w:t>
      </w:r>
      <w:r w:rsidR="002B16DB">
        <w:rPr>
          <w:vertAlign w:val="superscript"/>
        </w:rPr>
        <w:t xml:space="preserve"> </w:t>
      </w:r>
      <w:r w:rsidR="00E6098F">
        <w:rPr>
          <w:vertAlign w:val="superscript"/>
        </w:rPr>
        <w:t>1</w:t>
      </w:r>
      <w:r w:rsidR="00820EF4">
        <w:rPr>
          <w:vertAlign w:val="superscript"/>
        </w:rPr>
        <w:t>8</w:t>
      </w:r>
      <w:r w:rsidR="00FC369F">
        <w:rPr>
          <w:vertAlign w:val="superscript"/>
        </w:rPr>
        <w:t>3</w:t>
      </w:r>
      <w:r w:rsidR="007773CD">
        <w:rPr>
          <w:vertAlign w:val="superscript"/>
        </w:rPr>
        <w:t>,</w:t>
      </w:r>
      <w:r w:rsidR="002B16DB">
        <w:rPr>
          <w:vertAlign w:val="superscript"/>
        </w:rPr>
        <w:t xml:space="preserve"> </w:t>
      </w:r>
      <w:r w:rsidR="00E6098F">
        <w:rPr>
          <w:vertAlign w:val="superscript"/>
        </w:rPr>
        <w:t>18</w:t>
      </w:r>
      <w:r w:rsidR="00FC369F">
        <w:rPr>
          <w:vertAlign w:val="superscript"/>
        </w:rPr>
        <w:t>4</w:t>
      </w:r>
      <w:r w:rsidR="007773CD">
        <w:rPr>
          <w:vertAlign w:val="superscript"/>
        </w:rPr>
        <w:t>,</w:t>
      </w:r>
      <w:r w:rsidR="002B16DB">
        <w:rPr>
          <w:vertAlign w:val="superscript"/>
        </w:rPr>
        <w:t xml:space="preserve"> </w:t>
      </w:r>
      <w:r w:rsidR="00E6098F">
        <w:rPr>
          <w:vertAlign w:val="superscript"/>
        </w:rPr>
        <w:t>18</w:t>
      </w:r>
      <w:r w:rsidR="00FC369F">
        <w:rPr>
          <w:vertAlign w:val="superscript"/>
        </w:rPr>
        <w:t>5</w:t>
      </w:r>
      <w:r w:rsidR="007773CD">
        <w:rPr>
          <w:vertAlign w:val="superscript"/>
        </w:rPr>
        <w:t>,</w:t>
      </w:r>
      <w:r w:rsidR="002B16DB">
        <w:rPr>
          <w:vertAlign w:val="superscript"/>
        </w:rPr>
        <w:t xml:space="preserve"> </w:t>
      </w:r>
      <w:r w:rsidR="00E6098F">
        <w:rPr>
          <w:vertAlign w:val="superscript"/>
        </w:rPr>
        <w:t>18</w:t>
      </w:r>
      <w:r w:rsidR="00FC369F">
        <w:rPr>
          <w:vertAlign w:val="superscript"/>
        </w:rPr>
        <w:t>6</w:t>
      </w:r>
      <w:r>
        <w:rPr>
          <w:lang w:val="en"/>
        </w:rPr>
        <w:t>.</w:t>
      </w:r>
      <w:r w:rsidR="007A4662">
        <w:rPr>
          <w:lang w:val="en"/>
        </w:rPr>
        <w:t xml:space="preserve"> However, with well-designed breeding programs, gains in WSSV resistance of 2 to 5 per cent per generation should be possible</w:t>
      </w:r>
      <w:r w:rsidR="00E6098F">
        <w:rPr>
          <w:vertAlign w:val="superscript"/>
        </w:rPr>
        <w:t>35</w:t>
      </w:r>
      <w:r w:rsidR="007A4662">
        <w:rPr>
          <w:lang w:val="en"/>
        </w:rPr>
        <w:t>.</w:t>
      </w:r>
      <w:r>
        <w:rPr>
          <w:lang w:val="en"/>
        </w:rPr>
        <w:t xml:space="preserve"> Government</w:t>
      </w:r>
      <w:r w:rsidR="00A323F8">
        <w:rPr>
          <w:lang w:val="en"/>
        </w:rPr>
        <w:t>s</w:t>
      </w:r>
      <w:r>
        <w:rPr>
          <w:lang w:val="en"/>
        </w:rPr>
        <w:t xml:space="preserve"> and industry should prioritise research into the molecules and mechanisms of immune response in order to develop SPF </w:t>
      </w:r>
      <w:r w:rsidR="007E59D5">
        <w:rPr>
          <w:lang w:val="en"/>
        </w:rPr>
        <w:t xml:space="preserve">and SPR </w:t>
      </w:r>
      <w:r>
        <w:rPr>
          <w:lang w:val="en"/>
        </w:rPr>
        <w:t>prawn broodstock.</w:t>
      </w:r>
    </w:p>
    <w:p w14:paraId="04E95327" w14:textId="76C46F37" w:rsidR="00CC703E" w:rsidRDefault="00E37FDB" w:rsidP="007D4F28">
      <w:r>
        <w:t>Globally, farmed and wild aquatic animal populations are affected by emerging diseases and increasing evidence suggests that Australia is not exempt.</w:t>
      </w:r>
      <w:r>
        <w:rPr>
          <w:color w:val="FF0000"/>
        </w:rPr>
        <w:t xml:space="preserve"> </w:t>
      </w:r>
      <w:r>
        <w:t>The impacts of emerging diseases can be wide</w:t>
      </w:r>
      <w:r w:rsidR="007E59D5">
        <w:t>-</w:t>
      </w:r>
      <w:r>
        <w:t xml:space="preserve">ranging, including direct economic losses not only for the affected aquaculture enterprise but also for associated industries. Other impacts include a reduction in ecosystem stability and sustainability (for example, impacts of reduced pilchard populations </w:t>
      </w:r>
      <w:r w:rsidR="008B0A53">
        <w:t xml:space="preserve">after the 1995 and 1998 pilchard mortalities </w:t>
      </w:r>
      <w:r>
        <w:t>on the food chain)</w:t>
      </w:r>
      <w:r w:rsidR="00E6098F">
        <w:rPr>
          <w:vertAlign w:val="superscript"/>
        </w:rPr>
        <w:t>18</w:t>
      </w:r>
      <w:r w:rsidR="002E2FBF">
        <w:rPr>
          <w:vertAlign w:val="superscript"/>
        </w:rPr>
        <w:t>7</w:t>
      </w:r>
      <w:r w:rsidR="007773CD">
        <w:rPr>
          <w:vertAlign w:val="superscript"/>
        </w:rPr>
        <w:t>,</w:t>
      </w:r>
      <w:r w:rsidR="007F7855">
        <w:rPr>
          <w:vertAlign w:val="superscript"/>
        </w:rPr>
        <w:t xml:space="preserve"> </w:t>
      </w:r>
      <w:r w:rsidR="00E6098F">
        <w:rPr>
          <w:vertAlign w:val="superscript"/>
        </w:rPr>
        <w:t>18</w:t>
      </w:r>
      <w:r w:rsidR="002E2FBF">
        <w:rPr>
          <w:vertAlign w:val="superscript"/>
        </w:rPr>
        <w:t>8</w:t>
      </w:r>
      <w:r>
        <w:t>, loss of cultural heritage (extinction of native species) and reduced regional employment.</w:t>
      </w:r>
    </w:p>
    <w:p w14:paraId="0627A037" w14:textId="4D4A0CD2" w:rsidR="00CC703E" w:rsidRDefault="0095120F" w:rsidP="007D4F28">
      <w:r>
        <w:t>Previous Australian e</w:t>
      </w:r>
      <w:r w:rsidR="00E37FDB">
        <w:t xml:space="preserve">fforts to manage diseases in farmed aquatic animals have </w:t>
      </w:r>
      <w:r>
        <w:t>had mixed success</w:t>
      </w:r>
      <w:r w:rsidR="007E59D5" w:rsidRPr="007E59D5">
        <w:t>.</w:t>
      </w:r>
      <w:r w:rsidR="00E37FDB" w:rsidRPr="007E59D5">
        <w:t xml:space="preserve"> </w:t>
      </w:r>
      <w:r w:rsidR="007E59D5">
        <w:t>R</w:t>
      </w:r>
      <w:r w:rsidR="00E37FDB" w:rsidRPr="007E59D5">
        <w:t xml:space="preserve">ecent </w:t>
      </w:r>
      <w:r w:rsidR="007E59D5">
        <w:t xml:space="preserve">outbreaks of </w:t>
      </w:r>
      <w:r w:rsidR="00B13F4E" w:rsidRPr="00B13F4E">
        <w:t>oyster</w:t>
      </w:r>
      <w:r w:rsidR="00E37FDB" w:rsidRPr="007E59D5">
        <w:t xml:space="preserve"> herpesvirus outbreaks</w:t>
      </w:r>
      <w:r w:rsidR="00E6098F">
        <w:rPr>
          <w:vertAlign w:val="superscript"/>
        </w:rPr>
        <w:t>18</w:t>
      </w:r>
      <w:r w:rsidR="002E2FBF">
        <w:rPr>
          <w:vertAlign w:val="superscript"/>
        </w:rPr>
        <w:t>9</w:t>
      </w:r>
      <w:r w:rsidR="00E37FDB" w:rsidRPr="007E59D5">
        <w:t>, amoebic gill disease in Atlantic salmon</w:t>
      </w:r>
      <w:r w:rsidR="002E2FBF">
        <w:rPr>
          <w:vertAlign w:val="superscript"/>
        </w:rPr>
        <w:t>190</w:t>
      </w:r>
      <w:r w:rsidR="00E37FDB" w:rsidRPr="007E59D5">
        <w:t>, pilchard mortalities</w:t>
      </w:r>
      <w:r w:rsidR="002E2FBF">
        <w:rPr>
          <w:vertAlign w:val="superscript"/>
        </w:rPr>
        <w:t>191</w:t>
      </w:r>
      <w:r w:rsidR="00E55CCF">
        <w:rPr>
          <w:lang w:val="en"/>
        </w:rPr>
        <w:t xml:space="preserve"> </w:t>
      </w:r>
      <w:r w:rsidR="00E37FDB" w:rsidRPr="007E59D5">
        <w:t>and abalone herpesvirus</w:t>
      </w:r>
      <w:r w:rsidR="002E2FBF">
        <w:rPr>
          <w:vertAlign w:val="superscript"/>
        </w:rPr>
        <w:t>1</w:t>
      </w:r>
      <w:r w:rsidR="00210D09">
        <w:rPr>
          <w:vertAlign w:val="superscript"/>
        </w:rPr>
        <w:t>9</w:t>
      </w:r>
      <w:r w:rsidR="002E2FBF">
        <w:rPr>
          <w:vertAlign w:val="superscript"/>
        </w:rPr>
        <w:t>2</w:t>
      </w:r>
      <w:r w:rsidR="00E55CCF">
        <w:rPr>
          <w:lang w:val="en"/>
        </w:rPr>
        <w:t xml:space="preserve"> </w:t>
      </w:r>
      <w:r w:rsidR="007E59D5">
        <w:t>have caused big losses to emerging and previously profitable aquaculture industries.</w:t>
      </w:r>
      <w:r w:rsidR="00E37FDB">
        <w:t xml:space="preserve"> Eradication of disease in the aquatic environment is difficult but possible</w:t>
      </w:r>
      <w:r w:rsidR="00E6098F">
        <w:rPr>
          <w:vertAlign w:val="superscript"/>
        </w:rPr>
        <w:t>19</w:t>
      </w:r>
      <w:r w:rsidR="002E2FBF">
        <w:rPr>
          <w:vertAlign w:val="superscript"/>
        </w:rPr>
        <w:t>3</w:t>
      </w:r>
      <w:r w:rsidR="007773CD">
        <w:rPr>
          <w:vertAlign w:val="superscript"/>
        </w:rPr>
        <w:t>,</w:t>
      </w:r>
      <w:r w:rsidR="007F7855">
        <w:rPr>
          <w:vertAlign w:val="superscript"/>
        </w:rPr>
        <w:t xml:space="preserve"> </w:t>
      </w:r>
      <w:r w:rsidR="00E6098F">
        <w:rPr>
          <w:vertAlign w:val="superscript"/>
        </w:rPr>
        <w:lastRenderedPageBreak/>
        <w:t>19</w:t>
      </w:r>
      <w:r w:rsidR="002E2FBF">
        <w:rPr>
          <w:vertAlign w:val="superscript"/>
        </w:rPr>
        <w:t>4</w:t>
      </w:r>
      <w:r w:rsidR="007773CD">
        <w:rPr>
          <w:vertAlign w:val="superscript"/>
        </w:rPr>
        <w:t>,</w:t>
      </w:r>
      <w:r w:rsidR="007F7855">
        <w:rPr>
          <w:vertAlign w:val="superscript"/>
        </w:rPr>
        <w:t xml:space="preserve"> </w:t>
      </w:r>
      <w:r w:rsidR="00E6098F">
        <w:rPr>
          <w:vertAlign w:val="superscript"/>
        </w:rPr>
        <w:t>19</w:t>
      </w:r>
      <w:r w:rsidR="002E2FBF">
        <w:rPr>
          <w:vertAlign w:val="superscript"/>
        </w:rPr>
        <w:t>5</w:t>
      </w:r>
      <w:r w:rsidR="007773CD">
        <w:rPr>
          <w:vertAlign w:val="superscript"/>
        </w:rPr>
        <w:t>,</w:t>
      </w:r>
      <w:r w:rsidR="007F7855">
        <w:rPr>
          <w:vertAlign w:val="superscript"/>
        </w:rPr>
        <w:t xml:space="preserve"> </w:t>
      </w:r>
      <w:r w:rsidR="00E6098F">
        <w:rPr>
          <w:vertAlign w:val="superscript"/>
        </w:rPr>
        <w:t>19</w:t>
      </w:r>
      <w:r w:rsidR="002E2FBF">
        <w:rPr>
          <w:vertAlign w:val="superscript"/>
        </w:rPr>
        <w:t>6</w:t>
      </w:r>
      <w:r w:rsidR="00E55CCF">
        <w:rPr>
          <w:lang w:val="en"/>
        </w:rPr>
        <w:t xml:space="preserve"> </w:t>
      </w:r>
      <w:r w:rsidR="00E37FDB">
        <w:t xml:space="preserve">with concerted, persistent and resource-intensive effort. </w:t>
      </w:r>
      <w:r w:rsidR="00E856F0">
        <w:t>Overseas, t</w:t>
      </w:r>
      <w:r w:rsidR="00E37FDB">
        <w:t>he direct and indirect economic impact of disease can mount into the billions of dollars</w:t>
      </w:r>
      <w:r w:rsidR="002E2FBF" w:rsidRPr="0087638C">
        <w:rPr>
          <w:vertAlign w:val="superscript"/>
        </w:rPr>
        <w:t>79,</w:t>
      </w:r>
      <w:r w:rsidR="002E2FBF">
        <w:rPr>
          <w:vertAlign w:val="superscript"/>
        </w:rPr>
        <w:t xml:space="preserve"> </w:t>
      </w:r>
      <w:r w:rsidR="00E6098F">
        <w:rPr>
          <w:vertAlign w:val="superscript"/>
        </w:rPr>
        <w:t>19</w:t>
      </w:r>
      <w:r w:rsidR="002E2FBF">
        <w:rPr>
          <w:vertAlign w:val="superscript"/>
        </w:rPr>
        <w:t>7</w:t>
      </w:r>
      <w:r w:rsidR="007773CD">
        <w:rPr>
          <w:vertAlign w:val="superscript"/>
        </w:rPr>
        <w:t>,</w:t>
      </w:r>
      <w:r w:rsidR="007F7855">
        <w:rPr>
          <w:vertAlign w:val="superscript"/>
        </w:rPr>
        <w:t xml:space="preserve"> </w:t>
      </w:r>
      <w:r w:rsidR="00E6098F">
        <w:rPr>
          <w:vertAlign w:val="superscript"/>
        </w:rPr>
        <w:t>19</w:t>
      </w:r>
      <w:r w:rsidR="002E2FBF">
        <w:rPr>
          <w:vertAlign w:val="superscript"/>
        </w:rPr>
        <w:t>8</w:t>
      </w:r>
      <w:r w:rsidR="00E55CCF">
        <w:t xml:space="preserve"> </w:t>
      </w:r>
      <w:r w:rsidR="00E37FDB">
        <w:t>and the environmental impacts can be even costlier. Many aquatic diseases are likely to continue to spread because pathogens in the aquatic environment are difficult to control and there is limited understanding of their biology. For example, researchers have a poor understanding of:</w:t>
      </w:r>
    </w:p>
    <w:p w14:paraId="393A156E" w14:textId="21CF3061" w:rsidR="00CC703E" w:rsidRPr="007D4F28" w:rsidRDefault="00E37FDB" w:rsidP="007D4F28">
      <w:pPr>
        <w:pStyle w:val="ListBullet"/>
      </w:pPr>
      <w:r w:rsidRPr="007D4F28">
        <w:t>factors that trigger disease emergence</w:t>
      </w:r>
      <w:r w:rsidR="00572DCF">
        <w:t>,</w:t>
      </w:r>
    </w:p>
    <w:p w14:paraId="0454E053" w14:textId="247FBCC0" w:rsidR="00CC703E" w:rsidRPr="007D4F28" w:rsidRDefault="00E37FDB" w:rsidP="007D4F28">
      <w:pPr>
        <w:pStyle w:val="ListBullet"/>
      </w:pPr>
      <w:r w:rsidRPr="007D4F28">
        <w:t>immunity and/or disease resistance mechanisms in aquatic animal species, particularly invertebrates (molluscs and crustaceans), and consequently few examples of effective vaccines for viral diseases of aquatic animals</w:t>
      </w:r>
      <w:r w:rsidR="00572DCF">
        <w:t>,</w:t>
      </w:r>
    </w:p>
    <w:p w14:paraId="472E8EF1" w14:textId="5378DE7A" w:rsidR="00CC703E" w:rsidRPr="007D4F28" w:rsidRDefault="00E37FDB" w:rsidP="007D4F28">
      <w:pPr>
        <w:pStyle w:val="ListBullet"/>
      </w:pPr>
      <w:r w:rsidRPr="007D4F28">
        <w:t>geographical and host ranges</w:t>
      </w:r>
      <w:r w:rsidR="00572DCF">
        <w:t>,</w:t>
      </w:r>
    </w:p>
    <w:p w14:paraId="602E95A1" w14:textId="5EFBC828" w:rsidR="00CC703E" w:rsidRPr="007D4F28" w:rsidRDefault="00E37FDB" w:rsidP="007D4F28">
      <w:pPr>
        <w:pStyle w:val="ListBullet"/>
      </w:pPr>
      <w:r w:rsidRPr="007D4F28">
        <w:t>pathogen/host/environment interaction</w:t>
      </w:r>
      <w:r w:rsidR="00572DCF">
        <w:t>,</w:t>
      </w:r>
    </w:p>
    <w:p w14:paraId="762F38C5" w14:textId="43BDB6B4" w:rsidR="00CC703E" w:rsidRPr="007D4F28" w:rsidRDefault="00E37FDB" w:rsidP="007D4F28">
      <w:pPr>
        <w:pStyle w:val="ListBullet"/>
      </w:pPr>
      <w:r w:rsidRPr="007D4F28">
        <w:t>mechanisms of disease transmission within populations and other critical epidemiological factors such as biological reservoirs</w:t>
      </w:r>
      <w:r w:rsidR="0095120F" w:rsidRPr="007D4F28">
        <w:t xml:space="preserve">, </w:t>
      </w:r>
      <w:r w:rsidRPr="007D4F28">
        <w:t>vectors, and stability in the environment</w:t>
      </w:r>
      <w:r w:rsidR="00B13F4E" w:rsidRPr="007D4F28">
        <w:t>, and</w:t>
      </w:r>
    </w:p>
    <w:p w14:paraId="0CA1E45E" w14:textId="190FF62C" w:rsidR="00CC703E" w:rsidRPr="007D4F28" w:rsidRDefault="00E37FDB" w:rsidP="007D4F28">
      <w:pPr>
        <w:pStyle w:val="ListBullet"/>
      </w:pPr>
      <w:r w:rsidRPr="007D4F28">
        <w:t>disease management.</w:t>
      </w:r>
    </w:p>
    <w:p w14:paraId="39C294EF" w14:textId="76D2BC15" w:rsidR="00CC703E" w:rsidRDefault="00E37FDB">
      <w:pPr>
        <w:pStyle w:val="Default"/>
        <w:spacing w:before="120"/>
        <w:rPr>
          <w:rFonts w:asciiTheme="minorHAnsi" w:eastAsiaTheme="minorHAnsi" w:hAnsiTheme="minorHAnsi"/>
        </w:rPr>
      </w:pPr>
      <w:r>
        <w:rPr>
          <w:rFonts w:asciiTheme="minorHAnsi" w:eastAsiaTheme="minorHAnsi" w:hAnsiTheme="minorHAnsi"/>
        </w:rPr>
        <w:t xml:space="preserve">In addition, </w:t>
      </w:r>
      <w:r w:rsidR="0095120F">
        <w:rPr>
          <w:rFonts w:asciiTheme="minorHAnsi" w:eastAsiaTheme="minorHAnsi" w:hAnsiTheme="minorHAnsi"/>
        </w:rPr>
        <w:t xml:space="preserve">there are few </w:t>
      </w:r>
      <w:r>
        <w:rPr>
          <w:rFonts w:asciiTheme="minorHAnsi" w:eastAsiaTheme="minorHAnsi" w:hAnsiTheme="minorHAnsi"/>
        </w:rPr>
        <w:t>fully validated diagnostic tests</w:t>
      </w:r>
      <w:r w:rsidR="0095120F">
        <w:rPr>
          <w:rFonts w:asciiTheme="minorHAnsi" w:eastAsiaTheme="minorHAnsi" w:hAnsiTheme="minorHAnsi"/>
        </w:rPr>
        <w:t xml:space="preserve"> available</w:t>
      </w:r>
      <w:r>
        <w:rPr>
          <w:rFonts w:asciiTheme="minorHAnsi" w:eastAsiaTheme="minorHAnsi" w:hAnsiTheme="minorHAnsi"/>
        </w:rPr>
        <w:t>, particularly for the detection of subclinical infections.</w:t>
      </w:r>
    </w:p>
    <w:p w14:paraId="78D863CC" w14:textId="78E918F9" w:rsidR="00CC703E" w:rsidRDefault="00E37FDB" w:rsidP="007D4F28">
      <w:r>
        <w:t xml:space="preserve">As aquaculture expands, the range of native aquatic animals being farmed is also increasing, making research on aquatic animal health issues more necessary than ever. Australia has </w:t>
      </w:r>
      <w:r w:rsidR="0095120F">
        <w:t xml:space="preserve">at least </w:t>
      </w:r>
      <w:r>
        <w:t>70 aquatic species under aquaculture development. Of these, 40 are farmed commercially. Australia is therefore in an excellent position to take advantage of the global increase in demand for quality seafood. However, new diseases will inevitably emerge and we are unable to predict where and when the next threat will arise. We need research on all types of aquatic animals (finfish, crustaceans, molluscs and amphibians) from tropical, temperate, marine, brackish or freshwater environments. By supporting research on the diseases of current concern, Australia will build capability, capacity and expertise in all areas of aquatic animal health. This will help ensure that the aquaculture sector builds resilience and continues to grow in a sustainable manner, providing Australia with socio-economic and environmental benefits into the future.</w:t>
      </w:r>
    </w:p>
    <w:p w14:paraId="24F97AE0" w14:textId="7C911F9E" w:rsidR="00CC703E" w:rsidRDefault="00E37FDB" w:rsidP="007D4F28">
      <w:pPr>
        <w:pStyle w:val="Heading3"/>
        <w:numPr>
          <w:ilvl w:val="0"/>
          <w:numId w:val="0"/>
        </w:numPr>
        <w:pBdr>
          <w:top w:val="single" w:sz="4" w:space="1" w:color="auto"/>
          <w:left w:val="single" w:sz="4" w:space="1" w:color="auto"/>
          <w:bottom w:val="single" w:sz="4" w:space="1" w:color="auto"/>
          <w:right w:val="single" w:sz="4" w:space="1" w:color="auto"/>
        </w:pBdr>
        <w:ind w:left="794" w:hanging="794"/>
      </w:pPr>
      <w:bookmarkStart w:id="332" w:name="_Toc499132679"/>
      <w:bookmarkStart w:id="333" w:name="_Toc499963199"/>
      <w:bookmarkStart w:id="334" w:name="_Toc500162505"/>
      <w:bookmarkStart w:id="335" w:name="_Toc500238762"/>
      <w:bookmarkStart w:id="336" w:name="_Toc500508447"/>
      <w:r>
        <w:t xml:space="preserve">Recommendation </w:t>
      </w:r>
      <w:r w:rsidRPr="00E37FDB">
        <w:fldChar w:fldCharType="begin"/>
      </w:r>
      <w:r>
        <w:instrText xml:space="preserve"> SEQ Recommendation \* ARABIC </w:instrText>
      </w:r>
      <w:r w:rsidRPr="00E37FDB">
        <w:fldChar w:fldCharType="separate"/>
      </w:r>
      <w:r w:rsidR="00121BC1">
        <w:rPr>
          <w:noProof/>
        </w:rPr>
        <w:t>20</w:t>
      </w:r>
      <w:bookmarkEnd w:id="332"/>
      <w:bookmarkEnd w:id="333"/>
      <w:bookmarkEnd w:id="334"/>
      <w:bookmarkEnd w:id="335"/>
      <w:bookmarkEnd w:id="336"/>
      <w:r w:rsidRPr="00E37FDB">
        <w:rPr>
          <w:noProof/>
        </w:rPr>
        <w:fldChar w:fldCharType="end"/>
      </w:r>
    </w:p>
    <w:p w14:paraId="1A628EDF" w14:textId="42BE4C4B" w:rsidR="00740F7E" w:rsidRPr="00740F7E" w:rsidRDefault="00740F7E" w:rsidP="007D4F28">
      <w:pPr>
        <w:pStyle w:val="ListBullet"/>
        <w:numPr>
          <w:ilvl w:val="0"/>
          <w:numId w:val="0"/>
        </w:numPr>
        <w:pBdr>
          <w:top w:val="single" w:sz="4" w:space="1" w:color="auto"/>
          <w:left w:val="single" w:sz="4" w:space="1" w:color="auto"/>
          <w:bottom w:val="single" w:sz="4" w:space="1" w:color="auto"/>
          <w:right w:val="single" w:sz="4" w:space="1" w:color="auto"/>
        </w:pBdr>
        <w:spacing w:after="0"/>
        <w:rPr>
          <w:lang w:bidi="hi-IN"/>
        </w:rPr>
      </w:pPr>
      <w:r w:rsidRPr="00740F7E">
        <w:rPr>
          <w:lang w:bidi="hi-IN"/>
        </w:rPr>
        <w:t>The department should maintain strong links with aquatic health and production experts in Australian and state/territory government agencies, universities and industry</w:t>
      </w:r>
      <w:r w:rsidR="007704ED">
        <w:rPr>
          <w:lang w:bidi="hi-IN"/>
        </w:rPr>
        <w:t>, to</w:t>
      </w:r>
      <w:r w:rsidRPr="00740F7E">
        <w:rPr>
          <w:lang w:bidi="hi-IN"/>
        </w:rPr>
        <w:t xml:space="preserve"> </w:t>
      </w:r>
      <w:r w:rsidR="007704ED">
        <w:rPr>
          <w:lang w:bidi="hi-IN"/>
        </w:rPr>
        <w:t xml:space="preserve">support </w:t>
      </w:r>
      <w:r w:rsidRPr="00740F7E">
        <w:rPr>
          <w:lang w:bidi="hi-IN"/>
        </w:rPr>
        <w:t>decision-making based on:</w:t>
      </w:r>
    </w:p>
    <w:p w14:paraId="520FC007" w14:textId="77777777" w:rsidR="00740F7E" w:rsidRPr="00740F7E" w:rsidRDefault="00740F7E" w:rsidP="007D4F28">
      <w:pPr>
        <w:pStyle w:val="ListBullet"/>
        <w:pBdr>
          <w:top w:val="single" w:sz="4" w:space="1" w:color="auto"/>
          <w:left w:val="single" w:sz="4" w:space="1" w:color="auto"/>
          <w:bottom w:val="single" w:sz="4" w:space="1" w:color="auto"/>
          <w:right w:val="single" w:sz="4" w:space="1" w:color="auto"/>
        </w:pBdr>
        <w:spacing w:before="60" w:after="0"/>
        <w:rPr>
          <w:lang w:bidi="hi-IN"/>
        </w:rPr>
      </w:pPr>
      <w:r w:rsidRPr="00740F7E">
        <w:rPr>
          <w:lang w:bidi="hi-IN"/>
        </w:rPr>
        <w:t>the latest scientific knowledge of new technologies, and</w:t>
      </w:r>
    </w:p>
    <w:p w14:paraId="491864CF" w14:textId="6053337D" w:rsidR="00CC703E" w:rsidRDefault="00740F7E" w:rsidP="007D4F28">
      <w:pPr>
        <w:pStyle w:val="ListBullet"/>
        <w:numPr>
          <w:ilvl w:val="0"/>
          <w:numId w:val="19"/>
        </w:numPr>
        <w:pBdr>
          <w:top w:val="single" w:sz="4" w:space="1" w:color="auto"/>
          <w:left w:val="single" w:sz="4" w:space="1" w:color="auto"/>
          <w:bottom w:val="single" w:sz="4" w:space="1" w:color="auto"/>
          <w:right w:val="single" w:sz="4" w:space="1" w:color="auto"/>
        </w:pBdr>
        <w:spacing w:before="60" w:after="0"/>
        <w:rPr>
          <w:lang w:bidi="hi-IN"/>
        </w:rPr>
      </w:pPr>
      <w:r w:rsidRPr="00740F7E">
        <w:rPr>
          <w:rFonts w:eastAsia="Calibri" w:cs="Times New Roman"/>
          <w:lang w:bidi="hi-IN"/>
        </w:rPr>
        <w:t>international emergence, movements and risks to Australia of serious aquatic animal diseases.</w:t>
      </w:r>
    </w:p>
    <w:p w14:paraId="47E029AC" w14:textId="1A249732" w:rsidR="00CC703E" w:rsidRPr="005A1031" w:rsidRDefault="00E37FDB" w:rsidP="007D4F28">
      <w:pPr>
        <w:pBdr>
          <w:top w:val="single" w:sz="4" w:space="1" w:color="auto"/>
          <w:left w:val="single" w:sz="4" w:space="1" w:color="auto"/>
          <w:bottom w:val="single" w:sz="4" w:space="1" w:color="auto"/>
          <w:right w:val="single" w:sz="4" w:space="1" w:color="auto"/>
        </w:pBdr>
      </w:pPr>
      <w:r>
        <w:rPr>
          <w:b/>
        </w:rPr>
        <w:t>Department’s response:</w:t>
      </w:r>
      <w:r w:rsidR="005A1031">
        <w:t xml:space="preserve"> Agree. </w:t>
      </w:r>
      <w:r w:rsidR="005A1031" w:rsidRPr="005A1031">
        <w:t>There will be extensive consultation and engagement with aquatic health and production experts in Australian and state/territory government agencies, universities and industry to support the prawn risk review.</w:t>
      </w:r>
    </w:p>
    <w:p w14:paraId="7DAB8878" w14:textId="2DE3C2EF" w:rsidR="00CC703E" w:rsidRPr="007D4F28" w:rsidRDefault="00E37FDB" w:rsidP="007D4F28">
      <w:pPr>
        <w:pStyle w:val="Heading3"/>
        <w:rPr>
          <w:rStyle w:val="Heading3Char"/>
          <w:rFonts w:eastAsia="Calibri"/>
          <w:b/>
          <w:bCs/>
        </w:rPr>
      </w:pPr>
      <w:bookmarkStart w:id="337" w:name="_Toc500508448"/>
      <w:r w:rsidRPr="007D4F28">
        <w:rPr>
          <w:rStyle w:val="Heading3Char"/>
          <w:rFonts w:eastAsia="Calibri"/>
          <w:b/>
          <w:bCs/>
        </w:rPr>
        <w:lastRenderedPageBreak/>
        <w:t>Finalising an aquatic deed for</w:t>
      </w:r>
      <w:bookmarkEnd w:id="331"/>
      <w:r w:rsidRPr="007D4F28">
        <w:rPr>
          <w:rStyle w:val="Heading3Char"/>
          <w:rFonts w:eastAsia="Calibri"/>
          <w:b/>
          <w:bCs/>
        </w:rPr>
        <w:t xml:space="preserve"> emergency animal disease response</w:t>
      </w:r>
      <w:bookmarkEnd w:id="337"/>
    </w:p>
    <w:p w14:paraId="389F4D65" w14:textId="7C7772ED" w:rsidR="00CC703E" w:rsidRDefault="00E37FDB">
      <w:pPr>
        <w:spacing w:after="0"/>
        <w:rPr>
          <w:lang w:eastAsia="en-AU"/>
        </w:rPr>
      </w:pPr>
      <w:r>
        <w:rPr>
          <w:bCs/>
          <w:lang w:eastAsia="en-AU"/>
        </w:rPr>
        <w:t>It has been difficult to incorporate aquaculture industries in national emergency animal disease</w:t>
      </w:r>
      <w:r>
        <w:rPr>
          <w:lang w:eastAsia="en-AU"/>
        </w:rPr>
        <w:t xml:space="preserve"> response arrangements due to their complexity, relatively small size and interconnections with aquatic environments and wild fisheries. In the past, the department led efforts to prepare for possible incursions of serious aquatic animal diseases. These included developing AQUAPLAN</w:t>
      </w:r>
      <w:r w:rsidR="00E6098F">
        <w:rPr>
          <w:vertAlign w:val="superscript"/>
          <w:lang w:eastAsia="en-AU"/>
        </w:rPr>
        <w:t>19</w:t>
      </w:r>
      <w:r w:rsidR="002E2FBF">
        <w:rPr>
          <w:vertAlign w:val="superscript"/>
          <w:lang w:eastAsia="en-AU"/>
        </w:rPr>
        <w:t>9</w:t>
      </w:r>
      <w:r>
        <w:rPr>
          <w:lang w:eastAsia="en-AU"/>
        </w:rPr>
        <w:t>, which has a chapter on responding to an outbreak of WSD in prawn farms.</w:t>
      </w:r>
    </w:p>
    <w:p w14:paraId="5268E173" w14:textId="54768A1E" w:rsidR="00CC703E" w:rsidRDefault="00E37FDB">
      <w:pPr>
        <w:spacing w:after="0"/>
        <w:rPr>
          <w:lang w:eastAsia="en-AU"/>
        </w:rPr>
      </w:pPr>
      <w:r>
        <w:rPr>
          <w:lang w:eastAsia="en-AU"/>
        </w:rPr>
        <w:t xml:space="preserve">However, when WSD broke out in Queensland, an aquatic deed was still under development. </w:t>
      </w:r>
      <w:r>
        <w:t xml:space="preserve">The outbreak was managed according to the AQUAVETPLAN strategy. </w:t>
      </w:r>
      <w:r w:rsidR="00DB6D6A">
        <w:t>But</w:t>
      </w:r>
      <w:r>
        <w:t>, funding of and decision-making about the response was complicated because neither the prawn-farming industry nor the wider aquaculture industry had yet signed a cost-sharing deed.</w:t>
      </w:r>
    </w:p>
    <w:p w14:paraId="1C9DD6BD" w14:textId="1974BA98" w:rsidR="00CC703E" w:rsidRDefault="00E37FDB" w:rsidP="00E764A9">
      <w:pPr>
        <w:rPr>
          <w:lang w:eastAsia="en-AU"/>
        </w:rPr>
      </w:pPr>
      <w:r>
        <w:t>The WSD outbreak and response gave extra impetus to the development of an aquatic deed. By August 2017 an overall cost-sharing formula had been agreed</w:t>
      </w:r>
      <w:r>
        <w:rPr>
          <w:lang w:eastAsia="en-AU"/>
        </w:rPr>
        <w:t>:</w:t>
      </w:r>
    </w:p>
    <w:p w14:paraId="6E43E1F4" w14:textId="08395A7E" w:rsidR="00CC703E" w:rsidRDefault="00E37FDB" w:rsidP="00B13F4E">
      <w:pPr>
        <w:pStyle w:val="ListBullet"/>
        <w:rPr>
          <w:lang w:eastAsia="en-AU"/>
        </w:rPr>
      </w:pPr>
      <w:r>
        <w:rPr>
          <w:lang w:eastAsia="en-AU"/>
        </w:rPr>
        <w:t>one-third from the Australian Government</w:t>
      </w:r>
    </w:p>
    <w:p w14:paraId="3D4050EA" w14:textId="5250F2F3" w:rsidR="00CC703E" w:rsidRDefault="00E37FDB" w:rsidP="00B13F4E">
      <w:pPr>
        <w:pStyle w:val="ListBullet"/>
        <w:rPr>
          <w:lang w:eastAsia="en-AU"/>
        </w:rPr>
      </w:pPr>
      <w:r>
        <w:rPr>
          <w:lang w:eastAsia="en-AU"/>
        </w:rPr>
        <w:t>one-third from potentially affected states and territories in aggregate</w:t>
      </w:r>
      <w:r w:rsidR="00B13F4E">
        <w:rPr>
          <w:lang w:eastAsia="en-AU"/>
        </w:rPr>
        <w:t>, and</w:t>
      </w:r>
    </w:p>
    <w:p w14:paraId="676D03D6" w14:textId="3F1FEBB9" w:rsidR="00CC703E" w:rsidRDefault="00E37FDB" w:rsidP="00B13F4E">
      <w:pPr>
        <w:pStyle w:val="ListBullet"/>
        <w:rPr>
          <w:lang w:eastAsia="en-AU"/>
        </w:rPr>
      </w:pPr>
      <w:r>
        <w:rPr>
          <w:lang w:eastAsia="en-AU"/>
        </w:rPr>
        <w:t>one-third from potentially affected industries in aggregate.</w:t>
      </w:r>
    </w:p>
    <w:p w14:paraId="5C3918FC" w14:textId="6902BCC1" w:rsidR="00CC703E" w:rsidRDefault="00E37FDB" w:rsidP="00E764A9">
      <w:pPr>
        <w:rPr>
          <w:lang w:eastAsia="en-AU"/>
        </w:rPr>
      </w:pPr>
      <w:r>
        <w:rPr>
          <w:lang w:eastAsia="en-AU"/>
        </w:rPr>
        <w:t>When this report was being prepared, further negotiations were underway on the subsidiary sharing of costs between potentially affected states and territories, and between industries where only aquaculture sectors are potentially affected or where aquaculture and wild-capture sectors are potentially affected.</w:t>
      </w:r>
    </w:p>
    <w:p w14:paraId="15805923" w14:textId="0D80E7C9" w:rsidR="00CC703E" w:rsidRDefault="00E37FDB" w:rsidP="00E764A9">
      <w:r>
        <w:t xml:space="preserve">The </w:t>
      </w:r>
      <w:r>
        <w:rPr>
          <w:lang w:eastAsia="en-AU"/>
        </w:rPr>
        <w:t>prawn aquaculture industry was represented through the National Aquaculture Council as an associate member of Animal Health Australia (AHA)</w:t>
      </w:r>
      <w:r>
        <w:t xml:space="preserve">. </w:t>
      </w:r>
      <w:r>
        <w:rPr>
          <w:lang w:eastAsia="en-AU"/>
        </w:rPr>
        <w:t xml:space="preserve">AHA’s role </w:t>
      </w:r>
      <w:r w:rsidR="007704ED">
        <w:rPr>
          <w:lang w:eastAsia="en-AU"/>
        </w:rPr>
        <w:t xml:space="preserve">and experience </w:t>
      </w:r>
      <w:r>
        <w:rPr>
          <w:lang w:eastAsia="en-AU"/>
        </w:rPr>
        <w:t>in brokering joint action and c</w:t>
      </w:r>
      <w:r>
        <w:t xml:space="preserve">ost-sharing between the Australian and state/territory governments and industry is significant. The prawn and other aquaculture industries </w:t>
      </w:r>
      <w:r w:rsidR="007704ED">
        <w:t>should benefit from the engagement between the National Aquaculture Council and</w:t>
      </w:r>
      <w:r>
        <w:t xml:space="preserve"> AHA in the future, </w:t>
      </w:r>
      <w:r w:rsidR="007704ED">
        <w:t>if/when the aquaculture deed is finalised.</w:t>
      </w:r>
    </w:p>
    <w:p w14:paraId="77E8422B" w14:textId="5F09C0AE" w:rsidR="00CC703E" w:rsidRDefault="00E37FDB" w:rsidP="00E764A9">
      <w:pPr>
        <w:rPr>
          <w:lang w:eastAsia="en-AU"/>
        </w:rPr>
      </w:pPr>
      <w:r>
        <w:rPr>
          <w:lang w:eastAsia="en-AU"/>
        </w:rPr>
        <w:t xml:space="preserve">A completed draft aquatic deed is scheduled for stakeholder consultation by the end of 2017. Commitments by all signatories are expected to be completed by the end of 2018. These will </w:t>
      </w:r>
      <w:r w:rsidR="007704ED">
        <w:rPr>
          <w:lang w:eastAsia="en-AU"/>
        </w:rPr>
        <w:t>depend on</w:t>
      </w:r>
      <w:r>
        <w:rPr>
          <w:lang w:eastAsia="en-AU"/>
        </w:rPr>
        <w:t xml:space="preserve"> cost-benefit analysis, regulatory impact statements</w:t>
      </w:r>
      <w:r w:rsidR="00C216FD">
        <w:rPr>
          <w:lang w:eastAsia="en-AU"/>
        </w:rPr>
        <w:t>,</w:t>
      </w:r>
      <w:r>
        <w:rPr>
          <w:lang w:eastAsia="en-AU"/>
        </w:rPr>
        <w:t xml:space="preserve"> and information for </w:t>
      </w:r>
      <w:r w:rsidR="00C216FD">
        <w:rPr>
          <w:lang w:eastAsia="en-AU"/>
        </w:rPr>
        <w:t>c</w:t>
      </w:r>
      <w:r>
        <w:rPr>
          <w:lang w:eastAsia="en-AU"/>
        </w:rPr>
        <w:t xml:space="preserve">abinets and </w:t>
      </w:r>
      <w:r w:rsidR="00C216FD">
        <w:rPr>
          <w:lang w:eastAsia="en-AU"/>
        </w:rPr>
        <w:t>t</w:t>
      </w:r>
      <w:r>
        <w:rPr>
          <w:lang w:eastAsia="en-AU"/>
        </w:rPr>
        <w:t>reasuries</w:t>
      </w:r>
      <w:r w:rsidR="00C216FD">
        <w:rPr>
          <w:lang w:eastAsia="en-AU"/>
        </w:rPr>
        <w:t xml:space="preserve"> and industry peak bodies</w:t>
      </w:r>
      <w:r>
        <w:rPr>
          <w:lang w:eastAsia="en-AU"/>
        </w:rPr>
        <w:t>.</w:t>
      </w:r>
    </w:p>
    <w:p w14:paraId="243F5D24" w14:textId="1BFF55E2" w:rsidR="00CC703E" w:rsidRDefault="00E37FDB" w:rsidP="00E764A9">
      <w:pPr>
        <w:pStyle w:val="Heading3"/>
        <w:numPr>
          <w:ilvl w:val="0"/>
          <w:numId w:val="0"/>
        </w:numPr>
        <w:pBdr>
          <w:top w:val="single" w:sz="4" w:space="1" w:color="auto"/>
          <w:left w:val="single" w:sz="4" w:space="1" w:color="auto"/>
          <w:bottom w:val="single" w:sz="4" w:space="1" w:color="auto"/>
          <w:right w:val="single" w:sz="4" w:space="1" w:color="auto"/>
        </w:pBdr>
        <w:ind w:left="794" w:hanging="794"/>
      </w:pPr>
      <w:bookmarkStart w:id="338" w:name="_Toc499132681"/>
      <w:bookmarkStart w:id="339" w:name="_Toc499963201"/>
      <w:bookmarkStart w:id="340" w:name="_Toc500162507"/>
      <w:bookmarkStart w:id="341" w:name="_Toc500238764"/>
      <w:bookmarkStart w:id="342" w:name="_Toc500508449"/>
      <w:bookmarkStart w:id="343" w:name="_Toc491784144"/>
      <w:r>
        <w:t xml:space="preserve">Recommendation </w:t>
      </w:r>
      <w:r w:rsidRPr="00E37FDB">
        <w:fldChar w:fldCharType="begin"/>
      </w:r>
      <w:r>
        <w:instrText xml:space="preserve"> SEQ Recommendation \* ARABIC </w:instrText>
      </w:r>
      <w:r w:rsidRPr="00E37FDB">
        <w:fldChar w:fldCharType="separate"/>
      </w:r>
      <w:r w:rsidR="00121BC1">
        <w:rPr>
          <w:noProof/>
        </w:rPr>
        <w:t>21</w:t>
      </w:r>
      <w:bookmarkEnd w:id="338"/>
      <w:bookmarkEnd w:id="339"/>
      <w:bookmarkEnd w:id="340"/>
      <w:bookmarkEnd w:id="341"/>
      <w:bookmarkEnd w:id="342"/>
      <w:r w:rsidRPr="00E37FDB">
        <w:rPr>
          <w:noProof/>
        </w:rPr>
        <w:fldChar w:fldCharType="end"/>
      </w:r>
    </w:p>
    <w:p w14:paraId="2DE4E8C0" w14:textId="1431C734" w:rsidR="00CC703E" w:rsidRDefault="00740F7E" w:rsidP="00E764A9">
      <w:pPr>
        <w:pBdr>
          <w:top w:val="single" w:sz="4" w:space="1" w:color="auto"/>
          <w:left w:val="single" w:sz="4" w:space="1" w:color="auto"/>
          <w:bottom w:val="single" w:sz="4" w:space="1" w:color="auto"/>
          <w:right w:val="single" w:sz="4" w:space="1" w:color="auto"/>
        </w:pBdr>
        <w:tabs>
          <w:tab w:val="clear" w:pos="567"/>
        </w:tabs>
        <w:spacing w:before="0" w:after="0"/>
        <w:rPr>
          <w:szCs w:val="24"/>
        </w:rPr>
      </w:pPr>
      <w:r w:rsidRPr="00740F7E">
        <w:rPr>
          <w:szCs w:val="24"/>
        </w:rPr>
        <w:t xml:space="preserve">The department should continue to work with Animal Health Australia, state/territory agencies and </w:t>
      </w:r>
      <w:r w:rsidR="00C216FD">
        <w:rPr>
          <w:szCs w:val="24"/>
        </w:rPr>
        <w:t xml:space="preserve">aquatic </w:t>
      </w:r>
      <w:r w:rsidRPr="00740F7E">
        <w:rPr>
          <w:szCs w:val="24"/>
        </w:rPr>
        <w:t>industr</w:t>
      </w:r>
      <w:r w:rsidR="00C216FD">
        <w:rPr>
          <w:szCs w:val="24"/>
        </w:rPr>
        <w:t>ies</w:t>
      </w:r>
      <w:r w:rsidRPr="00740F7E">
        <w:rPr>
          <w:szCs w:val="24"/>
        </w:rPr>
        <w:t xml:space="preserve"> to develop an aquatic emergency animal disease response agreement (deed) as soon as possible.</w:t>
      </w:r>
    </w:p>
    <w:p w14:paraId="41C1C9D8" w14:textId="43FA18EC" w:rsidR="00CC703E" w:rsidRPr="005A1031" w:rsidRDefault="00E37FDB" w:rsidP="00E764A9">
      <w:pPr>
        <w:pBdr>
          <w:top w:val="single" w:sz="4" w:space="1" w:color="auto"/>
          <w:left w:val="single" w:sz="4" w:space="1" w:color="auto"/>
          <w:bottom w:val="single" w:sz="4" w:space="1" w:color="auto"/>
          <w:right w:val="single" w:sz="4" w:space="1" w:color="auto"/>
        </w:pBdr>
      </w:pPr>
      <w:r>
        <w:rPr>
          <w:b/>
        </w:rPr>
        <w:t>Department’s response:</w:t>
      </w:r>
      <w:r w:rsidR="005A1031">
        <w:t xml:space="preserve"> </w:t>
      </w:r>
      <w:r w:rsidR="005A1031" w:rsidRPr="005A1031">
        <w:t>Agree. Development of the aquatic deed is well progressed</w:t>
      </w:r>
      <w:r w:rsidR="005A1031">
        <w:t>.</w:t>
      </w:r>
    </w:p>
    <w:p w14:paraId="426930DF" w14:textId="4E215A57" w:rsidR="00CC703E" w:rsidRDefault="00E37FDB">
      <w:pPr>
        <w:spacing w:before="240" w:after="0"/>
        <w:rPr>
          <w:rStyle w:val="Heading3Char"/>
          <w:rFonts w:eastAsia="Calibri"/>
          <w:bCs w:val="0"/>
        </w:rPr>
      </w:pPr>
      <w:r>
        <w:rPr>
          <w:lang w:eastAsia="en-AU"/>
        </w:rPr>
        <w:t xml:space="preserve">Once a deed is finalised, arrangements for early response to emergency aquatic animal disease incidents can be implemented more easily. For example, Australia </w:t>
      </w:r>
      <w:r>
        <w:rPr>
          <w:lang w:eastAsia="en-AU"/>
        </w:rPr>
        <w:lastRenderedPageBreak/>
        <w:t xml:space="preserve">has established a Rapid Response Team (RRT) of experienced government staff to respond to emergency animal or plant disease incidents in any state or territory of Australia. AHA manages the RRT and the department coordinates its deployment during an emergency disease response. Through AQUAPLAN 2014–2019, the capability of the RRT to provide a </w:t>
      </w:r>
      <w:r>
        <w:rPr>
          <w:rFonts w:cs="Calibri"/>
        </w:rPr>
        <w:t xml:space="preserve">national first response to aquatic animal diseases will be considered </w:t>
      </w:r>
      <w:r w:rsidR="0095120F">
        <w:rPr>
          <w:rFonts w:cs="Calibri"/>
        </w:rPr>
        <w:t xml:space="preserve">by the department </w:t>
      </w:r>
      <w:r>
        <w:rPr>
          <w:rFonts w:cs="Calibri"/>
        </w:rPr>
        <w:t>(Activity 2.3)</w:t>
      </w:r>
      <w:r w:rsidR="00E6098F">
        <w:rPr>
          <w:rFonts w:cs="Calibri"/>
          <w:vertAlign w:val="superscript"/>
        </w:rPr>
        <w:t>19</w:t>
      </w:r>
      <w:r w:rsidR="002E2FBF">
        <w:rPr>
          <w:rFonts w:cs="Calibri"/>
          <w:vertAlign w:val="superscript"/>
        </w:rPr>
        <w:t>9</w:t>
      </w:r>
      <w:r w:rsidR="007F7855">
        <w:rPr>
          <w:rFonts w:cs="Calibri"/>
          <w:vertAlign w:val="superscript"/>
        </w:rPr>
        <w:t xml:space="preserve"> (p. 15)</w:t>
      </w:r>
      <w:r>
        <w:rPr>
          <w:rFonts w:cs="Calibri"/>
        </w:rPr>
        <w:t>. A key focus</w:t>
      </w:r>
      <w:r w:rsidR="007704ED">
        <w:rPr>
          <w:rFonts w:cs="Calibri"/>
        </w:rPr>
        <w:t xml:space="preserve"> </w:t>
      </w:r>
      <w:r w:rsidR="00B13F4E">
        <w:rPr>
          <w:rFonts w:cs="Calibri"/>
        </w:rPr>
        <w:t>of that activity</w:t>
      </w:r>
      <w:r>
        <w:rPr>
          <w:rFonts w:cs="Calibri"/>
        </w:rPr>
        <w:t xml:space="preserve"> will be</w:t>
      </w:r>
      <w:r>
        <w:rPr>
          <w:lang w:eastAsia="en-AU"/>
        </w:rPr>
        <w:t xml:space="preserve"> </w:t>
      </w:r>
      <w:r w:rsidR="007704ED">
        <w:rPr>
          <w:lang w:eastAsia="en-AU"/>
        </w:rPr>
        <w:t xml:space="preserve">for governments </w:t>
      </w:r>
      <w:r>
        <w:rPr>
          <w:lang w:eastAsia="en-AU"/>
        </w:rPr>
        <w:t>to establish whether existing resources and expertise available through the RRT are sufficient or should be expanded.</w:t>
      </w:r>
    </w:p>
    <w:p w14:paraId="5884A6D7" w14:textId="2AE0B7AB" w:rsidR="00CC703E" w:rsidRPr="00E764A9" w:rsidRDefault="00E37FDB" w:rsidP="00E764A9">
      <w:pPr>
        <w:pStyle w:val="Heading3"/>
        <w:rPr>
          <w:rStyle w:val="Heading3Char"/>
          <w:rFonts w:eastAsia="Calibri"/>
          <w:b/>
          <w:bCs/>
        </w:rPr>
      </w:pPr>
      <w:bookmarkStart w:id="344" w:name="_Toc500508450"/>
      <w:r w:rsidRPr="00E764A9">
        <w:rPr>
          <w:rStyle w:val="Heading3Char"/>
          <w:rFonts w:eastAsia="Calibri"/>
          <w:b/>
          <w:bCs/>
        </w:rPr>
        <w:t>Stronger on-farm biosecurity programs for prawn and other aquaculture industries</w:t>
      </w:r>
      <w:bookmarkEnd w:id="343"/>
      <w:bookmarkEnd w:id="344"/>
    </w:p>
    <w:p w14:paraId="7401590C" w14:textId="051D529A" w:rsidR="00CC703E" w:rsidRDefault="00E37FDB" w:rsidP="00E764A9">
      <w:pPr>
        <w:rPr>
          <w:lang w:eastAsia="en-AU"/>
        </w:rPr>
      </w:pPr>
      <w:r>
        <w:rPr>
          <w:lang w:eastAsia="en-AU"/>
        </w:rPr>
        <w:t>Effective on-farm biosecurity practices and management are essential in reducing the risk of the introduction of pests and diseases. A farm that practices effective on-farm biosecurity is likely to be better protected against biosecurity risks already present in Australia and those that enter the country. This was not the case with the WSD-infected farms on the Logan River. Department scientists who visited the farms with investigators after the WSD outbreak noted</w:t>
      </w:r>
      <w:r w:rsidR="00202E66">
        <w:rPr>
          <w:vertAlign w:val="superscript"/>
          <w:lang w:eastAsia="en-AU"/>
        </w:rPr>
        <w:t>13</w:t>
      </w:r>
      <w:r w:rsidR="002E2FBF">
        <w:rPr>
          <w:vertAlign w:val="superscript"/>
          <w:lang w:eastAsia="en-AU"/>
        </w:rPr>
        <w:t>8</w:t>
      </w:r>
      <w:r w:rsidR="007F7855">
        <w:rPr>
          <w:vertAlign w:val="superscript"/>
          <w:lang w:eastAsia="en-AU"/>
        </w:rPr>
        <w:t xml:space="preserve"> (p.</w:t>
      </w:r>
      <w:r w:rsidR="00EF0E59">
        <w:rPr>
          <w:vertAlign w:val="superscript"/>
          <w:lang w:eastAsia="en-AU"/>
        </w:rPr>
        <w:t xml:space="preserve"> </w:t>
      </w:r>
      <w:r w:rsidR="007F7855">
        <w:rPr>
          <w:vertAlign w:val="superscript"/>
          <w:lang w:eastAsia="en-AU"/>
        </w:rPr>
        <w:t>41)</w:t>
      </w:r>
      <w:r>
        <w:rPr>
          <w:lang w:eastAsia="en-AU"/>
        </w:rPr>
        <w:t>:</w:t>
      </w:r>
    </w:p>
    <w:p w14:paraId="72C2247B" w14:textId="77777777" w:rsidR="00CC703E" w:rsidRDefault="00E37FDB">
      <w:pPr>
        <w:pStyle w:val="Quote"/>
        <w:rPr>
          <w:lang w:eastAsia="en-AU"/>
        </w:rPr>
      </w:pPr>
      <w:r>
        <w:rPr>
          <w:lang w:eastAsia="en-AU"/>
        </w:rPr>
        <w:t xml:space="preserve">... that biosecurity measures had not been </w:t>
      </w:r>
      <w:r>
        <w:t>implemented</w:t>
      </w:r>
      <w:r>
        <w:rPr>
          <w:lang w:eastAsia="en-AU"/>
        </w:rPr>
        <w:t xml:space="preserve"> or were implemented in only limited ways. None of the farms implemented biosecurity measures that might be expected of modern prawn farming operations (apart from some water filtering, pond fallowing and probiotic use).</w:t>
      </w:r>
    </w:p>
    <w:p w14:paraId="1CFE7E18" w14:textId="2548BCE6" w:rsidR="00CC703E" w:rsidRDefault="00E37FDB" w:rsidP="00E764A9">
      <w:pPr>
        <w:rPr>
          <w:lang w:eastAsia="en-AU"/>
        </w:rPr>
      </w:pPr>
      <w:r>
        <w:rPr>
          <w:lang w:eastAsia="en-AU"/>
        </w:rPr>
        <w:t xml:space="preserve">According to department scientists, all commercial aquaculture </w:t>
      </w:r>
      <w:r>
        <w:rPr>
          <w:rFonts w:eastAsia="Times New Roman"/>
          <w:lang w:eastAsia="en-AU"/>
        </w:rPr>
        <w:t>farms</w:t>
      </w:r>
      <w:r>
        <w:rPr>
          <w:lang w:eastAsia="en-AU"/>
        </w:rPr>
        <w:t xml:space="preserve"> along the Logan River lacked crab-proof fences. This enabled the movement of crabs in and out of the river, between ponds and between farms. Similarly, some of the farms did not have in place measures to prevent bird predation. Some farms also lacked effective water filtration methods. Consequently, wild prawns were either transferred into ponds and grew there alongside farmed prawns or were allowed to grow in inlet channels, potentially allowing free WSSV to move into production ponds each time the ponds were topped up with water from the inlet channel</w:t>
      </w:r>
      <w:r w:rsidR="0089730F">
        <w:rPr>
          <w:vertAlign w:val="superscript"/>
          <w:lang w:eastAsia="en-AU"/>
        </w:rPr>
        <w:t>138</w:t>
      </w:r>
      <w:r w:rsidR="00BD5624">
        <w:rPr>
          <w:vertAlign w:val="superscript"/>
          <w:lang w:eastAsia="en-AU"/>
        </w:rPr>
        <w:t xml:space="preserve"> </w:t>
      </w:r>
      <w:r w:rsidR="00622489">
        <w:rPr>
          <w:vertAlign w:val="superscript"/>
          <w:lang w:eastAsia="en-AU"/>
        </w:rPr>
        <w:t>(p</w:t>
      </w:r>
      <w:r w:rsidR="00307060">
        <w:rPr>
          <w:vertAlign w:val="superscript"/>
          <w:lang w:eastAsia="en-AU"/>
        </w:rPr>
        <w:t>.</w:t>
      </w:r>
      <w:r w:rsidR="00D0299D" w:rsidRPr="00D0299D">
        <w:rPr>
          <w:vertAlign w:val="superscript"/>
          <w:lang w:eastAsia="en-AU"/>
        </w:rPr>
        <w:t> </w:t>
      </w:r>
      <w:r w:rsidR="00622489">
        <w:rPr>
          <w:vertAlign w:val="superscript"/>
          <w:lang w:eastAsia="en-AU"/>
        </w:rPr>
        <w:t>41)</w:t>
      </w:r>
      <w:r>
        <w:rPr>
          <w:lang w:eastAsia="en-AU"/>
        </w:rPr>
        <w:t>.</w:t>
      </w:r>
    </w:p>
    <w:p w14:paraId="6A38187C" w14:textId="3DE106F8" w:rsidR="00CC703E" w:rsidRDefault="00E37FDB" w:rsidP="00E764A9">
      <w:r>
        <w:t xml:space="preserve">In March 2017 an </w:t>
      </w:r>
      <w:r>
        <w:rPr>
          <w:lang w:eastAsia="en-AU"/>
        </w:rPr>
        <w:t>international</w:t>
      </w:r>
      <w:r>
        <w:t xml:space="preserve"> expert visiting the infected prawn farms at the farmers’ request, also emphasised</w:t>
      </w:r>
      <w:r w:rsidR="002E2FBF">
        <w:rPr>
          <w:vertAlign w:val="superscript"/>
        </w:rPr>
        <w:t>200</w:t>
      </w:r>
      <w:r w:rsidR="00F27D59" w:rsidRPr="00F27D59">
        <w:t xml:space="preserve"> </w:t>
      </w:r>
      <w:r>
        <w:t>the need for strengthening on-farm biosecurity practices:</w:t>
      </w:r>
    </w:p>
    <w:p w14:paraId="05104EFA" w14:textId="77777777" w:rsidR="00CC703E" w:rsidRDefault="00E37FDB">
      <w:pPr>
        <w:pStyle w:val="Quote"/>
      </w:pPr>
      <w:r>
        <w:t>What the prawn farmers in Australia need to do is to develop a system that allows them to work under open environment conditions, since the farms they have are open ponds.</w:t>
      </w:r>
    </w:p>
    <w:p w14:paraId="5DB27EF2" w14:textId="77777777" w:rsidR="00CC703E" w:rsidRDefault="00E37FDB" w:rsidP="00B13F4E">
      <w:pPr>
        <w:pStyle w:val="Quote"/>
      </w:pPr>
      <w:r>
        <w:t>The system needs to be able to live with those new challenges and that means having control over the brood stock, because it is from the brood stock that you obtain the offspring that will be stocked in the pond.</w:t>
      </w:r>
    </w:p>
    <w:p w14:paraId="23BCF79C" w14:textId="77777777" w:rsidR="00CC703E" w:rsidRDefault="00E37FDB" w:rsidP="00B13F4E">
      <w:pPr>
        <w:pStyle w:val="Quote"/>
      </w:pPr>
      <w:r>
        <w:t>This is the first step in the process. The other step is to make sure that biosecurity measures are in place so that when a farm is working … the risks are down to a minimum level.</w:t>
      </w:r>
    </w:p>
    <w:p w14:paraId="2373F284" w14:textId="6DD38C98" w:rsidR="00CC703E" w:rsidRDefault="00E37FDB">
      <w:pPr>
        <w:spacing w:after="0"/>
      </w:pPr>
      <w:r>
        <w:rPr>
          <w:lang w:eastAsia="en-AU"/>
        </w:rPr>
        <w:lastRenderedPageBreak/>
        <w:t>Standard protocol in Asian prawn farms is that inlet water is not allowed directly into production ponds but is first filtered to 250 microns, chemically treated to kill crustaceans and kept for at least 72 hours before use</w:t>
      </w:r>
      <w:r w:rsidR="002E2FBF">
        <w:rPr>
          <w:vertAlign w:val="superscript"/>
          <w:lang w:eastAsia="en-AU"/>
        </w:rPr>
        <w:t>201</w:t>
      </w:r>
      <w:r w:rsidR="007773CD">
        <w:rPr>
          <w:vertAlign w:val="superscript"/>
          <w:lang w:eastAsia="en-AU"/>
        </w:rPr>
        <w:t>,</w:t>
      </w:r>
      <w:r w:rsidR="00622489">
        <w:rPr>
          <w:vertAlign w:val="superscript"/>
          <w:lang w:eastAsia="en-AU"/>
        </w:rPr>
        <w:t xml:space="preserve"> </w:t>
      </w:r>
      <w:r w:rsidR="00B12628">
        <w:rPr>
          <w:vertAlign w:val="superscript"/>
          <w:lang w:eastAsia="en-AU"/>
        </w:rPr>
        <w:t>20</w:t>
      </w:r>
      <w:r w:rsidR="002E2FBF">
        <w:rPr>
          <w:vertAlign w:val="superscript"/>
          <w:lang w:eastAsia="en-AU"/>
        </w:rPr>
        <w:t>2</w:t>
      </w:r>
      <w:r>
        <w:rPr>
          <w:lang w:eastAsia="en-AU"/>
        </w:rPr>
        <w:t xml:space="preserve">. </w:t>
      </w:r>
      <w:r>
        <w:t>The Asian prawn aquaculture industry has found these processes necessary in the presence of endemic WSSV in wild crustaceans. The processes add significant costs to prawn production, requiring more land for settling ponds, more fuel for pumping water and a budget for purchasing and managing required chemicals.</w:t>
      </w:r>
      <w:r w:rsidR="007A4662">
        <w:t xml:space="preserve"> For example, a drum-filter designed to filter incoming water can cost up to $100</w:t>
      </w:r>
      <w:r w:rsidR="00CF5DA0">
        <w:t>,</w:t>
      </w:r>
      <w:r w:rsidR="007A4662">
        <w:t>000 to install</w:t>
      </w:r>
      <w:r w:rsidR="002B6666">
        <w:rPr>
          <w:vertAlign w:val="superscript"/>
        </w:rPr>
        <w:t>35</w:t>
      </w:r>
      <w:r w:rsidR="007A4662">
        <w:t>.</w:t>
      </w:r>
    </w:p>
    <w:p w14:paraId="322B7970" w14:textId="58D63F2C" w:rsidR="00CC703E" w:rsidRDefault="00E37FDB">
      <w:pPr>
        <w:spacing w:after="0"/>
      </w:pPr>
      <w:r>
        <w:t>Prawn farmers disagreed with the department on how on-farm biosecurity was managed on affected farms before the WSD outbreak happened</w:t>
      </w:r>
      <w:r w:rsidR="00C91C65">
        <w:t xml:space="preserve">, and witnessed to </w:t>
      </w:r>
      <w:r w:rsidR="00A968E3">
        <w:t>the Committee</w:t>
      </w:r>
      <w:r>
        <w:t>:</w:t>
      </w:r>
    </w:p>
    <w:p w14:paraId="48DE7C1A" w14:textId="5FDAC4D4" w:rsidR="00CC703E" w:rsidRDefault="00E37FDB">
      <w:pPr>
        <w:pStyle w:val="Quote"/>
      </w:pPr>
      <w:r>
        <w:t>… one that farmers probably get most upset about as a line of inquiry is poor on-farm biosecurity practices … It really fails to recognise the extreme lengths that people need to go to protect themselves against white spot. This is not a process that should be entered into lightly. It is certainly not the type of process that people would enter into, for want of a better word, prophylactically—in other words, in case something happened. That is just not reality. The whole pretext of on-farm biosecurity practices being one of the factors I think the whole industry finds quite offensive. I think we really need to try and put that into some context … trichlorfon, for instance, the chemical used overseas as a crusticide, is not even registered for use in Australia yet. So to say that on-farm biosecurity practices are an issue is really a problem</w:t>
      </w:r>
      <w:r w:rsidR="002B6666">
        <w:rPr>
          <w:vertAlign w:val="superscript"/>
        </w:rPr>
        <w:t>2</w:t>
      </w:r>
      <w:r w:rsidR="002E2FBF">
        <w:rPr>
          <w:vertAlign w:val="superscript"/>
        </w:rPr>
        <w:t>03</w:t>
      </w:r>
      <w:r>
        <w:t>.</w:t>
      </w:r>
    </w:p>
    <w:p w14:paraId="284C6127" w14:textId="370EE216" w:rsidR="00DD3AAF" w:rsidRDefault="00E37FDB">
      <w:pPr>
        <w:spacing w:after="0"/>
      </w:pPr>
      <w:r>
        <w:t>The level of future on-farm biosecurity required and applied—if Australian prawn farmers decide to continue growing prawns—will depend on whether or not WSSV continues to be detected in the wild. The Queensland Government is committed to working with the Australian Prawn Farmers Association and local farmers to ensure that on-farm biosecurity practices are at an acceptable minimum standard</w:t>
      </w:r>
      <w:r w:rsidR="002B6666">
        <w:rPr>
          <w:vertAlign w:val="superscript"/>
        </w:rPr>
        <w:t>13</w:t>
      </w:r>
      <w:r w:rsidR="00767FF3">
        <w:rPr>
          <w:vertAlign w:val="superscript"/>
        </w:rPr>
        <w:t>8</w:t>
      </w:r>
      <w:r w:rsidR="00D0299D">
        <w:rPr>
          <w:vertAlign w:val="superscript"/>
        </w:rPr>
        <w:t xml:space="preserve"> (p. 41)</w:t>
      </w:r>
      <w:r w:rsidR="00F27D59" w:rsidRPr="00F27D59">
        <w:t xml:space="preserve"> </w:t>
      </w:r>
      <w:r>
        <w:t xml:space="preserve">before prawn farming operations recommence. Some requirements relating to these standards may be included in the </w:t>
      </w:r>
      <w:r w:rsidRPr="00632A61">
        <w:t>a</w:t>
      </w:r>
      <w:r>
        <w:t xml:space="preserve">quatic </w:t>
      </w:r>
      <w:r w:rsidRPr="00632A61">
        <w:t>d</w:t>
      </w:r>
      <w:r>
        <w:t xml:space="preserve">eed. In the meantime, industry should be encouraged to customise and use the Sub-Committee on Aquatic </w:t>
      </w:r>
      <w:r w:rsidRPr="002B6666">
        <w:t>Animal Health’s</w:t>
      </w:r>
      <w:r>
        <w:t xml:space="preserve"> </w:t>
      </w:r>
      <w:r w:rsidR="001C01AE" w:rsidRPr="001C01AE">
        <w:rPr>
          <w:i/>
        </w:rPr>
        <w:t>Aquaculture Farm Biosecurity Plan: generic guidelines and template</w:t>
      </w:r>
      <w:r w:rsidR="002B6666" w:rsidRPr="0089730F">
        <w:rPr>
          <w:rStyle w:val="Hyperlink"/>
          <w:color w:val="auto"/>
          <w:u w:val="none"/>
          <w:vertAlign w:val="superscript"/>
        </w:rPr>
        <w:t>90</w:t>
      </w:r>
      <w:r>
        <w:t>.</w:t>
      </w:r>
    </w:p>
    <w:p w14:paraId="6F801E74" w14:textId="51044706" w:rsidR="00DD3AAF" w:rsidRDefault="00DD3AAF" w:rsidP="00DD3AAF">
      <w:pPr>
        <w:spacing w:after="0"/>
      </w:pPr>
      <w:r>
        <w:t>After the 201</w:t>
      </w:r>
      <w:r w:rsidR="00C91C65">
        <w:t>1</w:t>
      </w:r>
      <w:r w:rsidR="00C91C65" w:rsidRPr="00894BB4">
        <w:rPr>
          <w:rFonts w:ascii="Calibri" w:hAnsi="Calibri"/>
        </w:rPr>
        <w:t>–</w:t>
      </w:r>
      <w:r>
        <w:t>12 outbreak of WSD in Madagascar and Mozambique, the lack of surveillance of wild prawns was identified as an issue</w:t>
      </w:r>
      <w:r w:rsidR="00764CC9">
        <w:rPr>
          <w:vertAlign w:val="superscript"/>
        </w:rPr>
        <w:t>35</w:t>
      </w:r>
      <w:r>
        <w:t xml:space="preserve">. It </w:t>
      </w:r>
      <w:r w:rsidR="00C91C65">
        <w:t>emerged</w:t>
      </w:r>
      <w:r>
        <w:t xml:space="preserve"> that WSSV had arrived in wild prawns some months before it infected the farms. Had the virus been detected earlier, farms could have responded with increased biosecurity. </w:t>
      </w:r>
      <w:r w:rsidR="00C216FD">
        <w:t xml:space="preserve">As WSSV is now endemic in the Mozambique </w:t>
      </w:r>
      <w:r w:rsidR="00C91C65">
        <w:t>Channel</w:t>
      </w:r>
      <w:r w:rsidR="00C216FD">
        <w:t>, s</w:t>
      </w:r>
      <w:r>
        <w:t>ome prawn farms there have now implemented ongoing targeted surveillance of wild crustaceans near their farms.</w:t>
      </w:r>
      <w:r w:rsidR="00242B77">
        <w:t xml:space="preserve"> </w:t>
      </w:r>
      <w:r>
        <w:t>I</w:t>
      </w:r>
      <w:r w:rsidR="00DB6D6A">
        <w:t>n future, i</w:t>
      </w:r>
      <w:r>
        <w:t xml:space="preserve">t may also be appropriate for Australian prawn farmers to consider this, </w:t>
      </w:r>
      <w:r w:rsidR="00C216FD">
        <w:t>irrespective</w:t>
      </w:r>
      <w:r>
        <w:t xml:space="preserve"> o</w:t>
      </w:r>
      <w:r w:rsidR="00C216FD">
        <w:t>f</w:t>
      </w:r>
      <w:r>
        <w:t xml:space="preserve"> the results of environmental surveillance for WSSV in the next few years.</w:t>
      </w:r>
    </w:p>
    <w:p w14:paraId="6A85CCE3" w14:textId="2A3E2058" w:rsidR="00CC703E" w:rsidRPr="00E764A9" w:rsidRDefault="00E37FDB" w:rsidP="00E764A9">
      <w:pPr>
        <w:pStyle w:val="Heading3"/>
        <w:rPr>
          <w:rStyle w:val="Heading3Char"/>
          <w:rFonts w:eastAsia="Calibri"/>
          <w:b/>
          <w:bCs/>
        </w:rPr>
      </w:pPr>
      <w:bookmarkStart w:id="345" w:name="_Toc500508451"/>
      <w:r w:rsidRPr="00E764A9">
        <w:rPr>
          <w:rStyle w:val="Heading3Char"/>
          <w:rFonts w:eastAsia="Calibri"/>
          <w:b/>
          <w:bCs/>
        </w:rPr>
        <w:lastRenderedPageBreak/>
        <w:t>Post-border verification to minimise risk of WSSV-infected prawns entering waterways</w:t>
      </w:r>
      <w:bookmarkEnd w:id="345"/>
    </w:p>
    <w:p w14:paraId="2A11FF07" w14:textId="60446A2D" w:rsidR="00CC703E" w:rsidRDefault="00E37FDB">
      <w:pPr>
        <w:spacing w:after="0"/>
        <w:rPr>
          <w:lang w:eastAsia="en-AU"/>
        </w:rPr>
      </w:pPr>
      <w:r>
        <w:t xml:space="preserve">The </w:t>
      </w:r>
      <w:r w:rsidR="0003306F">
        <w:t xml:space="preserve">department assumed that, under the </w:t>
      </w:r>
      <w:r w:rsidR="007704ED">
        <w:t>i</w:t>
      </w:r>
      <w:r>
        <w:t xml:space="preserve">mport conditions </w:t>
      </w:r>
      <w:r w:rsidR="00632A61">
        <w:t>before</w:t>
      </w:r>
      <w:r w:rsidR="0095120F">
        <w:t xml:space="preserve"> 2017</w:t>
      </w:r>
      <w:r w:rsidR="0003306F">
        <w:t>, only a small amount of</w:t>
      </w:r>
      <w:r w:rsidR="0095120F">
        <w:t xml:space="preserve"> </w:t>
      </w:r>
      <w:r>
        <w:t xml:space="preserve">WSSV would enter Australia undetected. However, the high prevalence of WSSV in some uncooked imported </w:t>
      </w:r>
      <w:r>
        <w:rPr>
          <w:lang w:eastAsia="en-AU"/>
        </w:rPr>
        <w:t>prawns</w:t>
      </w:r>
      <w:r>
        <w:t xml:space="preserve"> at retail outlets (from at least 2013) </w:t>
      </w:r>
      <w:r w:rsidR="0003306F">
        <w:t>clearly indicated that this was not the case</w:t>
      </w:r>
      <w:r>
        <w:t xml:space="preserve">. </w:t>
      </w:r>
      <w:r>
        <w:rPr>
          <w:lang w:eastAsia="en-AU"/>
        </w:rPr>
        <w:t>Despite enhanced pre-border and border measures, the resumption of uncooked prawn imports still carries risks that some WSSV-infected prawns may enter Australia for retail sale and could enter Australian waters. The Department of Agriculture and Water Resources,</w:t>
      </w:r>
      <w:r w:rsidR="0095120F">
        <w:rPr>
          <w:lang w:eastAsia="en-AU"/>
        </w:rPr>
        <w:t xml:space="preserve"> </w:t>
      </w:r>
      <w:r>
        <w:rPr>
          <w:lang w:eastAsia="en-AU"/>
        </w:rPr>
        <w:t>state and territor</w:t>
      </w:r>
      <w:r w:rsidR="007704ED">
        <w:rPr>
          <w:lang w:eastAsia="en-AU"/>
        </w:rPr>
        <w:t>y government agencies</w:t>
      </w:r>
      <w:r>
        <w:rPr>
          <w:lang w:eastAsia="en-AU"/>
        </w:rPr>
        <w:t xml:space="preserve"> and industry </w:t>
      </w:r>
      <w:r w:rsidR="0003306F">
        <w:rPr>
          <w:lang w:eastAsia="en-AU"/>
        </w:rPr>
        <w:t>sh</w:t>
      </w:r>
      <w:r>
        <w:rPr>
          <w:lang w:eastAsia="en-AU"/>
        </w:rPr>
        <w:t>ould agree on measures for monitoring and minimising these risks and establish cost-sharing arrangements, as relevant. Measures could include:</w:t>
      </w:r>
    </w:p>
    <w:p w14:paraId="0F716BDD" w14:textId="19FD209D" w:rsidR="00CC703E" w:rsidRDefault="00E37FDB" w:rsidP="00E764A9">
      <w:pPr>
        <w:pStyle w:val="ListBullet"/>
        <w:rPr>
          <w:lang w:eastAsia="en-AU"/>
        </w:rPr>
      </w:pPr>
      <w:r>
        <w:t>periodic surveillance of retail prawns for target diseases</w:t>
      </w:r>
      <w:r w:rsidR="00307060">
        <w:t>,</w:t>
      </w:r>
    </w:p>
    <w:p w14:paraId="0D43B93B" w14:textId="1ED8DCE9" w:rsidR="00CC703E" w:rsidRDefault="00E37FDB" w:rsidP="00E764A9">
      <w:pPr>
        <w:pStyle w:val="ListBullet"/>
        <w:rPr>
          <w:lang w:eastAsia="en-AU"/>
        </w:rPr>
      </w:pPr>
      <w:r>
        <w:t>periodic assessment of fishing practices</w:t>
      </w:r>
      <w:r w:rsidR="00307060">
        <w:t>,</w:t>
      </w:r>
    </w:p>
    <w:p w14:paraId="7A25CBE5" w14:textId="009FA121" w:rsidR="00CC703E" w:rsidRDefault="00E37FDB" w:rsidP="00E764A9">
      <w:pPr>
        <w:pStyle w:val="ListBullet"/>
        <w:rPr>
          <w:lang w:eastAsia="en-AU"/>
        </w:rPr>
      </w:pPr>
      <w:r>
        <w:t>public awareness programs designed to discourage use of imported prawns as bait</w:t>
      </w:r>
      <w:r w:rsidR="00307060">
        <w:t>,</w:t>
      </w:r>
    </w:p>
    <w:p w14:paraId="170C0AA1" w14:textId="23206766" w:rsidR="00CC703E" w:rsidRDefault="00E37FDB" w:rsidP="00E764A9">
      <w:pPr>
        <w:pStyle w:val="ListBullet"/>
        <w:rPr>
          <w:lang w:eastAsia="en-AU"/>
        </w:rPr>
      </w:pPr>
      <w:r>
        <w:t>measures to prevent recreational fishing close to prawn farms</w:t>
      </w:r>
      <w:r w:rsidR="007704ED">
        <w:t>, and</w:t>
      </w:r>
    </w:p>
    <w:p w14:paraId="44006E79" w14:textId="2D2B6BE1" w:rsidR="00CC703E" w:rsidRDefault="00E37FDB" w:rsidP="00E764A9">
      <w:pPr>
        <w:pStyle w:val="ListBullet"/>
        <w:rPr>
          <w:lang w:eastAsia="en-AU"/>
        </w:rPr>
      </w:pPr>
      <w:r>
        <w:t>future surveillance of bait shops to ensure they are not selling imported prawns.</w:t>
      </w:r>
    </w:p>
    <w:p w14:paraId="4609CD89" w14:textId="77777777" w:rsidR="00F647D7" w:rsidRDefault="00F647D7">
      <w:pPr>
        <w:tabs>
          <w:tab w:val="clear" w:pos="567"/>
        </w:tabs>
        <w:spacing w:before="0" w:after="0"/>
        <w:rPr>
          <w:rFonts w:eastAsia="Times New Roman" w:cs="Mangal"/>
          <w:b/>
          <w:bCs/>
          <w:sz w:val="28"/>
          <w:lang w:val="x-none" w:eastAsia="x-none" w:bidi="hi-IN"/>
        </w:rPr>
      </w:pPr>
      <w:r>
        <w:br w:type="page"/>
      </w:r>
    </w:p>
    <w:p w14:paraId="5F9AE355" w14:textId="2B10FEC0" w:rsidR="00CC703E" w:rsidRDefault="00E37FDB" w:rsidP="006F2009">
      <w:pPr>
        <w:pStyle w:val="Heading4"/>
      </w:pPr>
      <w:r>
        <w:lastRenderedPageBreak/>
        <w:t>Monitoring WSSV in imported retail prawns</w:t>
      </w:r>
    </w:p>
    <w:p w14:paraId="541029BD" w14:textId="2EB2D892" w:rsidR="00CC703E" w:rsidRDefault="00E37FDB">
      <w:pPr>
        <w:spacing w:after="0"/>
        <w:rPr>
          <w:szCs w:val="24"/>
        </w:rPr>
      </w:pPr>
      <w:r>
        <w:rPr>
          <w:szCs w:val="24"/>
        </w:rPr>
        <w:t xml:space="preserve">The sampling and testing regime introduced in 2009 was expected to exclude most but not all WSSV-infected batches of imported uncooked prawns. The risk of any infection moving from the retail environment to a prawn farm was thought to be very small, so the department did not consider repeated discoveries of WSSV in retail prawns to be significant. The department </w:t>
      </w:r>
      <w:r w:rsidR="007704ED">
        <w:rPr>
          <w:szCs w:val="24"/>
        </w:rPr>
        <w:t xml:space="preserve">may have </w:t>
      </w:r>
      <w:r>
        <w:rPr>
          <w:szCs w:val="24"/>
        </w:rPr>
        <w:t>assumed that some infected prawns were getting in but would all be cooked and eaten or that high levels of positivity were likely to be due to cross-contamination.</w:t>
      </w:r>
    </w:p>
    <w:p w14:paraId="0B1E2D27" w14:textId="574D1DD4" w:rsidR="00CC703E" w:rsidRDefault="00E37FDB">
      <w:pPr>
        <w:spacing w:after="0"/>
        <w:rPr>
          <w:szCs w:val="24"/>
        </w:rPr>
      </w:pPr>
      <w:r>
        <w:rPr>
          <w:szCs w:val="24"/>
        </w:rPr>
        <w:t xml:space="preserve">However, the high levels of WSSV found in 2016 and 2017—in around 70 per cent of retail prawn batches—showed that biosecurity measures to keep WSSV out of Australia were not working. In retrospect, the effectiveness of the inspection and testing service </w:t>
      </w:r>
      <w:r w:rsidR="0095120F">
        <w:rPr>
          <w:szCs w:val="24"/>
        </w:rPr>
        <w:t xml:space="preserve">prior to 2017 </w:t>
      </w:r>
      <w:r>
        <w:rPr>
          <w:szCs w:val="24"/>
        </w:rPr>
        <w:t>could have been monitored by periodic surveillance of retail prawns for target diseases.</w:t>
      </w:r>
    </w:p>
    <w:p w14:paraId="455A6C07" w14:textId="6D77D2F8" w:rsidR="00CC703E" w:rsidRDefault="00E37FDB">
      <w:pPr>
        <w:spacing w:after="0"/>
        <w:rPr>
          <w:szCs w:val="24"/>
        </w:rPr>
      </w:pPr>
      <w:r>
        <w:rPr>
          <w:szCs w:val="24"/>
        </w:rPr>
        <w:t>The efforts that the department has gone to in 2017 to test and withdraw from sale any WSSV-positive product, and the new enhanced import conditions, should mean that detectable levels of WSSV in prawns at points of retail sale will diminish, but the pr</w:t>
      </w:r>
      <w:r w:rsidR="00CE7D3D">
        <w:rPr>
          <w:szCs w:val="24"/>
        </w:rPr>
        <w:t>evious</w:t>
      </w:r>
      <w:r>
        <w:rPr>
          <w:szCs w:val="24"/>
        </w:rPr>
        <w:t xml:space="preserve"> high levels of WSSV DNA will take some time to disappear. Factors that may influence this include ongoing cross-contamination from ice and equipment in retail outlets where infected prawns were present in the past, and </w:t>
      </w:r>
      <w:r w:rsidR="00301457">
        <w:rPr>
          <w:szCs w:val="24"/>
        </w:rPr>
        <w:t xml:space="preserve">possible </w:t>
      </w:r>
      <w:r>
        <w:rPr>
          <w:szCs w:val="24"/>
        </w:rPr>
        <w:t>cross-contamination of uncooked imported (and perhaps Australian) prawns by non-viable WSSV DNA from cooked prawns sold through the same retail outlets.</w:t>
      </w:r>
    </w:p>
    <w:p w14:paraId="38EF2DEC" w14:textId="39FBCCB2" w:rsidR="00CC703E" w:rsidRDefault="00E37FDB">
      <w:pPr>
        <w:spacing w:after="0"/>
        <w:rPr>
          <w:szCs w:val="24"/>
        </w:rPr>
      </w:pPr>
      <w:r>
        <w:rPr>
          <w:szCs w:val="24"/>
        </w:rPr>
        <w:t>The sampling framework for any such surveillance would need to be carefully designed and would benefit from preliminary research into levels of WSSV positivity and infectivity in retail-level uncooked and cooked, imported and Australian prawn products.</w:t>
      </w:r>
    </w:p>
    <w:p w14:paraId="4AC1875B" w14:textId="77777777" w:rsidR="00CC703E" w:rsidRDefault="00E37FDB" w:rsidP="00BC0B9B">
      <w:pPr>
        <w:pStyle w:val="Heading4"/>
        <w:rPr>
          <w:rStyle w:val="Heading3Char"/>
          <w:rFonts w:ascii="Calibri" w:eastAsia="Calibri" w:hAnsi="Calibri"/>
          <w:color w:val="auto"/>
          <w:szCs w:val="22"/>
        </w:rPr>
      </w:pPr>
      <w:r>
        <w:t>Protecting our environment through creating awareness</w:t>
      </w:r>
    </w:p>
    <w:p w14:paraId="7D7298FA" w14:textId="2C2593A3" w:rsidR="00CC703E" w:rsidRDefault="00E37FDB">
      <w:pPr>
        <w:spacing w:after="0"/>
      </w:pPr>
      <w:r>
        <w:t xml:space="preserve">Preventing any new pest or disease from entering our aquatic ecosystems is critical because once a pest or disease enters the environment </w:t>
      </w:r>
      <w:r w:rsidR="00862E63">
        <w:t>it is</w:t>
      </w:r>
      <w:r>
        <w:t xml:space="preserve"> difficult and costly to manage. Unless detected and dealt with early, it is impossible to completely remove a pest or disease, and both direct and indirect costs can quickly run into the millions.</w:t>
      </w:r>
    </w:p>
    <w:p w14:paraId="3063B6BE" w14:textId="3865277A" w:rsidR="00CC703E" w:rsidRDefault="00E37FDB">
      <w:pPr>
        <w:spacing w:after="0"/>
      </w:pPr>
      <w:r>
        <w:t>A greater understanding of the science and management of sustainable fisheries will contribute to ensuring a sustainable and biosecure future for Australia’s aquatic ecosystems. States and territories have been running successful educational campaigns targeted at recreational fishers and anglers to raise awareness about sustainability and biosecurity</w:t>
      </w:r>
      <w:r w:rsidR="00764CC9">
        <w:rPr>
          <w:vertAlign w:val="superscript"/>
        </w:rPr>
        <w:t>20</w:t>
      </w:r>
      <w:r w:rsidR="00767FF3">
        <w:rPr>
          <w:vertAlign w:val="superscript"/>
        </w:rPr>
        <w:t>4</w:t>
      </w:r>
      <w:r w:rsidR="007773CD">
        <w:rPr>
          <w:vertAlign w:val="superscript"/>
        </w:rPr>
        <w:t>,</w:t>
      </w:r>
      <w:r w:rsidR="00D0299D">
        <w:rPr>
          <w:vertAlign w:val="superscript"/>
        </w:rPr>
        <w:t xml:space="preserve"> </w:t>
      </w:r>
      <w:r w:rsidR="00764CC9">
        <w:rPr>
          <w:vertAlign w:val="superscript"/>
        </w:rPr>
        <w:t>20</w:t>
      </w:r>
      <w:r w:rsidR="00767FF3">
        <w:rPr>
          <w:vertAlign w:val="superscript"/>
        </w:rPr>
        <w:t>5</w:t>
      </w:r>
      <w:r w:rsidR="007773CD">
        <w:rPr>
          <w:vertAlign w:val="superscript"/>
        </w:rPr>
        <w:t>,</w:t>
      </w:r>
      <w:r w:rsidR="00D0299D">
        <w:rPr>
          <w:vertAlign w:val="superscript"/>
        </w:rPr>
        <w:t xml:space="preserve"> </w:t>
      </w:r>
      <w:r w:rsidR="00764CC9">
        <w:rPr>
          <w:vertAlign w:val="superscript"/>
        </w:rPr>
        <w:t>20</w:t>
      </w:r>
      <w:r w:rsidR="00767FF3">
        <w:rPr>
          <w:vertAlign w:val="superscript"/>
        </w:rPr>
        <w:t>6</w:t>
      </w:r>
      <w:r>
        <w:t>. Experience has shown that behavioural change is achieved by educating people before they access recreational sites. Enabling access without adequate and ongoing education and awareness leads to non-sustainable use and exposes recreational resources to increased biosecurity risks</w:t>
      </w:r>
      <w:r w:rsidR="00764CC9">
        <w:rPr>
          <w:vertAlign w:val="superscript"/>
        </w:rPr>
        <w:t>20</w:t>
      </w:r>
      <w:r w:rsidR="00767FF3">
        <w:rPr>
          <w:vertAlign w:val="superscript"/>
        </w:rPr>
        <w:t>7</w:t>
      </w:r>
      <w:r>
        <w:t>.</w:t>
      </w:r>
    </w:p>
    <w:p w14:paraId="7C665DAD" w14:textId="1FED4EDE" w:rsidR="00CC703E" w:rsidRDefault="00E37FDB">
      <w:pPr>
        <w:spacing w:after="0"/>
      </w:pPr>
      <w:r>
        <w:lastRenderedPageBreak/>
        <w:t>Following the Darwin incident in 2000 (chapter 3.4), the department announced</w:t>
      </w:r>
      <w:r w:rsidR="00764CC9">
        <w:rPr>
          <w:vertAlign w:val="superscript"/>
        </w:rPr>
        <w:t>83</w:t>
      </w:r>
      <w:r w:rsidR="004C4120" w:rsidRPr="004C4120">
        <w:t xml:space="preserve"> </w:t>
      </w:r>
      <w:r>
        <w:t>tighter controls to avoid a recurrence and to protect Australia’s valuable aquaculture industries and environment. One of these control measures focused on the development of an education campaign with states and territories that targeted bait wholesalers, recreational fishers and restaurants. The status of this education campaign is unknown.</w:t>
      </w:r>
    </w:p>
    <w:p w14:paraId="7E24C110" w14:textId="41E8CDEE" w:rsidR="00CC703E" w:rsidRDefault="00E37FDB">
      <w:pPr>
        <w:spacing w:after="0"/>
      </w:pPr>
      <w:r>
        <w:t>Consideration should be given to the fishing exclusion zones that were declared near the infected prawn farms on the Logan River, and whether state</w:t>
      </w:r>
      <w:r w:rsidR="00CE7D3D">
        <w:t>/territory</w:t>
      </w:r>
      <w:r>
        <w:t xml:space="preserve"> legislation is needed to require fishing exclusion zones close to or upstream from </w:t>
      </w:r>
      <w:r w:rsidR="00CE7D3D">
        <w:t xml:space="preserve">all </w:t>
      </w:r>
      <w:r>
        <w:t>prawn farms. This would be like an easement and may be possible under planning laws. It would resemble various environmental conditions that are imposed on new prawn farm developments. However, the concerns of recreational and other local fishers would have to be considered before introducing such a measure.</w:t>
      </w:r>
    </w:p>
    <w:p w14:paraId="630F6F88" w14:textId="6B587716" w:rsidR="00CC703E" w:rsidRDefault="00E37FDB" w:rsidP="00632A61">
      <w:pPr>
        <w:pStyle w:val="Heading4"/>
      </w:pPr>
      <w:r>
        <w:t xml:space="preserve">Preventing the use of imported </w:t>
      </w:r>
      <w:r w:rsidR="007704ED">
        <w:rPr>
          <w:lang w:val="en-AU"/>
        </w:rPr>
        <w:t xml:space="preserve">uncooked </w:t>
      </w:r>
      <w:r>
        <w:t>prawns for bait or berley</w:t>
      </w:r>
    </w:p>
    <w:p w14:paraId="6236A3D3" w14:textId="389DA19E" w:rsidR="00CC703E" w:rsidRDefault="00E37FDB">
      <w:pPr>
        <w:spacing w:after="0"/>
        <w:rPr>
          <w:rFonts w:cs="Segoe UI"/>
          <w:szCs w:val="24"/>
        </w:rPr>
      </w:pPr>
      <w:r>
        <w:t xml:space="preserve">The 2009 IRA </w:t>
      </w:r>
      <w:r w:rsidR="007704ED">
        <w:t xml:space="preserve">team had </w:t>
      </w:r>
      <w:r>
        <w:t xml:space="preserve">considered the use of imported raw prawns for bait or berley as a risk pathway for prawn </w:t>
      </w:r>
      <w:r>
        <w:rPr>
          <w:lang w:eastAsia="en-AU"/>
        </w:rPr>
        <w:t>disease</w:t>
      </w:r>
      <w:r>
        <w:t xml:space="preserve"> introduction, but that it was likely to be a relatively minor pathway</w:t>
      </w:r>
      <w:r w:rsidR="00DD3AAF">
        <w:t xml:space="preserve"> (</w:t>
      </w:r>
      <w:r w:rsidR="00307060">
        <w:t xml:space="preserve">chapter </w:t>
      </w:r>
      <w:r w:rsidR="00DD3AAF">
        <w:t>5)</w:t>
      </w:r>
      <w:r>
        <w:t xml:space="preserve">. However, </w:t>
      </w:r>
      <w:r>
        <w:rPr>
          <w:rFonts w:cs="Segoe UI"/>
          <w:szCs w:val="24"/>
        </w:rPr>
        <w:t xml:space="preserve">raw imported prawns recovered from retail outlets near the affected properties tested positive to WSSV. </w:t>
      </w:r>
      <w:r>
        <w:rPr>
          <w:szCs w:val="24"/>
        </w:rPr>
        <w:t>On 14 and 15 December 2016, department investigators purchased 19 raw imported prawn products from 13 retail outlets, mostly within a 10-kilometre radius of the infected properties. On 4 January 2017 the department established that 14 of the 19 products tested positive for WSSV</w:t>
      </w:r>
      <w:r w:rsidR="00764CC9">
        <w:rPr>
          <w:szCs w:val="24"/>
          <w:vertAlign w:val="superscript"/>
        </w:rPr>
        <w:t>40</w:t>
      </w:r>
      <w:r>
        <w:rPr>
          <w:szCs w:val="24"/>
        </w:rPr>
        <w:t>.</w:t>
      </w:r>
    </w:p>
    <w:p w14:paraId="6537B350" w14:textId="06EAFE5A" w:rsidR="00CC703E" w:rsidRDefault="00E37FDB">
      <w:pPr>
        <w:spacing w:after="0"/>
      </w:pPr>
      <w:r>
        <w:rPr>
          <w:rFonts w:cs="Segoe UI"/>
          <w:szCs w:val="24"/>
        </w:rPr>
        <w:t>Investigators also found evidence that imported prawns for human consumption were used by recreational fishers operating in the river, and that these may have been discarded or fed to birds at the end of the fishing activity. Using prawns as bait for fishing therefore represents a possible entry and exposure pathway for susceptible crustaceans in the environment. Diggles</w:t>
      </w:r>
      <w:r w:rsidR="00764CC9">
        <w:rPr>
          <w:rFonts w:cs="Segoe UI"/>
          <w:szCs w:val="24"/>
          <w:vertAlign w:val="superscript"/>
        </w:rPr>
        <w:t>8</w:t>
      </w:r>
      <w:r w:rsidR="004C4120" w:rsidRPr="004C4120">
        <w:rPr>
          <w:rFonts w:cs="Segoe UI"/>
          <w:szCs w:val="24"/>
        </w:rPr>
        <w:t xml:space="preserve"> </w:t>
      </w:r>
      <w:r>
        <w:rPr>
          <w:rFonts w:cs="Segoe UI"/>
          <w:szCs w:val="24"/>
        </w:rPr>
        <w:t>estimated that up to 50 per cent of fishers in Queensland might have been using imported prawns as bait.</w:t>
      </w:r>
      <w:r w:rsidR="00F865FD">
        <w:rPr>
          <w:rFonts w:cs="Segoe UI"/>
          <w:szCs w:val="24"/>
        </w:rPr>
        <w:t xml:space="preserve"> </w:t>
      </w:r>
      <w:r w:rsidR="00F865FD">
        <w:t>Population increase in Australia is also likely to have resulted in a higher absolute number of recreational fishers since the 2009 IRA.</w:t>
      </w:r>
    </w:p>
    <w:p w14:paraId="6671D380" w14:textId="002C88AF" w:rsidR="00CC703E" w:rsidRDefault="00301457">
      <w:pPr>
        <w:spacing w:after="0"/>
      </w:pPr>
      <w:r>
        <w:t>C</w:t>
      </w:r>
      <w:r w:rsidR="00E37FDB">
        <w:t>onsiderable anecdotal evidence in early 2017 indicated that the practice of using prawns for bait had increased by 2016. This was due to the greater availability at retail of frozen imported product, which was often far cheaper than that available in bait shops. The practice was also reportedly promoted online and in fishing magazines.</w:t>
      </w:r>
    </w:p>
    <w:p w14:paraId="0981E1A7" w14:textId="21039435" w:rsidR="00CC703E" w:rsidRDefault="00E37FDB">
      <w:pPr>
        <w:spacing w:after="0"/>
      </w:pPr>
      <w:r>
        <w:t xml:space="preserve">In late 2016 the world market was flooded with cheap small prawns (see section 6.2.4) out of </w:t>
      </w:r>
      <w:r w:rsidR="000F4FE1">
        <w:t>Asia</w:t>
      </w:r>
      <w:r w:rsidR="00307060" w:rsidRPr="0089052F">
        <w:rPr>
          <w:vertAlign w:val="superscript"/>
        </w:rPr>
        <w:t>62, 63</w:t>
      </w:r>
      <w:r>
        <w:t>. Some of these may have been recently imported or ‘on the water’ to Australia when the suspension was announced. It is not known whether this product contributed to an increase in the prevalence of infected prawns</w:t>
      </w:r>
      <w:r w:rsidR="00F865FD">
        <w:t xml:space="preserve"> entering Australia</w:t>
      </w:r>
      <w:r>
        <w:t xml:space="preserve">. However, Operation Cattai may have resulted in </w:t>
      </w:r>
      <w:r w:rsidR="0095120F">
        <w:t xml:space="preserve">some importers </w:t>
      </w:r>
      <w:r>
        <w:t xml:space="preserve">unloading </w:t>
      </w:r>
      <w:r w:rsidR="0095120F">
        <w:t xml:space="preserve">their </w:t>
      </w:r>
      <w:r>
        <w:t>infected prawns cheaply onto the retail market in late 2016.</w:t>
      </w:r>
      <w:r w:rsidR="000F4FE1">
        <w:t xml:space="preserve"> </w:t>
      </w:r>
      <w:r>
        <w:t>It is clear that the end-use requirement ‘</w:t>
      </w:r>
      <w:r w:rsidR="00EF370E" w:rsidRPr="00EF370E">
        <w:t>For human consumption only—not to be used as bait or feed for aquatic animals</w:t>
      </w:r>
      <w:r w:rsidR="0095120F">
        <w:t>’</w:t>
      </w:r>
      <w:r>
        <w:t xml:space="preserve"> is not effective as a risk mitigation measure. </w:t>
      </w:r>
      <w:r>
        <w:lastRenderedPageBreak/>
        <w:t>The condition ‘not to be used for bait’ was originally inserted to prevent whole consignments of raw prawns being prepared, imported and sent to bait shops.</w:t>
      </w:r>
    </w:p>
    <w:p w14:paraId="56BA7233" w14:textId="6F79A0DB" w:rsidR="00CC703E" w:rsidRDefault="00E37FDB">
      <w:pPr>
        <w:spacing w:after="0"/>
      </w:pPr>
      <w:r>
        <w:t>It is not possible for the Australian Government to monitor or enforce bait use other than by exception, as part of a special biosecurity operation.</w:t>
      </w:r>
    </w:p>
    <w:p w14:paraId="49BBE0A6" w14:textId="4D22F4B8" w:rsidR="00CC703E" w:rsidRDefault="00E37FDB">
      <w:pPr>
        <w:spacing w:after="0"/>
      </w:pPr>
      <w:r>
        <w:t>The intent of the 2009 IRA, that uncooked imported prawns be consumed by people and therefore be unavailable for use as bait, may be more effectively controlled by better supply-chain management of uncooked prawns rather than by labelling. In many cases, labelling is discarded during distribution or before retail display.</w:t>
      </w:r>
    </w:p>
    <w:p w14:paraId="47A61D24" w14:textId="51131ADF" w:rsidR="00CC703E" w:rsidRDefault="00E37FDB">
      <w:pPr>
        <w:spacing w:after="0"/>
      </w:pPr>
      <w:r>
        <w:t>The two potential pathways for imported uncooked prawns to end up in bait shops are:</w:t>
      </w:r>
    </w:p>
    <w:p w14:paraId="4AB8C9F1" w14:textId="64FAC9A8" w:rsidR="00CC703E" w:rsidRDefault="00E37FDB">
      <w:pPr>
        <w:tabs>
          <w:tab w:val="clear" w:pos="567"/>
        </w:tabs>
        <w:spacing w:before="60" w:after="0"/>
        <w:ind w:left="425" w:hanging="425"/>
      </w:pPr>
      <w:r>
        <w:t>1.</w:t>
      </w:r>
      <w:r>
        <w:tab/>
        <w:t>Prawns pass their ‘use by’ date or are ‘freezer burned’ or otherwise rendered unsuitable for the human food chain.</w:t>
      </w:r>
    </w:p>
    <w:p w14:paraId="2E27F08D" w14:textId="055CE299" w:rsidR="00CC703E" w:rsidRDefault="00E37FDB">
      <w:pPr>
        <w:tabs>
          <w:tab w:val="clear" w:pos="567"/>
        </w:tabs>
        <w:spacing w:before="60" w:after="0"/>
        <w:ind w:left="425" w:hanging="425"/>
      </w:pPr>
      <w:r>
        <w:t>2.</w:t>
      </w:r>
      <w:r>
        <w:tab/>
        <w:t>Prawns are repackaged.</w:t>
      </w:r>
    </w:p>
    <w:p w14:paraId="4D442E6F" w14:textId="19D73C89" w:rsidR="00CC703E" w:rsidRDefault="00E37FDB">
      <w:pPr>
        <w:spacing w:after="0"/>
      </w:pPr>
      <w:r>
        <w:t>Retail prawns may have been resold in bait shops before 2017 because of the reported price differentials between bait and retail prawns. However, the department did not expect resale to occur and therefore did not look for it.</w:t>
      </w:r>
    </w:p>
    <w:p w14:paraId="4BB630AA" w14:textId="0E95AA49" w:rsidR="00CC703E" w:rsidRDefault="00E37FDB" w:rsidP="00BC0B9B">
      <w:pPr>
        <w:pStyle w:val="Heading3"/>
        <w:numPr>
          <w:ilvl w:val="0"/>
          <w:numId w:val="0"/>
        </w:numPr>
        <w:pBdr>
          <w:top w:val="single" w:sz="4" w:space="1" w:color="auto"/>
          <w:left w:val="single" w:sz="4" w:space="1" w:color="auto"/>
          <w:bottom w:val="single" w:sz="4" w:space="1" w:color="auto"/>
          <w:right w:val="single" w:sz="4" w:space="1" w:color="auto"/>
        </w:pBdr>
        <w:ind w:left="907" w:hanging="907"/>
      </w:pPr>
      <w:bookmarkStart w:id="346" w:name="_Toc499132684"/>
      <w:bookmarkStart w:id="347" w:name="_Toc499963204"/>
      <w:bookmarkStart w:id="348" w:name="_Toc500162510"/>
      <w:bookmarkStart w:id="349" w:name="_Toc500238767"/>
      <w:bookmarkStart w:id="350" w:name="_Toc500508452"/>
      <w:r>
        <w:t xml:space="preserve">Recommendation </w:t>
      </w:r>
      <w:r w:rsidRPr="00E37FDB">
        <w:fldChar w:fldCharType="begin"/>
      </w:r>
      <w:r>
        <w:instrText xml:space="preserve"> SEQ Recommendation \* ARABIC </w:instrText>
      </w:r>
      <w:r w:rsidRPr="00E37FDB">
        <w:fldChar w:fldCharType="separate"/>
      </w:r>
      <w:r w:rsidR="00121BC1">
        <w:rPr>
          <w:noProof/>
        </w:rPr>
        <w:t>22</w:t>
      </w:r>
      <w:bookmarkEnd w:id="346"/>
      <w:bookmarkEnd w:id="347"/>
      <w:bookmarkEnd w:id="348"/>
      <w:bookmarkEnd w:id="349"/>
      <w:bookmarkEnd w:id="350"/>
      <w:r w:rsidRPr="00E37FDB">
        <w:rPr>
          <w:noProof/>
        </w:rPr>
        <w:fldChar w:fldCharType="end"/>
      </w:r>
    </w:p>
    <w:p w14:paraId="3C47F7BF" w14:textId="77777777" w:rsidR="00740F7E" w:rsidRPr="00740F7E" w:rsidRDefault="00740F7E" w:rsidP="0087638C">
      <w:pPr>
        <w:pBdr>
          <w:top w:val="single" w:sz="4" w:space="1" w:color="auto"/>
          <w:left w:val="single" w:sz="4" w:space="1" w:color="auto"/>
          <w:bottom w:val="single" w:sz="4" w:space="1" w:color="auto"/>
          <w:right w:val="single" w:sz="4" w:space="1" w:color="auto"/>
        </w:pBdr>
        <w:tabs>
          <w:tab w:val="clear" w:pos="567"/>
        </w:tabs>
        <w:spacing w:before="0" w:after="0"/>
        <w:rPr>
          <w:szCs w:val="24"/>
        </w:rPr>
      </w:pPr>
      <w:r w:rsidRPr="00740F7E">
        <w:rPr>
          <w:szCs w:val="24"/>
        </w:rPr>
        <w:t>The department and state/territory governments and industry should agree on (and cost share, as relevant) measures for monitoring and minimising risks of any imported uncooked prawn product entering waterways. Measures could include:</w:t>
      </w:r>
    </w:p>
    <w:p w14:paraId="5E717854" w14:textId="77777777" w:rsidR="00740F7E" w:rsidRPr="00740F7E" w:rsidRDefault="00740F7E" w:rsidP="00BC0B9B">
      <w:pPr>
        <w:numPr>
          <w:ilvl w:val="0"/>
          <w:numId w:val="19"/>
        </w:numPr>
        <w:pBdr>
          <w:top w:val="single" w:sz="4" w:space="1" w:color="auto"/>
          <w:left w:val="single" w:sz="4" w:space="1" w:color="auto"/>
          <w:bottom w:val="single" w:sz="4" w:space="1" w:color="auto"/>
          <w:right w:val="single" w:sz="4" w:space="1" w:color="auto"/>
        </w:pBdr>
        <w:tabs>
          <w:tab w:val="clear" w:pos="567"/>
        </w:tabs>
        <w:spacing w:before="60" w:after="0"/>
        <w:rPr>
          <w:szCs w:val="24"/>
        </w:rPr>
      </w:pPr>
      <w:r w:rsidRPr="00740F7E">
        <w:rPr>
          <w:szCs w:val="24"/>
        </w:rPr>
        <w:t>periodic surveillance of retail prawns for target diseases</w:t>
      </w:r>
    </w:p>
    <w:p w14:paraId="42221F48" w14:textId="77777777" w:rsidR="00740F7E" w:rsidRPr="00740F7E" w:rsidRDefault="00740F7E" w:rsidP="00BC0B9B">
      <w:pPr>
        <w:numPr>
          <w:ilvl w:val="0"/>
          <w:numId w:val="19"/>
        </w:numPr>
        <w:pBdr>
          <w:top w:val="single" w:sz="4" w:space="1" w:color="auto"/>
          <w:left w:val="single" w:sz="4" w:space="1" w:color="auto"/>
          <w:bottom w:val="single" w:sz="4" w:space="1" w:color="auto"/>
          <w:right w:val="single" w:sz="4" w:space="1" w:color="auto"/>
        </w:pBdr>
        <w:tabs>
          <w:tab w:val="clear" w:pos="567"/>
        </w:tabs>
        <w:spacing w:before="60" w:after="0"/>
        <w:rPr>
          <w:szCs w:val="24"/>
        </w:rPr>
      </w:pPr>
      <w:r w:rsidRPr="00740F7E">
        <w:rPr>
          <w:szCs w:val="24"/>
        </w:rPr>
        <w:t>periodic assessment of fishing practices</w:t>
      </w:r>
    </w:p>
    <w:p w14:paraId="3216F528" w14:textId="77777777" w:rsidR="00740F7E" w:rsidRPr="00740F7E" w:rsidRDefault="00740F7E" w:rsidP="00BC0B9B">
      <w:pPr>
        <w:numPr>
          <w:ilvl w:val="0"/>
          <w:numId w:val="19"/>
        </w:numPr>
        <w:pBdr>
          <w:top w:val="single" w:sz="4" w:space="1" w:color="auto"/>
          <w:left w:val="single" w:sz="4" w:space="1" w:color="auto"/>
          <w:bottom w:val="single" w:sz="4" w:space="1" w:color="auto"/>
          <w:right w:val="single" w:sz="4" w:space="1" w:color="auto"/>
        </w:pBdr>
        <w:tabs>
          <w:tab w:val="clear" w:pos="567"/>
        </w:tabs>
        <w:spacing w:before="60" w:after="0"/>
        <w:rPr>
          <w:szCs w:val="24"/>
        </w:rPr>
      </w:pPr>
      <w:r w:rsidRPr="00740F7E">
        <w:rPr>
          <w:szCs w:val="24"/>
        </w:rPr>
        <w:t>targeted public awareness programs discouraging use of imported prawns as bait</w:t>
      </w:r>
    </w:p>
    <w:p w14:paraId="35C7DDDE" w14:textId="77777777" w:rsidR="00740F7E" w:rsidRPr="00740F7E" w:rsidRDefault="00740F7E" w:rsidP="00BC0B9B">
      <w:pPr>
        <w:numPr>
          <w:ilvl w:val="0"/>
          <w:numId w:val="19"/>
        </w:numPr>
        <w:pBdr>
          <w:top w:val="single" w:sz="4" w:space="1" w:color="auto"/>
          <w:left w:val="single" w:sz="4" w:space="1" w:color="auto"/>
          <w:bottom w:val="single" w:sz="4" w:space="1" w:color="auto"/>
          <w:right w:val="single" w:sz="4" w:space="1" w:color="auto"/>
        </w:pBdr>
        <w:tabs>
          <w:tab w:val="clear" w:pos="567"/>
        </w:tabs>
        <w:spacing w:before="60" w:after="0"/>
        <w:rPr>
          <w:szCs w:val="24"/>
        </w:rPr>
      </w:pPr>
      <w:r w:rsidRPr="00740F7E">
        <w:rPr>
          <w:szCs w:val="24"/>
        </w:rPr>
        <w:t>prevention of recreational fishing and surveillance of wild crustaceans close to prawn farms, and</w:t>
      </w:r>
    </w:p>
    <w:p w14:paraId="03930B43" w14:textId="4F975B6C" w:rsidR="00CC703E" w:rsidRDefault="00740F7E" w:rsidP="00BC0B9B">
      <w:pPr>
        <w:numPr>
          <w:ilvl w:val="0"/>
          <w:numId w:val="19"/>
        </w:numPr>
        <w:pBdr>
          <w:top w:val="single" w:sz="4" w:space="1" w:color="auto"/>
          <w:left w:val="single" w:sz="4" w:space="1" w:color="auto"/>
          <w:bottom w:val="single" w:sz="4" w:space="1" w:color="auto"/>
          <w:right w:val="single" w:sz="4" w:space="1" w:color="auto"/>
        </w:pBdr>
        <w:tabs>
          <w:tab w:val="clear" w:pos="567"/>
        </w:tabs>
        <w:spacing w:before="60" w:after="0"/>
        <w:rPr>
          <w:szCs w:val="24"/>
        </w:rPr>
      </w:pPr>
      <w:r w:rsidRPr="00740F7E">
        <w:rPr>
          <w:szCs w:val="24"/>
        </w:rPr>
        <w:t>surveillance of bait shops to ensure they are not selling prawns imported for human consumption.</w:t>
      </w:r>
    </w:p>
    <w:p w14:paraId="3B23BE64" w14:textId="4336DB61" w:rsidR="00CC703E" w:rsidRPr="005A1031" w:rsidRDefault="00E37FDB" w:rsidP="00BC0B9B">
      <w:pPr>
        <w:pBdr>
          <w:top w:val="single" w:sz="4" w:space="1" w:color="auto"/>
          <w:left w:val="single" w:sz="4" w:space="1" w:color="auto"/>
          <w:bottom w:val="single" w:sz="4" w:space="1" w:color="auto"/>
          <w:right w:val="single" w:sz="4" w:space="1" w:color="auto"/>
        </w:pBdr>
      </w:pPr>
      <w:r>
        <w:rPr>
          <w:b/>
        </w:rPr>
        <w:t xml:space="preserve">Department’s response: </w:t>
      </w:r>
      <w:r w:rsidR="005A1031" w:rsidRPr="005A1031">
        <w:t>Agree in principle – These issues will be considered as part of a systems based approach. Regulation of domestic fishing practices is a matter for state and territory governments.</w:t>
      </w:r>
    </w:p>
    <w:p w14:paraId="654BCCE1" w14:textId="7EFE7D83" w:rsidR="00CC703E" w:rsidRPr="00BC0B9B" w:rsidRDefault="00E37FDB" w:rsidP="00BC0B9B">
      <w:pPr>
        <w:pStyle w:val="Heading3"/>
      </w:pPr>
      <w:bookmarkStart w:id="351" w:name="_Toc491784146"/>
      <w:bookmarkStart w:id="352" w:name="_Toc500508453"/>
      <w:r w:rsidRPr="00BC0B9B">
        <w:rPr>
          <w:rStyle w:val="Heading3Char"/>
          <w:rFonts w:eastAsia="Calibri"/>
          <w:b/>
          <w:bCs/>
        </w:rPr>
        <w:t>Uncooked prawns for food service industry versus retail sale</w:t>
      </w:r>
      <w:bookmarkEnd w:id="351"/>
      <w:bookmarkEnd w:id="352"/>
    </w:p>
    <w:p w14:paraId="27FFC9AD" w14:textId="0D184055" w:rsidR="00CC703E" w:rsidRDefault="00E37FDB">
      <w:pPr>
        <w:spacing w:after="0"/>
      </w:pPr>
      <w:r>
        <w:t>It would appear that the 2009 IRA advice to label product ‘</w:t>
      </w:r>
      <w:r w:rsidR="00A16BC7" w:rsidRPr="00A16BC7">
        <w:t>For human consumption only—not to be used as bait or feed for aquatic animals</w:t>
      </w:r>
      <w:r>
        <w:t>’, and the various dispensations for different classes of highly processed prawns, assumed that all imported uncooked prawns would be cooked once in Australia and that virtually none would enter waterways in an uncooked state.</w:t>
      </w:r>
    </w:p>
    <w:p w14:paraId="1AE8C7F1" w14:textId="7EB898D7" w:rsidR="00CC703E" w:rsidRDefault="00E37FDB">
      <w:pPr>
        <w:spacing w:after="0"/>
      </w:pPr>
      <w:r>
        <w:lastRenderedPageBreak/>
        <w:t xml:space="preserve">Because they are readily available, cheap and in large quantities, uncooked prawns sold at retail </w:t>
      </w:r>
      <w:r w:rsidR="00942C52">
        <w:t xml:space="preserve">level </w:t>
      </w:r>
      <w:r>
        <w:t>pose a far greater risk of being diverted to bait or berley than do prawns provided to food service supply chains or direct to restaurants.</w:t>
      </w:r>
    </w:p>
    <w:p w14:paraId="6F4B3713" w14:textId="315B7C29" w:rsidR="00CC703E" w:rsidRDefault="00E37FDB">
      <w:pPr>
        <w:spacing w:before="60" w:after="0"/>
      </w:pPr>
      <w:r>
        <w:t>Consequently, it may be possible to implement post-border QA or HACCP-based schemes for some importers supplying major food service clients, as opposed to the retail sector. Any scheme reliably differentiating between uncooked prawns for retail sale and uncooked prawns for supply to food service and restaurant enterprises would need verification over time that there is no risk of diversion back to the retail market.</w:t>
      </w:r>
    </w:p>
    <w:p w14:paraId="28F37D09" w14:textId="6D45D16A" w:rsidR="005F432D" w:rsidRDefault="00E37FDB">
      <w:pPr>
        <w:spacing w:after="0"/>
      </w:pPr>
      <w:r>
        <w:t xml:space="preserve">The department is not in a position to resource implementation of such a scheme, nor does it have the legal jurisdiction. Any such scheme would have to be driven by importers and industry and have regulatory support from states/territories. In view of the level of non-compliance with import requirements, conditions would need to </w:t>
      </w:r>
      <w:r w:rsidRPr="0070110F">
        <w:t xml:space="preserve">be </w:t>
      </w:r>
      <w:r w:rsidRPr="00574585">
        <w:t>extremely tight and monitored over time</w:t>
      </w:r>
      <w:r w:rsidRPr="0070110F">
        <w:t>.</w:t>
      </w:r>
    </w:p>
    <w:p w14:paraId="0D044EFA" w14:textId="32DB2D4B" w:rsidR="002C7940" w:rsidRPr="002C7940" w:rsidRDefault="002C7940" w:rsidP="00BC0B9B">
      <w:pPr>
        <w:pStyle w:val="Heading2"/>
      </w:pPr>
      <w:bookmarkStart w:id="353" w:name="_Toc500508454"/>
      <w:r w:rsidRPr="002C7940">
        <w:lastRenderedPageBreak/>
        <w:t>Conclusion</w:t>
      </w:r>
      <w:bookmarkEnd w:id="353"/>
    </w:p>
    <w:p w14:paraId="67216675" w14:textId="3AAFA4A3" w:rsidR="00637E5A" w:rsidRPr="00637E5A" w:rsidRDefault="00637E5A" w:rsidP="005F42F8">
      <w:pPr>
        <w:spacing w:after="0"/>
        <w:rPr>
          <w:szCs w:val="24"/>
        </w:rPr>
      </w:pPr>
      <w:r w:rsidRPr="00637E5A">
        <w:rPr>
          <w:szCs w:val="24"/>
        </w:rPr>
        <w:t>Australia is a high-value market for prawn products, consuming about 5</w:t>
      </w:r>
      <w:r w:rsidR="004D39C1">
        <w:rPr>
          <w:szCs w:val="24"/>
        </w:rPr>
        <w:t>5</w:t>
      </w:r>
      <w:r w:rsidRPr="00637E5A">
        <w:rPr>
          <w:szCs w:val="24"/>
        </w:rPr>
        <w:t xml:space="preserve">,000 tonnes in 2016, of which </w:t>
      </w:r>
      <w:r w:rsidR="00317C05">
        <w:rPr>
          <w:szCs w:val="24"/>
        </w:rPr>
        <w:t xml:space="preserve">only </w:t>
      </w:r>
      <w:r w:rsidR="004D39C1">
        <w:rPr>
          <w:szCs w:val="24"/>
        </w:rPr>
        <w:t>20</w:t>
      </w:r>
      <w:r w:rsidRPr="00637E5A">
        <w:rPr>
          <w:szCs w:val="24"/>
        </w:rPr>
        <w:t xml:space="preserve">,000 tonnes were </w:t>
      </w:r>
      <w:r w:rsidR="00317C05">
        <w:rPr>
          <w:szCs w:val="24"/>
        </w:rPr>
        <w:t>Australian</w:t>
      </w:r>
      <w:r w:rsidR="004F0D82">
        <w:rPr>
          <w:szCs w:val="24"/>
        </w:rPr>
        <w:t>,</w:t>
      </w:r>
      <w:r w:rsidRPr="00637E5A">
        <w:rPr>
          <w:szCs w:val="24"/>
        </w:rPr>
        <w:t xml:space="preserve"> wild-caught or </w:t>
      </w:r>
      <w:r w:rsidR="004F0D82">
        <w:rPr>
          <w:szCs w:val="24"/>
        </w:rPr>
        <w:t xml:space="preserve">from </w:t>
      </w:r>
      <w:r w:rsidRPr="00637E5A">
        <w:rPr>
          <w:szCs w:val="24"/>
        </w:rPr>
        <w:t>prawn farms. From 2010 to 2016, we imported around 30-40,000 tonnes of prawn products each year, mostly from Asia, where WSSV is rife.</w:t>
      </w:r>
      <w:r w:rsidR="0007071E">
        <w:rPr>
          <w:szCs w:val="24"/>
        </w:rPr>
        <w:t xml:space="preserve"> Well over half the imported product was uncooked.</w:t>
      </w:r>
    </w:p>
    <w:p w14:paraId="07648F84" w14:textId="4F2ACCC0" w:rsidR="00637E5A" w:rsidRPr="00637E5A" w:rsidRDefault="00637E5A" w:rsidP="005F42F8">
      <w:pPr>
        <w:spacing w:after="0"/>
        <w:rPr>
          <w:szCs w:val="24"/>
        </w:rPr>
      </w:pPr>
      <w:r w:rsidRPr="00637E5A">
        <w:rPr>
          <w:szCs w:val="24"/>
        </w:rPr>
        <w:t xml:space="preserve">The 2016–17 white spot disease outbreak in </w:t>
      </w:r>
      <w:r w:rsidR="00AB7400">
        <w:rPr>
          <w:szCs w:val="24"/>
        </w:rPr>
        <w:t>seven</w:t>
      </w:r>
      <w:r w:rsidRPr="00637E5A">
        <w:rPr>
          <w:szCs w:val="24"/>
        </w:rPr>
        <w:t xml:space="preserve"> Queensland prawn farms was a significant blow to Australia’s prawn aquaculture industry, costly also for governments and other seafood industries. Detection in February 2017 of WSSV-infected prawns and crabs up to 60 nautical miles away from affected prawn farms raised the possibility that WSSV may have become endemic in Australian waters, although extensive later environmental surveillance had found no further positives by November 2017. Further environmental surveillance will be needed for years to monitor the situation.</w:t>
      </w:r>
    </w:p>
    <w:p w14:paraId="37E27BD8" w14:textId="4755368E" w:rsidR="00637E5A" w:rsidRPr="00637E5A" w:rsidRDefault="00637E5A" w:rsidP="005F42F8">
      <w:pPr>
        <w:spacing w:after="0"/>
        <w:rPr>
          <w:szCs w:val="24"/>
        </w:rPr>
      </w:pPr>
      <w:r w:rsidRPr="00637E5A">
        <w:rPr>
          <w:szCs w:val="24"/>
        </w:rPr>
        <w:t>The source of infection for the first infected farm was not conclusively proven, but there was strong circumstantial evidence that it could have been from imported uncooked prawns used as bait by fishers near the prawn farm.</w:t>
      </w:r>
      <w:r w:rsidR="00242B77">
        <w:rPr>
          <w:szCs w:val="24"/>
        </w:rPr>
        <w:t xml:space="preserve"> </w:t>
      </w:r>
      <w:r w:rsidRPr="00637E5A">
        <w:rPr>
          <w:szCs w:val="24"/>
        </w:rPr>
        <w:t xml:space="preserve">This led to a </w:t>
      </w:r>
      <w:r w:rsidR="002338E2">
        <w:rPr>
          <w:szCs w:val="24"/>
        </w:rPr>
        <w:t>six</w:t>
      </w:r>
      <w:r w:rsidRPr="00637E5A">
        <w:rPr>
          <w:szCs w:val="24"/>
        </w:rPr>
        <w:t>-month suspension of uncooked prawn imports into Australia, from 6 January to 6 July 2017. Investigations before and after this suspension revealed a major failure of Australia’s biosecurity system. Very high levels of WSSV were found in imported uncooked prawn products destined for retail outlets across the country. These products, imported in 2016, had already passed Australia’s border biosecurity controls, intended to keep most WSSV out.</w:t>
      </w:r>
    </w:p>
    <w:p w14:paraId="06B5CC7D" w14:textId="2B1ACF3D" w:rsidR="00637E5A" w:rsidRPr="00637E5A" w:rsidRDefault="00637E5A" w:rsidP="005F42F8">
      <w:pPr>
        <w:spacing w:after="0"/>
        <w:rPr>
          <w:szCs w:val="24"/>
        </w:rPr>
      </w:pPr>
      <w:r w:rsidRPr="00637E5A">
        <w:rPr>
          <w:szCs w:val="24"/>
        </w:rPr>
        <w:t>Import conditions for prawns and prawn products had remained unchanged since 2010, following a 12-year long import risk analysis.</w:t>
      </w:r>
      <w:r w:rsidR="00242B77">
        <w:rPr>
          <w:szCs w:val="24"/>
        </w:rPr>
        <w:t xml:space="preserve"> </w:t>
      </w:r>
      <w:r w:rsidRPr="00637E5A">
        <w:rPr>
          <w:szCs w:val="24"/>
        </w:rPr>
        <w:t>For biosecurity risk management, the 2010 import conditions relied heavily on sampling and testing uncooked imported prawn batches at the border before they were released from quarantine into the domestic supply chain.</w:t>
      </w:r>
      <w:r w:rsidR="00242B77">
        <w:rPr>
          <w:szCs w:val="24"/>
        </w:rPr>
        <w:t xml:space="preserve"> </w:t>
      </w:r>
      <w:r w:rsidRPr="00637E5A">
        <w:rPr>
          <w:szCs w:val="24"/>
        </w:rPr>
        <w:t xml:space="preserve">Many of the technical and practical difficulties and limitations of implementing these conditions, pre-border, border and post-border, only became fully apparent to the department in 2017. </w:t>
      </w:r>
      <w:r w:rsidR="00B57488">
        <w:rPr>
          <w:szCs w:val="24"/>
        </w:rPr>
        <w:t>Human r</w:t>
      </w:r>
      <w:r w:rsidRPr="00637E5A">
        <w:rPr>
          <w:szCs w:val="24"/>
        </w:rPr>
        <w:t xml:space="preserve">esources devoted to managing the biosecurity risks had diminished </w:t>
      </w:r>
      <w:r w:rsidR="00B57488">
        <w:rPr>
          <w:szCs w:val="24"/>
        </w:rPr>
        <w:t xml:space="preserve">substantially </w:t>
      </w:r>
      <w:r w:rsidRPr="00637E5A">
        <w:rPr>
          <w:szCs w:val="24"/>
        </w:rPr>
        <w:t>in previous years even as the risks were increasing.</w:t>
      </w:r>
    </w:p>
    <w:p w14:paraId="077281AC" w14:textId="1CCED1DF" w:rsidR="00637E5A" w:rsidRPr="00637E5A" w:rsidRDefault="00637E5A" w:rsidP="005F42F8">
      <w:pPr>
        <w:spacing w:after="0"/>
        <w:rPr>
          <w:szCs w:val="24"/>
        </w:rPr>
      </w:pPr>
      <w:r w:rsidRPr="00637E5A">
        <w:rPr>
          <w:szCs w:val="24"/>
        </w:rPr>
        <w:t xml:space="preserve">It appears that some importers </w:t>
      </w:r>
      <w:r w:rsidR="00942C52">
        <w:rPr>
          <w:szCs w:val="24"/>
        </w:rPr>
        <w:t>may have incorrectly declared and presented</w:t>
      </w:r>
      <w:r w:rsidRPr="00637E5A">
        <w:rPr>
          <w:szCs w:val="24"/>
        </w:rPr>
        <w:t xml:space="preserve"> consignments of uncooked prawn products to avoid border testing.</w:t>
      </w:r>
      <w:r w:rsidR="00242B77">
        <w:rPr>
          <w:szCs w:val="24"/>
        </w:rPr>
        <w:t xml:space="preserve"> </w:t>
      </w:r>
      <w:r w:rsidRPr="00637E5A">
        <w:rPr>
          <w:szCs w:val="24"/>
        </w:rPr>
        <w:t xml:space="preserve">These actions </w:t>
      </w:r>
      <w:r w:rsidR="00524726">
        <w:rPr>
          <w:szCs w:val="24"/>
        </w:rPr>
        <w:t>may have been</w:t>
      </w:r>
      <w:r w:rsidR="00524726" w:rsidRPr="00637E5A">
        <w:rPr>
          <w:szCs w:val="24"/>
        </w:rPr>
        <w:t xml:space="preserve"> </w:t>
      </w:r>
      <w:r w:rsidRPr="00637E5A">
        <w:rPr>
          <w:szCs w:val="24"/>
        </w:rPr>
        <w:t>facilitated by weak inspection policies and practices, and poor governance of the laboratory testing regime. Naivety about the extent to which all importers could be trusted, and complexity of internal information flow and risk governance, meant that emerging risks were not seen in their entirety.</w:t>
      </w:r>
    </w:p>
    <w:p w14:paraId="4AF0A307" w14:textId="13876F1E" w:rsidR="0007071E" w:rsidRDefault="00524726" w:rsidP="005F42F8">
      <w:pPr>
        <w:spacing w:after="0"/>
        <w:rPr>
          <w:szCs w:val="24"/>
        </w:rPr>
      </w:pPr>
      <w:r>
        <w:rPr>
          <w:lang w:eastAsia="ja-JP"/>
        </w:rPr>
        <w:t>During this review, I found several deficiencies in the management of the biosecurity risk of uncooked prawn imports, with broader implications for Australia’s biosecurity risk management more generally. I found that specific policy elements and their implementation had sowed the seeds of failure many years before, while progressive and cumulative acts, omissions and systemic factors at many levels exacerbated the risks over time.</w:t>
      </w:r>
      <w:r w:rsidR="00637E5A" w:rsidRPr="00637E5A">
        <w:rPr>
          <w:szCs w:val="24"/>
        </w:rPr>
        <w:t xml:space="preserve"> </w:t>
      </w:r>
    </w:p>
    <w:p w14:paraId="4EE5680B" w14:textId="4DBE8287" w:rsidR="00637E5A" w:rsidRPr="0094680E" w:rsidRDefault="00F8722E" w:rsidP="005F42F8">
      <w:pPr>
        <w:spacing w:after="0"/>
      </w:pPr>
      <w:r>
        <w:lastRenderedPageBreak/>
        <w:t xml:space="preserve">The department has shown a commendable willingness to examine its management of the biosecurity system and rectify the identified </w:t>
      </w:r>
      <w:r w:rsidR="00DF2848">
        <w:t>problem</w:t>
      </w:r>
      <w:r>
        <w:t xml:space="preserve">s. </w:t>
      </w:r>
      <w:r w:rsidR="00637E5A" w:rsidRPr="00637E5A">
        <w:rPr>
          <w:szCs w:val="24"/>
        </w:rPr>
        <w:t xml:space="preserve">Many of these </w:t>
      </w:r>
      <w:r w:rsidR="00DF2848">
        <w:rPr>
          <w:szCs w:val="24"/>
        </w:rPr>
        <w:t>problem</w:t>
      </w:r>
      <w:r w:rsidR="00637E5A" w:rsidRPr="00637E5A">
        <w:rPr>
          <w:szCs w:val="24"/>
        </w:rPr>
        <w:t>s have been swiftly addressed by the department and other stakeholders but more needs to be done</w:t>
      </w:r>
      <w:r w:rsidR="0053088F">
        <w:rPr>
          <w:szCs w:val="24"/>
        </w:rPr>
        <w:t xml:space="preserve"> </w:t>
      </w:r>
      <w:r w:rsidR="0053088F">
        <w:rPr>
          <w:lang w:eastAsia="ja-JP"/>
        </w:rPr>
        <w:t>to manage the biosecurity risks of prawn imports in the future. I have made recommendations to improve this biosecurity risk management framework and its ability to deal with ongoing and emerging challenges. Long-term adequate resourcing will be a key success factor in this endeavour.</w:t>
      </w:r>
    </w:p>
    <w:p w14:paraId="51D54F8D" w14:textId="20A24A77" w:rsidR="00637E5A" w:rsidRDefault="00637E5A" w:rsidP="005F42F8">
      <w:pPr>
        <w:spacing w:after="0"/>
      </w:pPr>
      <w:r>
        <w:t xml:space="preserve">Australia must maintain a strong biosecurity system that preserves and protects our favourable animal and health status. While </w:t>
      </w:r>
      <w:r w:rsidRPr="00C45A8C">
        <w:rPr>
          <w:lang w:eastAsia="en-AU" w:bidi="hi-IN"/>
        </w:rPr>
        <w:t>Australia relies heavily on import</w:t>
      </w:r>
      <w:r>
        <w:rPr>
          <w:lang w:eastAsia="en-AU" w:bidi="hi-IN"/>
        </w:rPr>
        <w:t xml:space="preserve">s, the importation of uncooked </w:t>
      </w:r>
      <w:r w:rsidRPr="00637E5A">
        <w:rPr>
          <w:szCs w:val="24"/>
        </w:rPr>
        <w:t>seafood</w:t>
      </w:r>
      <w:r>
        <w:rPr>
          <w:lang w:eastAsia="en-AU" w:bidi="hi-IN"/>
        </w:rPr>
        <w:t xml:space="preserve"> </w:t>
      </w:r>
      <w:r>
        <w:rPr>
          <w:lang w:eastAsia="en-AU"/>
        </w:rPr>
        <w:t xml:space="preserve">presents significant biosecurity risks due to the numerous complex, variable international </w:t>
      </w:r>
      <w:r w:rsidR="00DF2848">
        <w:rPr>
          <w:lang w:eastAsia="en-AU"/>
        </w:rPr>
        <w:t>production systems and trade pressures</w:t>
      </w:r>
      <w:r>
        <w:rPr>
          <w:lang w:eastAsia="en-AU"/>
        </w:rPr>
        <w:t>. It is essential that the department manages these risks effectively and efficiently—a difficult task given the</w:t>
      </w:r>
      <w:r w:rsidR="00DF2848">
        <w:rPr>
          <w:lang w:eastAsia="en-AU"/>
        </w:rPr>
        <w:t xml:space="preserve"> spread of severe diseases such as WS</w:t>
      </w:r>
      <w:r w:rsidR="00317C05">
        <w:rPr>
          <w:lang w:eastAsia="en-AU"/>
        </w:rPr>
        <w:t>D</w:t>
      </w:r>
      <w:r w:rsidR="00DF2848">
        <w:rPr>
          <w:lang w:eastAsia="en-AU"/>
        </w:rPr>
        <w:t xml:space="preserve"> and</w:t>
      </w:r>
      <w:r>
        <w:rPr>
          <w:lang w:eastAsia="en-AU"/>
        </w:rPr>
        <w:t xml:space="preserve"> </w:t>
      </w:r>
      <w:r w:rsidR="00317C05">
        <w:rPr>
          <w:lang w:eastAsia="en-AU"/>
        </w:rPr>
        <w:t xml:space="preserve">the </w:t>
      </w:r>
      <w:r>
        <w:rPr>
          <w:lang w:eastAsia="en-AU"/>
        </w:rPr>
        <w:t>emergence of new or variant pathogens.</w:t>
      </w:r>
    </w:p>
    <w:p w14:paraId="7F59C117" w14:textId="456FF847" w:rsidR="00637E5A" w:rsidRDefault="00637E5A" w:rsidP="005F42F8">
      <w:pPr>
        <w:spacing w:after="0"/>
      </w:pPr>
      <w:r>
        <w:t xml:space="preserve">Previous incursions of exotic animal diseases have been disruptive and costly to governments and industry. In </w:t>
      </w:r>
      <w:r w:rsidRPr="00637E5A">
        <w:rPr>
          <w:szCs w:val="24"/>
        </w:rPr>
        <w:t>planning</w:t>
      </w:r>
      <w:r>
        <w:t xml:space="preserve"> future biosecurity arrangements for Australia’s aquaculture industries, </w:t>
      </w:r>
      <w:r w:rsidR="00DF2848">
        <w:t>the department needs to improve communication and cooperation with stakeholders, to ensure a better understanding of needs, roles and responsibilities in order to achieve agreed solutions</w:t>
      </w:r>
      <w:r w:rsidR="003C1F8E">
        <w:t>.</w:t>
      </w:r>
    </w:p>
    <w:p w14:paraId="31518CA3" w14:textId="53F0B9B1" w:rsidR="00637E5A" w:rsidRDefault="00637E5A" w:rsidP="005F42F8">
      <w:pPr>
        <w:spacing w:after="0"/>
      </w:pPr>
      <w:r>
        <w:t xml:space="preserve">At </w:t>
      </w:r>
      <w:r w:rsidR="00317C05">
        <w:t xml:space="preserve">the </w:t>
      </w:r>
      <w:r>
        <w:t xml:space="preserve">international level, Australia enjoys a reputation for technical expertise and the </w:t>
      </w:r>
      <w:r w:rsidRPr="00637E5A">
        <w:rPr>
          <w:szCs w:val="24"/>
        </w:rPr>
        <w:t>integrity</w:t>
      </w:r>
      <w:r>
        <w:t xml:space="preserve"> of its biosecurity system. To continue to maint</w:t>
      </w:r>
      <w:r w:rsidR="00DF2848">
        <w:t xml:space="preserve">ain Australia’s favourable </w:t>
      </w:r>
      <w:r w:rsidR="00317C05">
        <w:t xml:space="preserve">aquatic </w:t>
      </w:r>
      <w:r w:rsidR="00DF2848">
        <w:t>animal health</w:t>
      </w:r>
      <w:r>
        <w:t xml:space="preserve"> status, the department should </w:t>
      </w:r>
      <w:r w:rsidR="00075C1E">
        <w:t xml:space="preserve">continue to </w:t>
      </w:r>
      <w:r>
        <w:t xml:space="preserve">actively pursue a working partnership with </w:t>
      </w:r>
      <w:r w:rsidR="00D2188D">
        <w:t xml:space="preserve">aquaculture </w:t>
      </w:r>
      <w:r>
        <w:t>industr</w:t>
      </w:r>
      <w:r w:rsidR="00D2188D">
        <w:t>ies</w:t>
      </w:r>
      <w:r>
        <w:t xml:space="preserve"> and state/territory government agencies</w:t>
      </w:r>
      <w:r w:rsidR="00275FC5">
        <w:t xml:space="preserve">, </w:t>
      </w:r>
      <w:r w:rsidR="00075C1E">
        <w:t>to better</w:t>
      </w:r>
      <w:r w:rsidR="00275FC5">
        <w:t xml:space="preserve"> </w:t>
      </w:r>
      <w:r w:rsidR="00DF2848">
        <w:t xml:space="preserve">prevent, prepare for and respond to any </w:t>
      </w:r>
      <w:r w:rsidR="00075C1E">
        <w:t>future</w:t>
      </w:r>
      <w:r w:rsidR="00275FC5">
        <w:t xml:space="preserve"> disease </w:t>
      </w:r>
      <w:r w:rsidR="00D2188D">
        <w:t>or pest i</w:t>
      </w:r>
      <w:r w:rsidR="00275FC5">
        <w:t>ncursions</w:t>
      </w:r>
      <w:r>
        <w:t>.</w:t>
      </w:r>
    </w:p>
    <w:p w14:paraId="6D69F4E3" w14:textId="4CDBCB83" w:rsidR="0053088F" w:rsidRDefault="00637E5A" w:rsidP="005F42F8">
      <w:pPr>
        <w:spacing w:after="0"/>
      </w:pPr>
      <w:r>
        <w:t xml:space="preserve">The importation of uncooked prawns </w:t>
      </w:r>
      <w:r w:rsidR="00DF2848">
        <w:t xml:space="preserve">and other seafood </w:t>
      </w:r>
      <w:r>
        <w:t xml:space="preserve">into Australia will continue to pose significant and changing challenges for the department and industry. </w:t>
      </w:r>
      <w:r w:rsidR="00075C1E">
        <w:t xml:space="preserve">The recent </w:t>
      </w:r>
      <w:r w:rsidR="00275FC5">
        <w:t>WSD outbreak in Queensland</w:t>
      </w:r>
      <w:r w:rsidR="00E0379A">
        <w:t>, and the subsequent findings of massive importation of WSSV-infected prawns, despite previous import requirements intended</w:t>
      </w:r>
      <w:r w:rsidR="00275FC5">
        <w:t xml:space="preserve"> </w:t>
      </w:r>
      <w:r w:rsidR="00E0379A">
        <w:t xml:space="preserve">to keep this virus out, </w:t>
      </w:r>
      <w:r w:rsidR="00275FC5">
        <w:t xml:space="preserve">highlight the need for the department to remain vigilant, proactively review </w:t>
      </w:r>
      <w:r w:rsidR="00E0379A">
        <w:t xml:space="preserve">and update </w:t>
      </w:r>
      <w:r w:rsidR="00275FC5">
        <w:t xml:space="preserve">import requirements </w:t>
      </w:r>
      <w:r w:rsidR="00E0379A">
        <w:t xml:space="preserve">and policies, </w:t>
      </w:r>
      <w:r w:rsidR="00275FC5">
        <w:t xml:space="preserve">and </w:t>
      </w:r>
      <w:r w:rsidR="00E0379A">
        <w:t>maintain excellent communication with both government and industry stakeholders</w:t>
      </w:r>
      <w:r w:rsidR="00275FC5">
        <w:t xml:space="preserve">. </w:t>
      </w:r>
      <w:r w:rsidR="00D2188D">
        <w:t xml:space="preserve">Above all, detecting and deterring deliberate or inadvertent failures to implement biosecurity risk management policies effectively must be a priority. Governments and aquatic industries must cooperate to resource and implement these efforts. </w:t>
      </w:r>
      <w:r w:rsidR="00EB7BB6">
        <w:t>Failure to do so will imperil the future development of a sustainable</w:t>
      </w:r>
      <w:r w:rsidR="00E0379A">
        <w:t xml:space="preserve"> and profitable</w:t>
      </w:r>
      <w:r w:rsidR="00EB7BB6">
        <w:t xml:space="preserve"> aquaculture sector in Australia.</w:t>
      </w:r>
    </w:p>
    <w:p w14:paraId="159DD1AD" w14:textId="77777777" w:rsidR="00661DBA" w:rsidRDefault="00E37FDB" w:rsidP="00FC1687">
      <w:pPr>
        <w:pStyle w:val="Heading2"/>
        <w:numPr>
          <w:ilvl w:val="0"/>
          <w:numId w:val="0"/>
        </w:numPr>
      </w:pPr>
      <w:bookmarkStart w:id="354" w:name="_Appendix_A:_Agency"/>
      <w:bookmarkStart w:id="355" w:name="_Toc449433577"/>
      <w:bookmarkStart w:id="356" w:name="_Toc500508455"/>
      <w:bookmarkEnd w:id="354"/>
      <w:r>
        <w:lastRenderedPageBreak/>
        <w:t>Appendix A: Agency response</w:t>
      </w:r>
      <w:bookmarkEnd w:id="355"/>
      <w:bookmarkEnd w:id="356"/>
    </w:p>
    <w:p w14:paraId="5DF46FC4" w14:textId="5E7F6D7E" w:rsidR="004B2980" w:rsidRDefault="005E2A28">
      <w:pPr>
        <w:tabs>
          <w:tab w:val="clear" w:pos="567"/>
        </w:tabs>
        <w:spacing w:before="0" w:after="0"/>
        <w:rPr>
          <w:lang w:eastAsia="ja-JP"/>
        </w:rPr>
      </w:pPr>
      <w:r w:rsidRPr="005E2A28">
        <w:rPr>
          <w:noProof/>
          <w:lang w:eastAsia="en-AU"/>
        </w:rPr>
        <w:drawing>
          <wp:inline distT="0" distB="0" distL="0" distR="0" wp14:anchorId="59987308" wp14:editId="2CF21DB0">
            <wp:extent cx="5976620" cy="7752715"/>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5976620" cy="7752715"/>
                    </a:xfrm>
                    <a:prstGeom prst="rect">
                      <a:avLst/>
                    </a:prstGeom>
                  </pic:spPr>
                </pic:pic>
              </a:graphicData>
            </a:graphic>
          </wp:inline>
        </w:drawing>
      </w:r>
    </w:p>
    <w:p w14:paraId="4BDE5AF7" w14:textId="536EFD66" w:rsidR="004B2980" w:rsidRDefault="00865479">
      <w:pPr>
        <w:tabs>
          <w:tab w:val="clear" w:pos="567"/>
        </w:tabs>
        <w:spacing w:before="0" w:after="0"/>
        <w:rPr>
          <w:lang w:eastAsia="ja-JP"/>
        </w:rPr>
      </w:pPr>
      <w:r>
        <w:rPr>
          <w:noProof/>
          <w:lang w:eastAsia="en-AU"/>
        </w:rPr>
        <w:lastRenderedPageBreak/>
        <w:drawing>
          <wp:inline distT="0" distB="0" distL="0" distR="0" wp14:anchorId="63FC02D3" wp14:editId="6EFD5C01">
            <wp:extent cx="5976620" cy="8395970"/>
            <wp:effectExtent l="0" t="0" r="508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5976620" cy="8395970"/>
                    </a:xfrm>
                    <a:prstGeom prst="rect">
                      <a:avLst/>
                    </a:prstGeom>
                  </pic:spPr>
                </pic:pic>
              </a:graphicData>
            </a:graphic>
          </wp:inline>
        </w:drawing>
      </w:r>
      <w:r w:rsidR="004B2980">
        <w:rPr>
          <w:lang w:eastAsia="ja-JP"/>
        </w:rPr>
        <w:br w:type="page"/>
      </w:r>
    </w:p>
    <w:p w14:paraId="4C65F65F" w14:textId="77777777" w:rsidR="00865479" w:rsidRDefault="00865479">
      <w:pPr>
        <w:tabs>
          <w:tab w:val="clear" w:pos="567"/>
        </w:tabs>
        <w:spacing w:before="0" w:after="0"/>
        <w:rPr>
          <w:lang w:eastAsia="ja-JP"/>
        </w:rPr>
      </w:pPr>
      <w:r>
        <w:rPr>
          <w:noProof/>
          <w:lang w:eastAsia="en-AU"/>
        </w:rPr>
        <w:lastRenderedPageBreak/>
        <w:drawing>
          <wp:inline distT="0" distB="0" distL="0" distR="0" wp14:anchorId="784B63ED" wp14:editId="7F4568A4">
            <wp:extent cx="5732780" cy="8696325"/>
            <wp:effectExtent l="0" t="0" r="127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5732780" cy="8696325"/>
                    </a:xfrm>
                    <a:prstGeom prst="rect">
                      <a:avLst/>
                    </a:prstGeom>
                  </pic:spPr>
                </pic:pic>
              </a:graphicData>
            </a:graphic>
          </wp:inline>
        </w:drawing>
      </w:r>
    </w:p>
    <w:p w14:paraId="473782FA" w14:textId="6640B747" w:rsidR="00865479" w:rsidRDefault="00865479">
      <w:pPr>
        <w:tabs>
          <w:tab w:val="clear" w:pos="567"/>
        </w:tabs>
        <w:spacing w:before="0" w:after="0"/>
        <w:rPr>
          <w:lang w:eastAsia="ja-JP"/>
        </w:rPr>
      </w:pPr>
      <w:r>
        <w:rPr>
          <w:noProof/>
          <w:lang w:eastAsia="en-AU"/>
        </w:rPr>
        <w:lastRenderedPageBreak/>
        <w:drawing>
          <wp:inline distT="0" distB="0" distL="0" distR="0" wp14:anchorId="5BC40B96" wp14:editId="06905151">
            <wp:extent cx="5976620" cy="8696325"/>
            <wp:effectExtent l="0" t="0" r="508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5976620" cy="8696325"/>
                    </a:xfrm>
                    <a:prstGeom prst="rect">
                      <a:avLst/>
                    </a:prstGeom>
                  </pic:spPr>
                </pic:pic>
              </a:graphicData>
            </a:graphic>
          </wp:inline>
        </w:drawing>
      </w:r>
      <w:r>
        <w:rPr>
          <w:lang w:eastAsia="ja-JP"/>
        </w:rPr>
        <w:br w:type="page"/>
      </w:r>
    </w:p>
    <w:p w14:paraId="79B4A68C" w14:textId="43E6DA9D" w:rsidR="00317C05" w:rsidRDefault="00865479">
      <w:pPr>
        <w:tabs>
          <w:tab w:val="clear" w:pos="567"/>
        </w:tabs>
        <w:spacing w:before="0" w:after="0"/>
        <w:rPr>
          <w:lang w:eastAsia="ja-JP"/>
        </w:rPr>
      </w:pPr>
      <w:r>
        <w:rPr>
          <w:noProof/>
          <w:lang w:eastAsia="en-AU"/>
        </w:rPr>
        <w:lastRenderedPageBreak/>
        <w:drawing>
          <wp:inline distT="0" distB="0" distL="0" distR="0" wp14:anchorId="0A5D9878" wp14:editId="070A9576">
            <wp:extent cx="5976620" cy="8163560"/>
            <wp:effectExtent l="0" t="0" r="508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976620" cy="8163560"/>
                    </a:xfrm>
                    <a:prstGeom prst="rect">
                      <a:avLst/>
                    </a:prstGeom>
                  </pic:spPr>
                </pic:pic>
              </a:graphicData>
            </a:graphic>
          </wp:inline>
        </w:drawing>
      </w:r>
      <w:r w:rsidR="00317C05">
        <w:rPr>
          <w:lang w:eastAsia="ja-JP"/>
        </w:rPr>
        <w:br w:type="page"/>
      </w:r>
    </w:p>
    <w:p w14:paraId="22663D9A" w14:textId="4755F06C" w:rsidR="00317C05" w:rsidRDefault="00317C05" w:rsidP="0087638C">
      <w:pPr>
        <w:pStyle w:val="Heading2"/>
        <w:numPr>
          <w:ilvl w:val="0"/>
          <w:numId w:val="0"/>
        </w:numPr>
      </w:pPr>
      <w:bookmarkStart w:id="357" w:name="_Toc500508456"/>
      <w:r>
        <w:lastRenderedPageBreak/>
        <w:t>Appendix B: Review team biographies</w:t>
      </w:r>
      <w:bookmarkEnd w:id="357"/>
    </w:p>
    <w:p w14:paraId="7BC67354" w14:textId="77777777" w:rsidR="00317C05" w:rsidRPr="00C0337D" w:rsidRDefault="00317C05" w:rsidP="00317C05">
      <w:pPr>
        <w:spacing w:after="0"/>
        <w:rPr>
          <w:rFonts w:ascii="Calibri" w:hAnsi="Calibri"/>
          <w:b/>
          <w:bCs/>
          <w:sz w:val="23"/>
          <w:szCs w:val="23"/>
          <w:lang w:eastAsia="ja-JP"/>
        </w:rPr>
      </w:pPr>
      <w:r w:rsidRPr="00C0337D">
        <w:rPr>
          <w:b/>
          <w:bCs/>
          <w:sz w:val="23"/>
          <w:szCs w:val="23"/>
          <w:lang w:eastAsia="ja-JP"/>
        </w:rPr>
        <w:t>Dr Helen Scott-Orr PSM (IGB)</w:t>
      </w:r>
    </w:p>
    <w:p w14:paraId="074367E9" w14:textId="77777777" w:rsidR="00317C05" w:rsidRPr="00C0337D" w:rsidRDefault="00317C05" w:rsidP="00317C05">
      <w:pPr>
        <w:spacing w:before="60" w:after="0"/>
        <w:rPr>
          <w:sz w:val="23"/>
          <w:szCs w:val="23"/>
          <w:lang w:eastAsia="ja-JP"/>
        </w:rPr>
      </w:pPr>
      <w:r w:rsidRPr="00C0337D">
        <w:rPr>
          <w:sz w:val="23"/>
          <w:szCs w:val="23"/>
          <w:lang w:eastAsia="ja-JP"/>
        </w:rPr>
        <w:t>Dr Scott-Orr is the inaugural Inspector-General of Biosecurity (IGB). Dr Scott-Orr has over 40 years’ experience in veterinary and agricultural science in Australia, Indonesia and the United Kingdom.</w:t>
      </w:r>
    </w:p>
    <w:p w14:paraId="3FF61C01" w14:textId="77777777" w:rsidR="00317C05" w:rsidRPr="00C0337D" w:rsidRDefault="00317C05" w:rsidP="0087638C">
      <w:pPr>
        <w:tabs>
          <w:tab w:val="clear" w:pos="567"/>
        </w:tabs>
        <w:spacing w:after="0"/>
        <w:rPr>
          <w:sz w:val="23"/>
          <w:szCs w:val="23"/>
          <w:lang w:eastAsia="ja-JP"/>
        </w:rPr>
      </w:pPr>
      <w:r w:rsidRPr="00C0337D">
        <w:rPr>
          <w:sz w:val="23"/>
          <w:szCs w:val="23"/>
          <w:lang w:eastAsia="ja-JP"/>
        </w:rPr>
        <w:t>She has an extensive record of achievement in biosecurity and wider agricultural research and delivery management, having served as Director Health Sciences, Strategic Alliances and Evaluation with the New South Wales Department of Primary Industries; and previously for eight years as Executive Director, Research, Advisory and Education; for ten years as Chief Veterinary Officer; and earlier as Director, Brucellosis and Tuberculosis Eradication, with New South Wales Agriculture.</w:t>
      </w:r>
    </w:p>
    <w:p w14:paraId="5F9D1B58" w14:textId="77777777" w:rsidR="00317C05" w:rsidRPr="00C0337D" w:rsidRDefault="00317C05" w:rsidP="0087638C">
      <w:pPr>
        <w:tabs>
          <w:tab w:val="clear" w:pos="567"/>
        </w:tabs>
        <w:spacing w:after="0"/>
        <w:rPr>
          <w:sz w:val="23"/>
          <w:szCs w:val="23"/>
          <w:lang w:eastAsia="ja-JP"/>
        </w:rPr>
      </w:pPr>
      <w:r w:rsidRPr="00C0337D">
        <w:rPr>
          <w:sz w:val="23"/>
          <w:szCs w:val="23"/>
          <w:lang w:eastAsia="ja-JP"/>
        </w:rPr>
        <w:t>Dr Scott-Orr is a Fellow of the Australian Institute of Company Directors. She has served as a director on the board of Animal Health Australia, and on the boards of Cooperative Research Centres for Invasive Animals, Weeds, Beef, Sheep, Cotton and Rice.</w:t>
      </w:r>
    </w:p>
    <w:p w14:paraId="292ED5AA" w14:textId="77777777" w:rsidR="00317C05" w:rsidRPr="00C0337D" w:rsidRDefault="00317C05" w:rsidP="0087638C">
      <w:pPr>
        <w:tabs>
          <w:tab w:val="clear" w:pos="567"/>
        </w:tabs>
        <w:spacing w:after="0"/>
        <w:rPr>
          <w:sz w:val="23"/>
          <w:szCs w:val="23"/>
          <w:lang w:eastAsia="ja-JP"/>
        </w:rPr>
      </w:pPr>
      <w:r w:rsidRPr="00C0337D">
        <w:rPr>
          <w:sz w:val="23"/>
          <w:szCs w:val="23"/>
          <w:lang w:eastAsia="ja-JP"/>
        </w:rPr>
        <w:t>She has led several veterinary capacity-building projects in Indonesia, focusing on zoonotic disease control. She has also worked on increasing preparedness for a rabies incursion into Northern Australia.</w:t>
      </w:r>
    </w:p>
    <w:p w14:paraId="04C7944F" w14:textId="77777777" w:rsidR="00317C05" w:rsidRPr="00C0337D" w:rsidRDefault="00317C05" w:rsidP="00317C05">
      <w:pPr>
        <w:spacing w:before="180" w:after="0"/>
        <w:rPr>
          <w:b/>
          <w:bCs/>
          <w:sz w:val="23"/>
          <w:szCs w:val="23"/>
          <w:lang w:eastAsia="ja-JP"/>
        </w:rPr>
      </w:pPr>
      <w:r w:rsidRPr="00C0337D">
        <w:rPr>
          <w:b/>
          <w:bCs/>
          <w:sz w:val="23"/>
          <w:szCs w:val="23"/>
          <w:lang w:eastAsia="ja-JP"/>
        </w:rPr>
        <w:t>Dr John Brian Jones</w:t>
      </w:r>
    </w:p>
    <w:p w14:paraId="77913AFE" w14:textId="77777777" w:rsidR="00317C05" w:rsidRPr="00C0337D" w:rsidRDefault="00317C05" w:rsidP="00317C05">
      <w:pPr>
        <w:spacing w:before="60" w:after="0"/>
        <w:rPr>
          <w:sz w:val="23"/>
          <w:szCs w:val="23"/>
          <w:lang w:eastAsia="ja-JP"/>
        </w:rPr>
      </w:pPr>
      <w:r w:rsidRPr="00C0337D">
        <w:rPr>
          <w:sz w:val="23"/>
          <w:szCs w:val="23"/>
          <w:lang w:eastAsia="ja-JP"/>
        </w:rPr>
        <w:t>Dr Jones has extensive research experience in aquatic pathology and is an international expert in fish pathology. He is currently the Principal Advisor Aquatic Animal Health (Ministry for Primary Industries, Wellington, New Zealand). He is an Adjunct Professor at Murdoch University, Western Australia.</w:t>
      </w:r>
    </w:p>
    <w:p w14:paraId="19910721" w14:textId="168B62E1" w:rsidR="00317C05" w:rsidRPr="00C0337D" w:rsidRDefault="00317C05" w:rsidP="0087638C">
      <w:pPr>
        <w:tabs>
          <w:tab w:val="clear" w:pos="567"/>
        </w:tabs>
        <w:spacing w:after="0"/>
        <w:rPr>
          <w:sz w:val="23"/>
          <w:szCs w:val="23"/>
          <w:lang w:eastAsia="ja-JP"/>
        </w:rPr>
      </w:pPr>
      <w:r w:rsidRPr="00C0337D">
        <w:rPr>
          <w:sz w:val="23"/>
          <w:szCs w:val="23"/>
          <w:lang w:eastAsia="ja-JP"/>
        </w:rPr>
        <w:t xml:space="preserve">Dr Jones was Principal Fish Pathologist and Pearling Inspector (WA Government; 1995–2013) and one of the panel members who drafted Biosecurity Australia’s </w:t>
      </w:r>
      <w:r w:rsidRPr="00C0337D">
        <w:rPr>
          <w:i/>
          <w:sz w:val="23"/>
          <w:szCs w:val="23"/>
          <w:lang w:eastAsia="ja-JP"/>
        </w:rPr>
        <w:t>Generic Import Risk Analysis Report for Prawns and Prawn Products (2009)</w:t>
      </w:r>
      <w:r w:rsidRPr="00C0337D">
        <w:rPr>
          <w:sz w:val="23"/>
          <w:szCs w:val="23"/>
          <w:lang w:eastAsia="ja-JP"/>
        </w:rPr>
        <w:t>. He was a member of numerous state and federal committees (1995–2013)</w:t>
      </w:r>
      <w:r w:rsidR="0012200D" w:rsidRPr="00C0337D">
        <w:rPr>
          <w:sz w:val="23"/>
          <w:szCs w:val="23"/>
          <w:lang w:eastAsia="ja-JP"/>
        </w:rPr>
        <w:t>,</w:t>
      </w:r>
      <w:r w:rsidRPr="00C0337D">
        <w:rPr>
          <w:sz w:val="23"/>
          <w:szCs w:val="23"/>
          <w:lang w:eastAsia="ja-JP"/>
        </w:rPr>
        <w:t xml:space="preserve"> including Chair of National Aquatic Animal Health Technical Working Group (2003–06), and from 2001–12 was a member of the Scientific Advisory Committee to the Fisheries Research and Development Committee Subprogram on Fish Health. He has published about 180 peer-reviewed articles in international scientific journals, and also co-supervised 11 scholars for PhD and Master’s research programs.</w:t>
      </w:r>
    </w:p>
    <w:p w14:paraId="6BCB4358" w14:textId="77777777" w:rsidR="00317C05" w:rsidRPr="00C0337D" w:rsidRDefault="00317C05" w:rsidP="00317C05">
      <w:pPr>
        <w:spacing w:before="180" w:after="0"/>
        <w:rPr>
          <w:b/>
          <w:bCs/>
          <w:sz w:val="23"/>
          <w:szCs w:val="23"/>
          <w:lang w:eastAsia="ja-JP"/>
        </w:rPr>
      </w:pPr>
      <w:r w:rsidRPr="00C0337D">
        <w:rPr>
          <w:b/>
          <w:bCs/>
          <w:sz w:val="23"/>
          <w:szCs w:val="23"/>
          <w:lang w:eastAsia="ja-JP"/>
        </w:rPr>
        <w:t>Dr Naveen P Bhatia</w:t>
      </w:r>
    </w:p>
    <w:p w14:paraId="6FE3764F" w14:textId="7CB4E8A8" w:rsidR="00317C05" w:rsidRPr="00C0337D" w:rsidRDefault="00317C05" w:rsidP="00317C05">
      <w:pPr>
        <w:spacing w:before="60" w:after="0"/>
        <w:rPr>
          <w:sz w:val="23"/>
          <w:szCs w:val="23"/>
          <w:lang w:eastAsia="ja-JP"/>
        </w:rPr>
      </w:pPr>
      <w:r w:rsidRPr="00C0337D">
        <w:rPr>
          <w:sz w:val="23"/>
          <w:szCs w:val="23"/>
          <w:lang w:eastAsia="ja-JP"/>
        </w:rPr>
        <w:t>Dr Bhatia holds a PhD in Plant Science, and MSc and BSc degrees in Agriculture. He is a Biosecurity Auditor in the Inspector-General of Biosecurity team (2016 onwards) and assists the IGB in her role to provide independent review of the performance of functions and exercise of powers by the Director of Biosecurity. He has also assisted previous Interim Inspectors-General of Biosecurity (Dr Kevin Dunn, 2011–13 and Dr Michael Bond, 2013–16) in a similar role.</w:t>
      </w:r>
    </w:p>
    <w:p w14:paraId="28631F83" w14:textId="434E747C" w:rsidR="00CC703E" w:rsidRDefault="00317C05" w:rsidP="0087638C">
      <w:pPr>
        <w:tabs>
          <w:tab w:val="clear" w:pos="567"/>
        </w:tabs>
        <w:spacing w:after="0"/>
        <w:rPr>
          <w:lang w:eastAsia="ja-JP"/>
        </w:rPr>
      </w:pPr>
      <w:r w:rsidRPr="00C0337D">
        <w:rPr>
          <w:sz w:val="23"/>
          <w:szCs w:val="23"/>
          <w:lang w:eastAsia="ja-JP"/>
        </w:rPr>
        <w:t xml:space="preserve">Dr Bhatia has previously played roles in the department’s plant import operations area (2010–11), compliance and regulation (Office of the Gene Technology Regulator, 2007–09) and advanced scientific research at the Australian Nuclear Science &amp; Technology Organisation, Stanford Synchrotron Radiation Light Source (USA), Lawrence Berkeley National Laboratory (USA), Argonne National Laboratory (USA) and High Energy Accelerator </w:t>
      </w:r>
      <w:r w:rsidRPr="00C0337D">
        <w:rPr>
          <w:sz w:val="23"/>
          <w:szCs w:val="23"/>
          <w:lang w:eastAsia="ja-JP"/>
        </w:rPr>
        <w:lastRenderedPageBreak/>
        <w:t>Research Organization (Tsukuba, Japan). He has published over 40 research articles in international scientific journals and also supervised a PhD scholar.</w:t>
      </w:r>
      <w:r w:rsidR="00E37FDB">
        <w:rPr>
          <w:lang w:eastAsia="ja-JP"/>
        </w:rPr>
        <w:br w:type="page"/>
      </w:r>
    </w:p>
    <w:p w14:paraId="7DBCB4E9" w14:textId="0D0F6D68" w:rsidR="00CC703E" w:rsidRDefault="00E37FDB" w:rsidP="00FC1687">
      <w:pPr>
        <w:pStyle w:val="Heading2"/>
        <w:numPr>
          <w:ilvl w:val="0"/>
          <w:numId w:val="0"/>
        </w:numPr>
      </w:pPr>
      <w:bookmarkStart w:id="358" w:name="_Appendix_B:_Summary"/>
      <w:bookmarkStart w:id="359" w:name="_Appendix_B:_Submissions"/>
      <w:bookmarkStart w:id="360" w:name="_Toc500508457"/>
      <w:bookmarkEnd w:id="358"/>
      <w:bookmarkEnd w:id="359"/>
      <w:r>
        <w:lastRenderedPageBreak/>
        <w:t xml:space="preserve">Appendix </w:t>
      </w:r>
      <w:r w:rsidR="002E6ED9">
        <w:t>C</w:t>
      </w:r>
      <w:r>
        <w:t>: Submissions to Inspector-General</w:t>
      </w:r>
      <w:r w:rsidRPr="00181A96">
        <w:t xml:space="preserve"> of Biosecurity</w:t>
      </w:r>
      <w:r>
        <w:t xml:space="preserve"> review</w:t>
      </w:r>
      <w:bookmarkEnd w:id="360"/>
    </w:p>
    <w:p w14:paraId="4B75440F" w14:textId="77777777" w:rsidR="00CC703E" w:rsidRDefault="00E37FDB" w:rsidP="00181A96">
      <w:r w:rsidRPr="00181A96">
        <w:rPr>
          <w:lang w:eastAsia="en-AU"/>
        </w:rPr>
        <w:t xml:space="preserve">Copies of the submissions are available on the </w:t>
      </w:r>
      <w:hyperlink r:id="rId45" w:history="1">
        <w:r w:rsidRPr="00181A96">
          <w:rPr>
            <w:rStyle w:val="Hyperlink"/>
            <w:lang w:eastAsia="en-AU"/>
          </w:rPr>
          <w:t>IGB website</w:t>
        </w:r>
      </w:hyperlink>
      <w:r w:rsidRPr="00181A96">
        <w:rPr>
          <w:lang w:eastAsia="en-AU"/>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6804"/>
      </w:tblGrid>
      <w:tr w:rsidR="00CC703E" w14:paraId="31459AAF" w14:textId="77777777" w:rsidTr="00181A96">
        <w:trPr>
          <w:cantSplit/>
          <w:trHeight w:val="290"/>
          <w:tblHeader/>
        </w:trPr>
        <w:tc>
          <w:tcPr>
            <w:tcW w:w="1276" w:type="dxa"/>
            <w:noWrap/>
            <w:hideMark/>
          </w:tcPr>
          <w:p w14:paraId="6CC0BF33" w14:textId="77777777" w:rsidR="00CC703E" w:rsidRDefault="00E37FDB">
            <w:pPr>
              <w:pStyle w:val="TableHeading0"/>
              <w:rPr>
                <w:lang w:eastAsia="ja-JP"/>
              </w:rPr>
            </w:pPr>
            <w:r>
              <w:rPr>
                <w:lang w:eastAsia="ja-JP"/>
              </w:rPr>
              <w:t>Number</w:t>
            </w:r>
          </w:p>
        </w:tc>
        <w:tc>
          <w:tcPr>
            <w:tcW w:w="6804" w:type="dxa"/>
          </w:tcPr>
          <w:p w14:paraId="3973F9DE" w14:textId="77777777" w:rsidR="00CC703E" w:rsidRDefault="00E37FDB">
            <w:pPr>
              <w:pStyle w:val="TableHeading0"/>
              <w:rPr>
                <w:lang w:eastAsia="ja-JP"/>
              </w:rPr>
            </w:pPr>
            <w:r>
              <w:rPr>
                <w:lang w:eastAsia="ja-JP"/>
              </w:rPr>
              <w:t>Individual/agency/organisation</w:t>
            </w:r>
          </w:p>
        </w:tc>
      </w:tr>
      <w:tr w:rsidR="00CC703E" w14:paraId="5067D882" w14:textId="77777777">
        <w:trPr>
          <w:trHeight w:val="290"/>
        </w:trPr>
        <w:tc>
          <w:tcPr>
            <w:tcW w:w="1276" w:type="dxa"/>
            <w:noWrap/>
          </w:tcPr>
          <w:p w14:paraId="564BE7AA" w14:textId="77777777" w:rsidR="00CC703E" w:rsidRDefault="00E37FDB">
            <w:pPr>
              <w:pStyle w:val="Tabletext"/>
              <w:rPr>
                <w:lang w:eastAsia="ja-JP"/>
              </w:rPr>
            </w:pPr>
            <w:r w:rsidRPr="00181A96">
              <w:rPr>
                <w:lang w:eastAsia="ja-JP"/>
              </w:rPr>
              <w:t>1</w:t>
            </w:r>
          </w:p>
        </w:tc>
        <w:tc>
          <w:tcPr>
            <w:tcW w:w="6804" w:type="dxa"/>
          </w:tcPr>
          <w:p w14:paraId="39035886" w14:textId="77777777" w:rsidR="00CC703E" w:rsidRDefault="00E37FDB">
            <w:pPr>
              <w:pStyle w:val="Tabletext"/>
              <w:rPr>
                <w:lang w:eastAsia="ja-JP"/>
              </w:rPr>
            </w:pPr>
            <w:r>
              <w:rPr>
                <w:lang w:eastAsia="ja-JP"/>
              </w:rPr>
              <w:t>DigsFish Services Pty Ltd</w:t>
            </w:r>
          </w:p>
        </w:tc>
      </w:tr>
      <w:tr w:rsidR="00CC703E" w14:paraId="672D0E47" w14:textId="77777777">
        <w:trPr>
          <w:trHeight w:val="290"/>
        </w:trPr>
        <w:tc>
          <w:tcPr>
            <w:tcW w:w="1276" w:type="dxa"/>
            <w:noWrap/>
          </w:tcPr>
          <w:p w14:paraId="3AE9C62C" w14:textId="77777777" w:rsidR="00CC703E" w:rsidRDefault="00E37FDB">
            <w:pPr>
              <w:pStyle w:val="Tabletext"/>
              <w:rPr>
                <w:lang w:eastAsia="ja-JP"/>
              </w:rPr>
            </w:pPr>
            <w:r w:rsidRPr="00181A96">
              <w:rPr>
                <w:lang w:eastAsia="ja-JP"/>
              </w:rPr>
              <w:t>2</w:t>
            </w:r>
          </w:p>
        </w:tc>
        <w:tc>
          <w:tcPr>
            <w:tcW w:w="6804" w:type="dxa"/>
          </w:tcPr>
          <w:p w14:paraId="356462BF" w14:textId="77777777" w:rsidR="00CC703E" w:rsidRDefault="00E37FDB">
            <w:pPr>
              <w:pStyle w:val="Tabletext"/>
              <w:rPr>
                <w:lang w:eastAsia="ja-JP"/>
              </w:rPr>
            </w:pPr>
            <w:r>
              <w:rPr>
                <w:lang w:eastAsia="ja-JP"/>
              </w:rPr>
              <w:t>Australian Prawn Farmers Association</w:t>
            </w:r>
          </w:p>
        </w:tc>
      </w:tr>
      <w:tr w:rsidR="00CC703E" w14:paraId="48353E5A" w14:textId="77777777">
        <w:trPr>
          <w:trHeight w:val="290"/>
        </w:trPr>
        <w:tc>
          <w:tcPr>
            <w:tcW w:w="1276" w:type="dxa"/>
            <w:noWrap/>
          </w:tcPr>
          <w:p w14:paraId="4689B247" w14:textId="77777777" w:rsidR="00CC703E" w:rsidRDefault="00E37FDB">
            <w:pPr>
              <w:pStyle w:val="Tabletext"/>
              <w:rPr>
                <w:lang w:eastAsia="ja-JP"/>
              </w:rPr>
            </w:pPr>
            <w:r w:rsidRPr="00181A96">
              <w:rPr>
                <w:lang w:eastAsia="ja-JP"/>
              </w:rPr>
              <w:t>3</w:t>
            </w:r>
          </w:p>
        </w:tc>
        <w:tc>
          <w:tcPr>
            <w:tcW w:w="6804" w:type="dxa"/>
          </w:tcPr>
          <w:p w14:paraId="2B892AA1" w14:textId="77777777" w:rsidR="00CC703E" w:rsidRDefault="00E37FDB">
            <w:pPr>
              <w:pStyle w:val="Tabletext"/>
              <w:rPr>
                <w:lang w:eastAsia="ja-JP"/>
              </w:rPr>
            </w:pPr>
            <w:r>
              <w:rPr>
                <w:lang w:eastAsia="ja-JP"/>
              </w:rPr>
              <w:t>Queensland Seafood Industry Association</w:t>
            </w:r>
          </w:p>
        </w:tc>
      </w:tr>
      <w:tr w:rsidR="00CC703E" w14:paraId="58A17EB7" w14:textId="77777777">
        <w:trPr>
          <w:trHeight w:val="290"/>
        </w:trPr>
        <w:tc>
          <w:tcPr>
            <w:tcW w:w="1276" w:type="dxa"/>
            <w:noWrap/>
          </w:tcPr>
          <w:p w14:paraId="3DA5D0B2" w14:textId="77777777" w:rsidR="00CC703E" w:rsidRDefault="00E37FDB">
            <w:pPr>
              <w:pStyle w:val="Tabletext"/>
              <w:rPr>
                <w:lang w:eastAsia="ja-JP"/>
              </w:rPr>
            </w:pPr>
            <w:r w:rsidRPr="00181A96">
              <w:rPr>
                <w:lang w:eastAsia="ja-JP"/>
              </w:rPr>
              <w:t>4</w:t>
            </w:r>
          </w:p>
        </w:tc>
        <w:tc>
          <w:tcPr>
            <w:tcW w:w="6804" w:type="dxa"/>
          </w:tcPr>
          <w:p w14:paraId="1D4419E1" w14:textId="77777777" w:rsidR="00CC703E" w:rsidRDefault="00E37FDB">
            <w:pPr>
              <w:pStyle w:val="Tabletext"/>
              <w:rPr>
                <w:lang w:eastAsia="ja-JP"/>
              </w:rPr>
            </w:pPr>
            <w:r>
              <w:rPr>
                <w:lang w:eastAsia="ja-JP"/>
              </w:rPr>
              <w:t>Seafood Importers Association of Australasia Inc</w:t>
            </w:r>
            <w:r w:rsidRPr="00181A96">
              <w:rPr>
                <w:lang w:eastAsia="ja-JP"/>
              </w:rPr>
              <w:t>.</w:t>
            </w:r>
          </w:p>
        </w:tc>
      </w:tr>
      <w:tr w:rsidR="00CC703E" w14:paraId="3CDE709F" w14:textId="77777777">
        <w:trPr>
          <w:trHeight w:val="290"/>
        </w:trPr>
        <w:tc>
          <w:tcPr>
            <w:tcW w:w="1276" w:type="dxa"/>
            <w:noWrap/>
          </w:tcPr>
          <w:p w14:paraId="4687123D" w14:textId="77777777" w:rsidR="00CC703E" w:rsidRDefault="00E37FDB">
            <w:pPr>
              <w:pStyle w:val="Tabletext"/>
              <w:rPr>
                <w:lang w:eastAsia="ja-JP"/>
              </w:rPr>
            </w:pPr>
            <w:r w:rsidRPr="00181A96">
              <w:rPr>
                <w:lang w:eastAsia="ja-JP"/>
              </w:rPr>
              <w:t>5</w:t>
            </w:r>
          </w:p>
        </w:tc>
        <w:tc>
          <w:tcPr>
            <w:tcW w:w="6804" w:type="dxa"/>
          </w:tcPr>
          <w:p w14:paraId="46D38D3E" w14:textId="77777777" w:rsidR="00CC703E" w:rsidRDefault="00E37FDB">
            <w:pPr>
              <w:pStyle w:val="Tabletext"/>
              <w:rPr>
                <w:lang w:eastAsia="ja-JP"/>
              </w:rPr>
            </w:pPr>
            <w:r>
              <w:rPr>
                <w:lang w:eastAsia="ja-JP"/>
              </w:rPr>
              <w:t>Monckton Consulting Pty Ltd</w:t>
            </w:r>
          </w:p>
        </w:tc>
      </w:tr>
      <w:tr w:rsidR="00CC703E" w14:paraId="5EB93A87" w14:textId="77777777">
        <w:trPr>
          <w:trHeight w:val="290"/>
        </w:trPr>
        <w:tc>
          <w:tcPr>
            <w:tcW w:w="1276" w:type="dxa"/>
            <w:noWrap/>
          </w:tcPr>
          <w:p w14:paraId="3C934939" w14:textId="77777777" w:rsidR="00CC703E" w:rsidRDefault="00E37FDB">
            <w:pPr>
              <w:pStyle w:val="Tabletext"/>
              <w:rPr>
                <w:lang w:eastAsia="ja-JP"/>
              </w:rPr>
            </w:pPr>
            <w:r w:rsidRPr="00181A96">
              <w:rPr>
                <w:lang w:eastAsia="ja-JP"/>
              </w:rPr>
              <w:t>6</w:t>
            </w:r>
          </w:p>
        </w:tc>
        <w:tc>
          <w:tcPr>
            <w:tcW w:w="6804" w:type="dxa"/>
          </w:tcPr>
          <w:p w14:paraId="796CD1CA" w14:textId="77777777" w:rsidR="00CC703E" w:rsidRDefault="00E37FDB">
            <w:pPr>
              <w:pStyle w:val="Tabletext"/>
              <w:rPr>
                <w:lang w:eastAsia="ja-JP"/>
              </w:rPr>
            </w:pPr>
            <w:r>
              <w:rPr>
                <w:lang w:eastAsia="ja-JP"/>
              </w:rPr>
              <w:t>Australian Council of Prawn Fisheries</w:t>
            </w:r>
          </w:p>
        </w:tc>
      </w:tr>
      <w:tr w:rsidR="00CC703E" w14:paraId="64D207EA" w14:textId="77777777">
        <w:trPr>
          <w:trHeight w:val="290"/>
        </w:trPr>
        <w:tc>
          <w:tcPr>
            <w:tcW w:w="1276" w:type="dxa"/>
            <w:noWrap/>
          </w:tcPr>
          <w:p w14:paraId="03072889" w14:textId="77777777" w:rsidR="00CC703E" w:rsidRDefault="00E37FDB">
            <w:pPr>
              <w:pStyle w:val="Tabletext"/>
              <w:rPr>
                <w:lang w:eastAsia="ja-JP"/>
              </w:rPr>
            </w:pPr>
            <w:r w:rsidRPr="00181A96">
              <w:rPr>
                <w:lang w:eastAsia="ja-JP"/>
              </w:rPr>
              <w:t>7</w:t>
            </w:r>
          </w:p>
        </w:tc>
        <w:tc>
          <w:tcPr>
            <w:tcW w:w="6804" w:type="dxa"/>
          </w:tcPr>
          <w:p w14:paraId="44AABAEE" w14:textId="77777777" w:rsidR="00CC703E" w:rsidRDefault="00E37FDB">
            <w:pPr>
              <w:pStyle w:val="Tabletext"/>
              <w:rPr>
                <w:lang w:eastAsia="ja-JP"/>
              </w:rPr>
            </w:pPr>
            <w:r>
              <w:rPr>
                <w:lang w:eastAsia="ja-JP"/>
              </w:rPr>
              <w:t>Great Ocean Foods Pty Ltd</w:t>
            </w:r>
          </w:p>
        </w:tc>
      </w:tr>
      <w:tr w:rsidR="00CC703E" w14:paraId="325FA89C" w14:textId="77777777">
        <w:trPr>
          <w:trHeight w:val="290"/>
        </w:trPr>
        <w:tc>
          <w:tcPr>
            <w:tcW w:w="1276" w:type="dxa"/>
            <w:noWrap/>
          </w:tcPr>
          <w:p w14:paraId="6886897A" w14:textId="77777777" w:rsidR="00CC703E" w:rsidRDefault="00E37FDB">
            <w:pPr>
              <w:pStyle w:val="Tabletext"/>
              <w:rPr>
                <w:lang w:eastAsia="ja-JP"/>
              </w:rPr>
            </w:pPr>
            <w:r w:rsidRPr="00181A96">
              <w:rPr>
                <w:lang w:eastAsia="ja-JP"/>
              </w:rPr>
              <w:t>8</w:t>
            </w:r>
          </w:p>
        </w:tc>
        <w:tc>
          <w:tcPr>
            <w:tcW w:w="6804" w:type="dxa"/>
          </w:tcPr>
          <w:p w14:paraId="0C54F5A0" w14:textId="77777777" w:rsidR="00CC703E" w:rsidRDefault="00E37FDB">
            <w:pPr>
              <w:pStyle w:val="Tabletext"/>
              <w:rPr>
                <w:lang w:eastAsia="ja-JP"/>
              </w:rPr>
            </w:pPr>
            <w:r>
              <w:rPr>
                <w:lang w:eastAsia="ja-JP"/>
              </w:rPr>
              <w:t>Spencer Gulf &amp; West Coast Prawn Fishermen’s Association</w:t>
            </w:r>
          </w:p>
        </w:tc>
      </w:tr>
    </w:tbl>
    <w:p w14:paraId="1AD425F7" w14:textId="77777777" w:rsidR="00CC703E" w:rsidRDefault="00CC703E" w:rsidP="00181A96"/>
    <w:p w14:paraId="57C13E89" w14:textId="17C5C8ED" w:rsidR="00CC703E" w:rsidRDefault="00E37FDB" w:rsidP="00FC1687">
      <w:pPr>
        <w:pStyle w:val="Heading2"/>
        <w:numPr>
          <w:ilvl w:val="0"/>
          <w:numId w:val="0"/>
        </w:numPr>
        <w:rPr>
          <w:lang w:eastAsia="ja-JP"/>
        </w:rPr>
      </w:pPr>
      <w:bookmarkStart w:id="361" w:name="_Appendix_C:_Summary"/>
      <w:bookmarkStart w:id="362" w:name="_Toc500508458"/>
      <w:bookmarkEnd w:id="361"/>
      <w:r>
        <w:lastRenderedPageBreak/>
        <w:t>Appendix</w:t>
      </w:r>
      <w:r>
        <w:rPr>
          <w:lang w:eastAsia="ja-JP"/>
        </w:rPr>
        <w:t xml:space="preserve"> </w:t>
      </w:r>
      <w:r w:rsidR="002E6ED9">
        <w:rPr>
          <w:lang w:eastAsia="ja-JP"/>
        </w:rPr>
        <w:t>D</w:t>
      </w:r>
      <w:r>
        <w:rPr>
          <w:lang w:eastAsia="ja-JP"/>
        </w:rPr>
        <w:t>:</w:t>
      </w:r>
      <w:r>
        <w:t xml:space="preserve"> </w:t>
      </w:r>
      <w:r>
        <w:rPr>
          <w:lang w:eastAsia="ja-JP"/>
        </w:rPr>
        <w:t>Summary of aquatic animal diseases and infectious agents in Australia</w:t>
      </w:r>
      <w:bookmarkEnd w:id="36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
        <w:gridCol w:w="2268"/>
        <w:gridCol w:w="3619"/>
        <w:gridCol w:w="2334"/>
      </w:tblGrid>
      <w:tr w:rsidR="00CC703E" w14:paraId="04C4FC45" w14:textId="77777777" w:rsidTr="00FC1687">
        <w:trPr>
          <w:cantSplit/>
          <w:tblHeader/>
        </w:trPr>
        <w:tc>
          <w:tcPr>
            <w:tcW w:w="1059" w:type="dxa"/>
            <w:tcBorders>
              <w:top w:val="single" w:sz="4" w:space="0" w:color="auto"/>
              <w:bottom w:val="single" w:sz="4" w:space="0" w:color="auto"/>
            </w:tcBorders>
            <w:noWrap/>
            <w:hideMark/>
          </w:tcPr>
          <w:p w14:paraId="2B88E463" w14:textId="07B9EFC3" w:rsidR="00CC703E" w:rsidRDefault="00E37FDB">
            <w:pPr>
              <w:pStyle w:val="Tabletext"/>
              <w:rPr>
                <w:b/>
                <w:szCs w:val="18"/>
                <w:lang w:eastAsia="ja-JP"/>
              </w:rPr>
            </w:pPr>
            <w:r>
              <w:rPr>
                <w:b/>
                <w:szCs w:val="18"/>
                <w:lang w:eastAsia="ja-JP"/>
              </w:rPr>
              <w:t>Year</w:t>
            </w:r>
            <w:r w:rsidR="00E66255">
              <w:rPr>
                <w:b/>
                <w:szCs w:val="18"/>
                <w:lang w:eastAsia="ja-JP"/>
              </w:rPr>
              <w:t xml:space="preserve"> identified</w:t>
            </w:r>
          </w:p>
        </w:tc>
        <w:tc>
          <w:tcPr>
            <w:tcW w:w="2268" w:type="dxa"/>
            <w:tcBorders>
              <w:top w:val="single" w:sz="4" w:space="0" w:color="auto"/>
              <w:bottom w:val="single" w:sz="4" w:space="0" w:color="auto"/>
            </w:tcBorders>
          </w:tcPr>
          <w:p w14:paraId="3DAE82E8" w14:textId="77777777" w:rsidR="00CC703E" w:rsidRDefault="00E37FDB">
            <w:pPr>
              <w:pStyle w:val="Tabletext"/>
              <w:rPr>
                <w:b/>
                <w:szCs w:val="18"/>
                <w:lang w:eastAsia="ja-JP"/>
              </w:rPr>
            </w:pPr>
            <w:r>
              <w:rPr>
                <w:b/>
                <w:szCs w:val="18"/>
                <w:lang w:eastAsia="ja-JP"/>
              </w:rPr>
              <w:t>Host animal</w:t>
            </w:r>
          </w:p>
        </w:tc>
        <w:tc>
          <w:tcPr>
            <w:tcW w:w="3619" w:type="dxa"/>
            <w:tcBorders>
              <w:top w:val="single" w:sz="4" w:space="0" w:color="auto"/>
              <w:bottom w:val="single" w:sz="4" w:space="0" w:color="auto"/>
            </w:tcBorders>
            <w:noWrap/>
            <w:hideMark/>
          </w:tcPr>
          <w:p w14:paraId="6AE0C90F" w14:textId="77777777" w:rsidR="00CC703E" w:rsidRDefault="00E37FDB">
            <w:pPr>
              <w:pStyle w:val="Tabletext"/>
              <w:rPr>
                <w:b/>
                <w:szCs w:val="18"/>
                <w:lang w:eastAsia="ja-JP"/>
              </w:rPr>
            </w:pPr>
            <w:r>
              <w:rPr>
                <w:b/>
                <w:szCs w:val="18"/>
                <w:lang w:eastAsia="ja-JP"/>
              </w:rPr>
              <w:t>Pathogen/disease</w:t>
            </w:r>
          </w:p>
        </w:tc>
        <w:tc>
          <w:tcPr>
            <w:tcW w:w="2334" w:type="dxa"/>
            <w:tcBorders>
              <w:top w:val="single" w:sz="4" w:space="0" w:color="auto"/>
              <w:bottom w:val="single" w:sz="4" w:space="0" w:color="auto"/>
            </w:tcBorders>
            <w:noWrap/>
            <w:hideMark/>
          </w:tcPr>
          <w:p w14:paraId="4C8E28ED" w14:textId="5E7F34E6" w:rsidR="00CC703E" w:rsidRDefault="00E37FDB">
            <w:pPr>
              <w:pStyle w:val="Tabletext"/>
              <w:rPr>
                <w:b/>
                <w:szCs w:val="18"/>
                <w:lang w:eastAsia="ja-JP"/>
              </w:rPr>
            </w:pPr>
            <w:r>
              <w:rPr>
                <w:b/>
                <w:szCs w:val="18"/>
                <w:lang w:eastAsia="ja-JP"/>
              </w:rPr>
              <w:t>State/territory</w:t>
            </w:r>
          </w:p>
        </w:tc>
      </w:tr>
      <w:tr w:rsidR="00CC703E" w14:paraId="60AAF64F" w14:textId="77777777" w:rsidTr="00FC1687">
        <w:trPr>
          <w:cantSplit/>
        </w:trPr>
        <w:tc>
          <w:tcPr>
            <w:tcW w:w="1059" w:type="dxa"/>
            <w:tcBorders>
              <w:top w:val="single" w:sz="4" w:space="0" w:color="auto"/>
            </w:tcBorders>
            <w:noWrap/>
          </w:tcPr>
          <w:p w14:paraId="140E9353" w14:textId="77777777" w:rsidR="00CC703E" w:rsidRDefault="00E37FDB">
            <w:pPr>
              <w:pStyle w:val="Tabletext"/>
              <w:rPr>
                <w:szCs w:val="18"/>
                <w:lang w:eastAsia="ja-JP"/>
              </w:rPr>
            </w:pPr>
            <w:r>
              <w:rPr>
                <w:szCs w:val="18"/>
                <w:lang w:eastAsia="ja-JP"/>
              </w:rPr>
              <w:t>2016</w:t>
            </w:r>
          </w:p>
        </w:tc>
        <w:tc>
          <w:tcPr>
            <w:tcW w:w="2268" w:type="dxa"/>
            <w:tcBorders>
              <w:top w:val="single" w:sz="4" w:space="0" w:color="auto"/>
            </w:tcBorders>
          </w:tcPr>
          <w:p w14:paraId="0E3689BB" w14:textId="77777777" w:rsidR="00CC703E" w:rsidRDefault="00E37FDB">
            <w:pPr>
              <w:pStyle w:val="Tabletext"/>
              <w:rPr>
                <w:szCs w:val="18"/>
                <w:lang w:eastAsia="ja-JP"/>
              </w:rPr>
            </w:pPr>
            <w:r>
              <w:rPr>
                <w:szCs w:val="18"/>
                <w:lang w:eastAsia="ja-JP"/>
              </w:rPr>
              <w:t>Prawns</w:t>
            </w:r>
          </w:p>
        </w:tc>
        <w:tc>
          <w:tcPr>
            <w:tcW w:w="3619" w:type="dxa"/>
            <w:tcBorders>
              <w:top w:val="single" w:sz="4" w:space="0" w:color="auto"/>
            </w:tcBorders>
            <w:noWrap/>
          </w:tcPr>
          <w:p w14:paraId="5D4E95B6" w14:textId="77777777" w:rsidR="00CC703E" w:rsidRDefault="00E37FDB">
            <w:pPr>
              <w:pStyle w:val="Tabletext"/>
              <w:rPr>
                <w:szCs w:val="18"/>
                <w:lang w:eastAsia="ja-JP"/>
              </w:rPr>
            </w:pPr>
            <w:r>
              <w:rPr>
                <w:szCs w:val="18"/>
                <w:lang w:eastAsia="ja-JP"/>
              </w:rPr>
              <w:t>White spot syndrome virus</w:t>
            </w:r>
          </w:p>
        </w:tc>
        <w:tc>
          <w:tcPr>
            <w:tcW w:w="2334" w:type="dxa"/>
            <w:tcBorders>
              <w:top w:val="single" w:sz="4" w:space="0" w:color="auto"/>
            </w:tcBorders>
            <w:noWrap/>
          </w:tcPr>
          <w:p w14:paraId="2AD24B99" w14:textId="77777777" w:rsidR="00CC703E" w:rsidRDefault="00E37FDB">
            <w:pPr>
              <w:pStyle w:val="Tabletext"/>
              <w:rPr>
                <w:szCs w:val="18"/>
                <w:lang w:eastAsia="ja-JP"/>
              </w:rPr>
            </w:pPr>
            <w:r>
              <w:rPr>
                <w:szCs w:val="18"/>
                <w:lang w:eastAsia="ja-JP"/>
              </w:rPr>
              <w:t>Queensland</w:t>
            </w:r>
          </w:p>
        </w:tc>
      </w:tr>
      <w:tr w:rsidR="00CC703E" w14:paraId="6FEE061A" w14:textId="77777777" w:rsidTr="00FC1687">
        <w:trPr>
          <w:cantSplit/>
        </w:trPr>
        <w:tc>
          <w:tcPr>
            <w:tcW w:w="1059" w:type="dxa"/>
            <w:noWrap/>
            <w:hideMark/>
          </w:tcPr>
          <w:p w14:paraId="19B82AB7" w14:textId="77777777" w:rsidR="00CC703E" w:rsidRDefault="00E37FDB">
            <w:pPr>
              <w:pStyle w:val="Tabletext"/>
              <w:rPr>
                <w:szCs w:val="18"/>
                <w:lang w:eastAsia="ja-JP"/>
              </w:rPr>
            </w:pPr>
            <w:r>
              <w:rPr>
                <w:szCs w:val="18"/>
                <w:lang w:eastAsia="ja-JP"/>
              </w:rPr>
              <w:t>2013</w:t>
            </w:r>
          </w:p>
        </w:tc>
        <w:tc>
          <w:tcPr>
            <w:tcW w:w="2268" w:type="dxa"/>
          </w:tcPr>
          <w:p w14:paraId="494B652E" w14:textId="77777777" w:rsidR="00CC703E" w:rsidRDefault="00E37FDB">
            <w:pPr>
              <w:pStyle w:val="Tabletext"/>
              <w:rPr>
                <w:szCs w:val="18"/>
                <w:lang w:eastAsia="ja-JP"/>
              </w:rPr>
            </w:pPr>
            <w:r>
              <w:rPr>
                <w:szCs w:val="18"/>
                <w:lang w:eastAsia="ja-JP"/>
              </w:rPr>
              <w:t>Prawns</w:t>
            </w:r>
          </w:p>
        </w:tc>
        <w:tc>
          <w:tcPr>
            <w:tcW w:w="3619" w:type="dxa"/>
            <w:noWrap/>
            <w:hideMark/>
          </w:tcPr>
          <w:p w14:paraId="6C75601D" w14:textId="511D5709" w:rsidR="00CC703E" w:rsidRDefault="00E37FDB">
            <w:pPr>
              <w:pStyle w:val="Tabletext"/>
              <w:rPr>
                <w:szCs w:val="18"/>
                <w:lang w:eastAsia="ja-JP"/>
              </w:rPr>
            </w:pPr>
            <w:r>
              <w:rPr>
                <w:szCs w:val="18"/>
                <w:lang w:eastAsia="ja-JP"/>
              </w:rPr>
              <w:t>Yellow head virus/gill-associated virus genotype 7</w:t>
            </w:r>
          </w:p>
        </w:tc>
        <w:tc>
          <w:tcPr>
            <w:tcW w:w="2334" w:type="dxa"/>
            <w:noWrap/>
            <w:hideMark/>
          </w:tcPr>
          <w:p w14:paraId="6DF52088" w14:textId="77777777" w:rsidR="00CC703E" w:rsidRDefault="00E37FDB">
            <w:pPr>
              <w:pStyle w:val="Tabletext"/>
              <w:rPr>
                <w:szCs w:val="18"/>
                <w:lang w:eastAsia="ja-JP"/>
              </w:rPr>
            </w:pPr>
            <w:r>
              <w:rPr>
                <w:szCs w:val="18"/>
                <w:lang w:eastAsia="ja-JP"/>
              </w:rPr>
              <w:t>Queensland</w:t>
            </w:r>
          </w:p>
        </w:tc>
      </w:tr>
      <w:tr w:rsidR="00CC703E" w14:paraId="7BCED862" w14:textId="77777777" w:rsidTr="00FC1687">
        <w:trPr>
          <w:cantSplit/>
        </w:trPr>
        <w:tc>
          <w:tcPr>
            <w:tcW w:w="1059" w:type="dxa"/>
            <w:vMerge w:val="restart"/>
            <w:noWrap/>
            <w:hideMark/>
          </w:tcPr>
          <w:p w14:paraId="196D07A9" w14:textId="77777777" w:rsidR="00CC703E" w:rsidRDefault="00E37FDB">
            <w:pPr>
              <w:pStyle w:val="Tabletext"/>
              <w:rPr>
                <w:szCs w:val="18"/>
                <w:lang w:eastAsia="ja-JP"/>
              </w:rPr>
            </w:pPr>
            <w:r>
              <w:rPr>
                <w:szCs w:val="18"/>
                <w:lang w:eastAsia="ja-JP"/>
              </w:rPr>
              <w:t>2012</w:t>
            </w:r>
          </w:p>
        </w:tc>
        <w:tc>
          <w:tcPr>
            <w:tcW w:w="2268" w:type="dxa"/>
          </w:tcPr>
          <w:p w14:paraId="06CBADBF" w14:textId="77777777" w:rsidR="00CC703E" w:rsidRDefault="00E37FDB">
            <w:pPr>
              <w:pStyle w:val="Tabletext"/>
              <w:rPr>
                <w:szCs w:val="18"/>
                <w:lang w:eastAsia="ja-JP"/>
              </w:rPr>
            </w:pPr>
            <w:r>
              <w:rPr>
                <w:szCs w:val="18"/>
                <w:lang w:eastAsia="ja-JP"/>
              </w:rPr>
              <w:t>Ornamental fish (farmed)</w:t>
            </w:r>
          </w:p>
        </w:tc>
        <w:tc>
          <w:tcPr>
            <w:tcW w:w="3619" w:type="dxa"/>
            <w:noWrap/>
            <w:hideMark/>
          </w:tcPr>
          <w:p w14:paraId="4ED53993" w14:textId="77777777" w:rsidR="00CC703E" w:rsidRDefault="00E37FDB">
            <w:pPr>
              <w:pStyle w:val="Tabletext"/>
              <w:rPr>
                <w:szCs w:val="18"/>
                <w:lang w:eastAsia="ja-JP"/>
              </w:rPr>
            </w:pPr>
            <w:r>
              <w:rPr>
                <w:szCs w:val="18"/>
                <w:lang w:eastAsia="ja-JP"/>
              </w:rPr>
              <w:t>Megalocytivirus</w:t>
            </w:r>
          </w:p>
        </w:tc>
        <w:tc>
          <w:tcPr>
            <w:tcW w:w="2334" w:type="dxa"/>
            <w:noWrap/>
            <w:hideMark/>
          </w:tcPr>
          <w:p w14:paraId="650E974A" w14:textId="77777777" w:rsidR="00CC703E" w:rsidRDefault="00E37FDB">
            <w:pPr>
              <w:pStyle w:val="Tabletext"/>
              <w:rPr>
                <w:szCs w:val="18"/>
                <w:lang w:eastAsia="ja-JP"/>
              </w:rPr>
            </w:pPr>
            <w:r>
              <w:rPr>
                <w:szCs w:val="18"/>
                <w:lang w:eastAsia="ja-JP"/>
              </w:rPr>
              <w:t>Queensland</w:t>
            </w:r>
          </w:p>
        </w:tc>
      </w:tr>
      <w:tr w:rsidR="00CC703E" w14:paraId="18F6E6AB" w14:textId="77777777" w:rsidTr="00FC1687">
        <w:trPr>
          <w:cantSplit/>
        </w:trPr>
        <w:tc>
          <w:tcPr>
            <w:tcW w:w="1059" w:type="dxa"/>
            <w:vMerge/>
            <w:noWrap/>
            <w:hideMark/>
          </w:tcPr>
          <w:p w14:paraId="49501406" w14:textId="77777777" w:rsidR="00CC703E" w:rsidRDefault="00CC703E">
            <w:pPr>
              <w:pStyle w:val="Tabletext"/>
              <w:rPr>
                <w:szCs w:val="18"/>
                <w:lang w:eastAsia="ja-JP"/>
              </w:rPr>
            </w:pPr>
          </w:p>
        </w:tc>
        <w:tc>
          <w:tcPr>
            <w:tcW w:w="2268" w:type="dxa"/>
          </w:tcPr>
          <w:p w14:paraId="201CFDBA" w14:textId="77777777" w:rsidR="00CC703E" w:rsidRDefault="00E37FDB">
            <w:pPr>
              <w:pStyle w:val="Tabletext"/>
              <w:rPr>
                <w:szCs w:val="18"/>
                <w:lang w:eastAsia="ja-JP"/>
              </w:rPr>
            </w:pPr>
            <w:r>
              <w:rPr>
                <w:szCs w:val="18"/>
                <w:lang w:eastAsia="ja-JP"/>
              </w:rPr>
              <w:t>Salmonids</w:t>
            </w:r>
          </w:p>
        </w:tc>
        <w:tc>
          <w:tcPr>
            <w:tcW w:w="3619" w:type="dxa"/>
            <w:noWrap/>
            <w:hideMark/>
          </w:tcPr>
          <w:p w14:paraId="133E905B" w14:textId="77777777" w:rsidR="00CC703E" w:rsidRDefault="00E37FDB">
            <w:pPr>
              <w:pStyle w:val="Tabletext"/>
              <w:rPr>
                <w:szCs w:val="18"/>
                <w:lang w:eastAsia="ja-JP"/>
              </w:rPr>
            </w:pPr>
            <w:r>
              <w:rPr>
                <w:szCs w:val="18"/>
                <w:lang w:eastAsia="ja-JP"/>
              </w:rPr>
              <w:t>Orthomyxo-like virus</w:t>
            </w:r>
          </w:p>
        </w:tc>
        <w:tc>
          <w:tcPr>
            <w:tcW w:w="2334" w:type="dxa"/>
            <w:noWrap/>
            <w:hideMark/>
          </w:tcPr>
          <w:p w14:paraId="6234A6FB" w14:textId="77777777" w:rsidR="00CC703E" w:rsidRDefault="00E37FDB">
            <w:pPr>
              <w:pStyle w:val="Tabletext"/>
              <w:rPr>
                <w:szCs w:val="18"/>
                <w:lang w:eastAsia="ja-JP"/>
              </w:rPr>
            </w:pPr>
            <w:r>
              <w:rPr>
                <w:szCs w:val="18"/>
                <w:lang w:eastAsia="ja-JP"/>
              </w:rPr>
              <w:t>Tasmania</w:t>
            </w:r>
          </w:p>
        </w:tc>
      </w:tr>
      <w:tr w:rsidR="00CC703E" w14:paraId="1DF01C8E" w14:textId="77777777" w:rsidTr="00FC1687">
        <w:trPr>
          <w:cantSplit/>
        </w:trPr>
        <w:tc>
          <w:tcPr>
            <w:tcW w:w="1059" w:type="dxa"/>
            <w:noWrap/>
            <w:hideMark/>
          </w:tcPr>
          <w:p w14:paraId="52FBEEC9" w14:textId="77777777" w:rsidR="00CC703E" w:rsidRDefault="00E37FDB">
            <w:pPr>
              <w:pStyle w:val="Tabletext"/>
              <w:rPr>
                <w:szCs w:val="18"/>
                <w:lang w:eastAsia="ja-JP"/>
              </w:rPr>
            </w:pPr>
            <w:r>
              <w:rPr>
                <w:szCs w:val="18"/>
                <w:lang w:val="en-US" w:eastAsia="ja-JP"/>
              </w:rPr>
              <w:t>2011</w:t>
            </w:r>
          </w:p>
        </w:tc>
        <w:tc>
          <w:tcPr>
            <w:tcW w:w="2268" w:type="dxa"/>
          </w:tcPr>
          <w:p w14:paraId="2604657F" w14:textId="77777777" w:rsidR="00CC703E" w:rsidRDefault="00E37FDB">
            <w:pPr>
              <w:pStyle w:val="Tabletext"/>
              <w:rPr>
                <w:szCs w:val="18"/>
                <w:lang w:eastAsia="ja-JP"/>
              </w:rPr>
            </w:pPr>
            <w:r>
              <w:rPr>
                <w:szCs w:val="18"/>
                <w:lang w:eastAsia="ja-JP"/>
              </w:rPr>
              <w:t>Farmed abalone</w:t>
            </w:r>
          </w:p>
        </w:tc>
        <w:tc>
          <w:tcPr>
            <w:tcW w:w="3619" w:type="dxa"/>
            <w:noWrap/>
            <w:hideMark/>
          </w:tcPr>
          <w:p w14:paraId="11B66FC3" w14:textId="77777777" w:rsidR="00CC703E" w:rsidRDefault="00E37FDB">
            <w:pPr>
              <w:pStyle w:val="Tabletext"/>
              <w:rPr>
                <w:szCs w:val="18"/>
                <w:lang w:eastAsia="ja-JP"/>
              </w:rPr>
            </w:pPr>
            <w:r>
              <w:rPr>
                <w:szCs w:val="18"/>
                <w:lang w:eastAsia="ja-JP"/>
              </w:rPr>
              <w:t>Viral ganglioneuritis</w:t>
            </w:r>
          </w:p>
        </w:tc>
        <w:tc>
          <w:tcPr>
            <w:tcW w:w="2334" w:type="dxa"/>
            <w:noWrap/>
            <w:hideMark/>
          </w:tcPr>
          <w:p w14:paraId="1EEA4F47" w14:textId="77777777" w:rsidR="00CC703E" w:rsidRDefault="00E37FDB">
            <w:pPr>
              <w:pStyle w:val="Tabletext"/>
              <w:rPr>
                <w:szCs w:val="18"/>
                <w:lang w:eastAsia="ja-JP"/>
              </w:rPr>
            </w:pPr>
            <w:r>
              <w:rPr>
                <w:szCs w:val="18"/>
                <w:lang w:eastAsia="ja-JP"/>
              </w:rPr>
              <w:t>Tasmania</w:t>
            </w:r>
          </w:p>
        </w:tc>
      </w:tr>
      <w:tr w:rsidR="00CC703E" w14:paraId="5D7DE80E" w14:textId="77777777" w:rsidTr="00FC1687">
        <w:trPr>
          <w:cantSplit/>
        </w:trPr>
        <w:tc>
          <w:tcPr>
            <w:tcW w:w="1059" w:type="dxa"/>
            <w:vMerge w:val="restart"/>
            <w:noWrap/>
            <w:hideMark/>
          </w:tcPr>
          <w:p w14:paraId="1F842B2F" w14:textId="77777777" w:rsidR="00CC703E" w:rsidRDefault="00E37FDB">
            <w:pPr>
              <w:pStyle w:val="Tabletext"/>
              <w:rPr>
                <w:szCs w:val="18"/>
                <w:lang w:eastAsia="ja-JP"/>
              </w:rPr>
            </w:pPr>
            <w:r>
              <w:rPr>
                <w:szCs w:val="18"/>
                <w:lang w:eastAsia="ja-JP"/>
              </w:rPr>
              <w:t>2010</w:t>
            </w:r>
          </w:p>
        </w:tc>
        <w:tc>
          <w:tcPr>
            <w:tcW w:w="2268" w:type="dxa"/>
          </w:tcPr>
          <w:p w14:paraId="2C797B5F" w14:textId="77777777" w:rsidR="00CC703E" w:rsidRDefault="00E37FDB">
            <w:pPr>
              <w:pStyle w:val="Tabletext"/>
              <w:rPr>
                <w:szCs w:val="18"/>
                <w:lang w:eastAsia="ja-JP"/>
              </w:rPr>
            </w:pPr>
            <w:r>
              <w:rPr>
                <w:szCs w:val="18"/>
                <w:lang w:eastAsia="ja-JP"/>
              </w:rPr>
              <w:t>Native catfish</w:t>
            </w:r>
          </w:p>
        </w:tc>
        <w:tc>
          <w:tcPr>
            <w:tcW w:w="3619" w:type="dxa"/>
            <w:noWrap/>
            <w:hideMark/>
          </w:tcPr>
          <w:p w14:paraId="4B7EC86C" w14:textId="77777777" w:rsidR="00CC703E" w:rsidRDefault="00E37FDB">
            <w:pPr>
              <w:pStyle w:val="Tabletext"/>
              <w:rPr>
                <w:i/>
                <w:szCs w:val="18"/>
                <w:lang w:eastAsia="ja-JP"/>
              </w:rPr>
            </w:pPr>
            <w:r>
              <w:rPr>
                <w:i/>
                <w:szCs w:val="18"/>
                <w:lang w:eastAsia="ja-JP"/>
              </w:rPr>
              <w:t xml:space="preserve">Edwardsiella ictaluri </w:t>
            </w:r>
          </w:p>
        </w:tc>
        <w:tc>
          <w:tcPr>
            <w:tcW w:w="2334" w:type="dxa"/>
            <w:noWrap/>
            <w:hideMark/>
          </w:tcPr>
          <w:p w14:paraId="59DBBA10" w14:textId="77777777" w:rsidR="00CC703E" w:rsidRDefault="00E37FDB">
            <w:pPr>
              <w:pStyle w:val="Tabletext"/>
              <w:rPr>
                <w:szCs w:val="18"/>
                <w:lang w:eastAsia="ja-JP"/>
              </w:rPr>
            </w:pPr>
            <w:r>
              <w:rPr>
                <w:szCs w:val="18"/>
                <w:lang w:eastAsia="ja-JP"/>
              </w:rPr>
              <w:t>Northern territory</w:t>
            </w:r>
          </w:p>
        </w:tc>
      </w:tr>
      <w:tr w:rsidR="00CC703E" w14:paraId="46BFD5C9" w14:textId="77777777" w:rsidTr="00FC1687">
        <w:trPr>
          <w:cantSplit/>
        </w:trPr>
        <w:tc>
          <w:tcPr>
            <w:tcW w:w="1059" w:type="dxa"/>
            <w:vMerge/>
            <w:noWrap/>
            <w:hideMark/>
          </w:tcPr>
          <w:p w14:paraId="423C3EAC" w14:textId="77777777" w:rsidR="00CC703E" w:rsidRDefault="00CC703E">
            <w:pPr>
              <w:pStyle w:val="Tabletext"/>
              <w:rPr>
                <w:szCs w:val="18"/>
                <w:lang w:eastAsia="ja-JP"/>
              </w:rPr>
            </w:pPr>
          </w:p>
        </w:tc>
        <w:tc>
          <w:tcPr>
            <w:tcW w:w="2268" w:type="dxa"/>
          </w:tcPr>
          <w:p w14:paraId="1C3D214E" w14:textId="77777777" w:rsidR="00CC703E" w:rsidRDefault="00E37FDB">
            <w:pPr>
              <w:pStyle w:val="Tabletext"/>
              <w:rPr>
                <w:szCs w:val="18"/>
                <w:lang w:eastAsia="ja-JP"/>
              </w:rPr>
            </w:pPr>
            <w:r>
              <w:rPr>
                <w:szCs w:val="18"/>
                <w:lang w:eastAsia="ja-JP"/>
              </w:rPr>
              <w:t>Barramundi</w:t>
            </w:r>
          </w:p>
        </w:tc>
        <w:tc>
          <w:tcPr>
            <w:tcW w:w="3619" w:type="dxa"/>
            <w:noWrap/>
            <w:hideMark/>
          </w:tcPr>
          <w:p w14:paraId="7033787D" w14:textId="77777777" w:rsidR="00CC703E" w:rsidRDefault="00E37FDB">
            <w:pPr>
              <w:pStyle w:val="Tabletext"/>
              <w:rPr>
                <w:szCs w:val="18"/>
                <w:lang w:eastAsia="ja-JP"/>
              </w:rPr>
            </w:pPr>
            <w:r>
              <w:rPr>
                <w:szCs w:val="18"/>
                <w:lang w:eastAsia="ja-JP"/>
              </w:rPr>
              <w:t>Herpesvirus</w:t>
            </w:r>
          </w:p>
        </w:tc>
        <w:tc>
          <w:tcPr>
            <w:tcW w:w="2334" w:type="dxa"/>
            <w:noWrap/>
            <w:hideMark/>
          </w:tcPr>
          <w:p w14:paraId="01A2345F" w14:textId="77777777" w:rsidR="00CC703E" w:rsidRDefault="00E37FDB">
            <w:pPr>
              <w:pStyle w:val="Tabletext"/>
              <w:rPr>
                <w:szCs w:val="18"/>
                <w:lang w:eastAsia="ja-JP"/>
              </w:rPr>
            </w:pPr>
            <w:r>
              <w:rPr>
                <w:szCs w:val="18"/>
                <w:lang w:eastAsia="ja-JP"/>
              </w:rPr>
              <w:t>Victoria</w:t>
            </w:r>
          </w:p>
        </w:tc>
      </w:tr>
      <w:tr w:rsidR="00CC703E" w14:paraId="51CC16F3" w14:textId="77777777" w:rsidTr="00FC1687">
        <w:trPr>
          <w:cantSplit/>
        </w:trPr>
        <w:tc>
          <w:tcPr>
            <w:tcW w:w="1059" w:type="dxa"/>
            <w:vMerge/>
            <w:noWrap/>
            <w:hideMark/>
          </w:tcPr>
          <w:p w14:paraId="48795F7B" w14:textId="77777777" w:rsidR="00CC703E" w:rsidRDefault="00CC703E">
            <w:pPr>
              <w:pStyle w:val="Tabletext"/>
              <w:rPr>
                <w:szCs w:val="18"/>
                <w:lang w:eastAsia="ja-JP"/>
              </w:rPr>
            </w:pPr>
          </w:p>
        </w:tc>
        <w:tc>
          <w:tcPr>
            <w:tcW w:w="2268" w:type="dxa"/>
          </w:tcPr>
          <w:p w14:paraId="7350C05B" w14:textId="77777777" w:rsidR="00CC703E" w:rsidRDefault="00E37FDB">
            <w:pPr>
              <w:pStyle w:val="Tabletext"/>
              <w:rPr>
                <w:szCs w:val="18"/>
                <w:lang w:eastAsia="ja-JP"/>
              </w:rPr>
            </w:pPr>
            <w:r>
              <w:rPr>
                <w:szCs w:val="18"/>
                <w:lang w:eastAsia="ja-JP"/>
              </w:rPr>
              <w:t>Pacific oysters</w:t>
            </w:r>
          </w:p>
        </w:tc>
        <w:tc>
          <w:tcPr>
            <w:tcW w:w="3619" w:type="dxa"/>
            <w:noWrap/>
            <w:hideMark/>
          </w:tcPr>
          <w:p w14:paraId="7BF0589E" w14:textId="77777777" w:rsidR="00CC703E" w:rsidRDefault="00E37FDB">
            <w:pPr>
              <w:pStyle w:val="Tabletext"/>
              <w:rPr>
                <w:szCs w:val="18"/>
                <w:lang w:eastAsia="ja-JP"/>
              </w:rPr>
            </w:pPr>
            <w:r>
              <w:rPr>
                <w:szCs w:val="18"/>
                <w:lang w:eastAsia="ja-JP"/>
              </w:rPr>
              <w:t>Ostreid herpesvirus</w:t>
            </w:r>
          </w:p>
        </w:tc>
        <w:tc>
          <w:tcPr>
            <w:tcW w:w="2334" w:type="dxa"/>
            <w:noWrap/>
            <w:hideMark/>
          </w:tcPr>
          <w:p w14:paraId="4E84A573" w14:textId="77777777" w:rsidR="00CC703E" w:rsidRDefault="00E37FDB">
            <w:pPr>
              <w:pStyle w:val="Tabletext"/>
              <w:rPr>
                <w:szCs w:val="18"/>
                <w:lang w:eastAsia="ja-JP"/>
              </w:rPr>
            </w:pPr>
            <w:r>
              <w:rPr>
                <w:szCs w:val="18"/>
                <w:lang w:eastAsia="ja-JP"/>
              </w:rPr>
              <w:t>New South Wales</w:t>
            </w:r>
          </w:p>
        </w:tc>
      </w:tr>
      <w:tr w:rsidR="00CC703E" w14:paraId="309316F5" w14:textId="77777777" w:rsidTr="00FC1687">
        <w:trPr>
          <w:cantSplit/>
        </w:trPr>
        <w:tc>
          <w:tcPr>
            <w:tcW w:w="1059" w:type="dxa"/>
            <w:vMerge/>
            <w:noWrap/>
            <w:hideMark/>
          </w:tcPr>
          <w:p w14:paraId="1D9950E1" w14:textId="77777777" w:rsidR="00CC703E" w:rsidRDefault="00CC703E">
            <w:pPr>
              <w:pStyle w:val="Tabletext"/>
              <w:rPr>
                <w:szCs w:val="18"/>
                <w:lang w:eastAsia="ja-JP"/>
              </w:rPr>
            </w:pPr>
          </w:p>
        </w:tc>
        <w:tc>
          <w:tcPr>
            <w:tcW w:w="2268" w:type="dxa"/>
          </w:tcPr>
          <w:p w14:paraId="1DC09118" w14:textId="77777777" w:rsidR="00CC703E" w:rsidRDefault="00E37FDB">
            <w:pPr>
              <w:pStyle w:val="Tabletext"/>
              <w:rPr>
                <w:szCs w:val="18"/>
                <w:lang w:eastAsia="ja-JP"/>
              </w:rPr>
            </w:pPr>
            <w:r>
              <w:rPr>
                <w:szCs w:val="18"/>
                <w:lang w:eastAsia="ja-JP"/>
              </w:rPr>
              <w:t>Trout</w:t>
            </w:r>
          </w:p>
        </w:tc>
        <w:tc>
          <w:tcPr>
            <w:tcW w:w="3619" w:type="dxa"/>
            <w:noWrap/>
            <w:hideMark/>
          </w:tcPr>
          <w:p w14:paraId="7F8B18E3" w14:textId="77777777" w:rsidR="00CC703E" w:rsidRDefault="00E37FDB">
            <w:pPr>
              <w:pStyle w:val="Tabletext"/>
              <w:rPr>
                <w:szCs w:val="18"/>
                <w:lang w:eastAsia="ja-JP"/>
              </w:rPr>
            </w:pPr>
            <w:r>
              <w:rPr>
                <w:szCs w:val="18"/>
                <w:lang w:eastAsia="ja-JP"/>
              </w:rPr>
              <w:t>Aquabirnavirus</w:t>
            </w:r>
          </w:p>
        </w:tc>
        <w:tc>
          <w:tcPr>
            <w:tcW w:w="2334" w:type="dxa"/>
            <w:noWrap/>
            <w:hideMark/>
          </w:tcPr>
          <w:p w14:paraId="1646AE22" w14:textId="77777777" w:rsidR="00CC703E" w:rsidRDefault="00E37FDB">
            <w:pPr>
              <w:pStyle w:val="Tabletext"/>
              <w:rPr>
                <w:szCs w:val="18"/>
                <w:lang w:eastAsia="ja-JP"/>
              </w:rPr>
            </w:pPr>
            <w:r>
              <w:rPr>
                <w:szCs w:val="18"/>
                <w:lang w:eastAsia="ja-JP"/>
              </w:rPr>
              <w:t>Victoria</w:t>
            </w:r>
          </w:p>
        </w:tc>
      </w:tr>
      <w:tr w:rsidR="00CC703E" w14:paraId="1D8FC9A1" w14:textId="77777777" w:rsidTr="00FC1687">
        <w:trPr>
          <w:cantSplit/>
        </w:trPr>
        <w:tc>
          <w:tcPr>
            <w:tcW w:w="1059" w:type="dxa"/>
            <w:vMerge w:val="restart"/>
            <w:noWrap/>
            <w:hideMark/>
          </w:tcPr>
          <w:p w14:paraId="15E48F38" w14:textId="77777777" w:rsidR="00CC703E" w:rsidRDefault="00E37FDB">
            <w:pPr>
              <w:pStyle w:val="Tabletext"/>
              <w:rPr>
                <w:szCs w:val="18"/>
                <w:lang w:eastAsia="ja-JP"/>
              </w:rPr>
            </w:pPr>
            <w:r>
              <w:rPr>
                <w:szCs w:val="18"/>
                <w:lang w:eastAsia="ja-JP"/>
              </w:rPr>
              <w:t>2008</w:t>
            </w:r>
          </w:p>
        </w:tc>
        <w:tc>
          <w:tcPr>
            <w:tcW w:w="2268" w:type="dxa"/>
          </w:tcPr>
          <w:p w14:paraId="7C57257E" w14:textId="77777777" w:rsidR="00CC703E" w:rsidRDefault="00E37FDB">
            <w:pPr>
              <w:pStyle w:val="Tabletext"/>
              <w:rPr>
                <w:szCs w:val="18"/>
                <w:lang w:eastAsia="ja-JP"/>
              </w:rPr>
            </w:pPr>
            <w:r>
              <w:rPr>
                <w:szCs w:val="18"/>
                <w:lang w:eastAsia="ja-JP"/>
              </w:rPr>
              <w:t>Southern bluefin tuna</w:t>
            </w:r>
          </w:p>
        </w:tc>
        <w:tc>
          <w:tcPr>
            <w:tcW w:w="3619" w:type="dxa"/>
            <w:noWrap/>
            <w:hideMark/>
          </w:tcPr>
          <w:p w14:paraId="36463DEC" w14:textId="77777777" w:rsidR="00CC703E" w:rsidRDefault="00E37FDB">
            <w:pPr>
              <w:pStyle w:val="Tabletext"/>
              <w:rPr>
                <w:szCs w:val="18"/>
                <w:lang w:eastAsia="ja-JP"/>
              </w:rPr>
            </w:pPr>
            <w:r>
              <w:rPr>
                <w:szCs w:val="18"/>
                <w:lang w:eastAsia="ja-JP"/>
              </w:rPr>
              <w:t>Blood fluke (</w:t>
            </w:r>
            <w:r>
              <w:rPr>
                <w:i/>
                <w:szCs w:val="18"/>
                <w:lang w:eastAsia="ja-JP"/>
              </w:rPr>
              <w:t>Cardicola fosteri</w:t>
            </w:r>
            <w:r>
              <w:rPr>
                <w:szCs w:val="18"/>
                <w:lang w:eastAsia="ja-JP"/>
              </w:rPr>
              <w:t>)</w:t>
            </w:r>
          </w:p>
        </w:tc>
        <w:tc>
          <w:tcPr>
            <w:tcW w:w="2334" w:type="dxa"/>
            <w:noWrap/>
            <w:hideMark/>
          </w:tcPr>
          <w:p w14:paraId="3FC256FC" w14:textId="77777777" w:rsidR="00CC703E" w:rsidRDefault="00E37FDB">
            <w:pPr>
              <w:pStyle w:val="Tabletext"/>
              <w:rPr>
                <w:szCs w:val="18"/>
                <w:lang w:eastAsia="ja-JP"/>
              </w:rPr>
            </w:pPr>
            <w:r>
              <w:rPr>
                <w:szCs w:val="18"/>
                <w:lang w:eastAsia="ja-JP"/>
              </w:rPr>
              <w:t>South Australia</w:t>
            </w:r>
          </w:p>
        </w:tc>
      </w:tr>
      <w:tr w:rsidR="00CC703E" w14:paraId="1A44D2D5" w14:textId="77777777" w:rsidTr="00FC1687">
        <w:trPr>
          <w:cantSplit/>
        </w:trPr>
        <w:tc>
          <w:tcPr>
            <w:tcW w:w="1059" w:type="dxa"/>
            <w:vMerge/>
            <w:noWrap/>
            <w:hideMark/>
          </w:tcPr>
          <w:p w14:paraId="3036F54A" w14:textId="77777777" w:rsidR="00CC703E" w:rsidRDefault="00CC703E">
            <w:pPr>
              <w:pStyle w:val="Tabletext"/>
              <w:rPr>
                <w:szCs w:val="18"/>
                <w:lang w:eastAsia="ja-JP"/>
              </w:rPr>
            </w:pPr>
          </w:p>
        </w:tc>
        <w:tc>
          <w:tcPr>
            <w:tcW w:w="2268" w:type="dxa"/>
          </w:tcPr>
          <w:p w14:paraId="476CDC84" w14:textId="77777777" w:rsidR="00CC703E" w:rsidRDefault="00E37FDB">
            <w:pPr>
              <w:pStyle w:val="Tabletext"/>
              <w:rPr>
                <w:szCs w:val="18"/>
                <w:lang w:eastAsia="ja-JP"/>
              </w:rPr>
            </w:pPr>
            <w:r>
              <w:rPr>
                <w:szCs w:val="18"/>
                <w:lang w:eastAsia="ja-JP"/>
              </w:rPr>
              <w:t>Grouper (wild)</w:t>
            </w:r>
          </w:p>
        </w:tc>
        <w:tc>
          <w:tcPr>
            <w:tcW w:w="3619" w:type="dxa"/>
            <w:noWrap/>
            <w:hideMark/>
          </w:tcPr>
          <w:p w14:paraId="36549C7B" w14:textId="77777777" w:rsidR="00CC703E" w:rsidRDefault="00E37FDB">
            <w:pPr>
              <w:pStyle w:val="Tabletext"/>
              <w:rPr>
                <w:szCs w:val="18"/>
                <w:lang w:eastAsia="ja-JP"/>
              </w:rPr>
            </w:pPr>
            <w:r>
              <w:rPr>
                <w:szCs w:val="18"/>
                <w:lang w:eastAsia="ja-JP"/>
              </w:rPr>
              <w:t>Mortalities (</w:t>
            </w:r>
            <w:r>
              <w:rPr>
                <w:i/>
                <w:szCs w:val="18"/>
                <w:lang w:eastAsia="ja-JP"/>
              </w:rPr>
              <w:t>Streptococcus</w:t>
            </w:r>
            <w:r>
              <w:rPr>
                <w:szCs w:val="18"/>
                <w:lang w:eastAsia="ja-JP"/>
              </w:rPr>
              <w:t xml:space="preserve"> sp.)</w:t>
            </w:r>
          </w:p>
        </w:tc>
        <w:tc>
          <w:tcPr>
            <w:tcW w:w="2334" w:type="dxa"/>
            <w:noWrap/>
            <w:hideMark/>
          </w:tcPr>
          <w:p w14:paraId="6703DD11" w14:textId="77777777" w:rsidR="00CC703E" w:rsidRDefault="00E37FDB">
            <w:pPr>
              <w:pStyle w:val="Tabletext"/>
              <w:rPr>
                <w:szCs w:val="18"/>
                <w:lang w:eastAsia="ja-JP"/>
              </w:rPr>
            </w:pPr>
            <w:r>
              <w:rPr>
                <w:szCs w:val="18"/>
                <w:lang w:eastAsia="ja-JP"/>
              </w:rPr>
              <w:t>Queensland</w:t>
            </w:r>
          </w:p>
        </w:tc>
      </w:tr>
      <w:tr w:rsidR="00CC703E" w14:paraId="4721D8FC" w14:textId="77777777" w:rsidTr="00FC1687">
        <w:trPr>
          <w:cantSplit/>
        </w:trPr>
        <w:tc>
          <w:tcPr>
            <w:tcW w:w="1059" w:type="dxa"/>
            <w:vMerge/>
            <w:noWrap/>
            <w:hideMark/>
          </w:tcPr>
          <w:p w14:paraId="5D59004E" w14:textId="77777777" w:rsidR="00CC703E" w:rsidRDefault="00CC703E">
            <w:pPr>
              <w:pStyle w:val="Tabletext"/>
              <w:rPr>
                <w:szCs w:val="18"/>
                <w:lang w:eastAsia="ja-JP"/>
              </w:rPr>
            </w:pPr>
          </w:p>
        </w:tc>
        <w:tc>
          <w:tcPr>
            <w:tcW w:w="2268" w:type="dxa"/>
          </w:tcPr>
          <w:p w14:paraId="3A6DA2C1" w14:textId="2F4A6E10" w:rsidR="00CC703E" w:rsidRDefault="00E37FDB" w:rsidP="00E66255">
            <w:pPr>
              <w:pStyle w:val="Tabletext"/>
              <w:rPr>
                <w:szCs w:val="18"/>
                <w:lang w:eastAsia="ja-JP"/>
              </w:rPr>
            </w:pPr>
            <w:r>
              <w:rPr>
                <w:szCs w:val="18"/>
                <w:lang w:eastAsia="ja-JP"/>
              </w:rPr>
              <w:t>Kingfish mortalit</w:t>
            </w:r>
            <w:r w:rsidR="00E66255">
              <w:rPr>
                <w:szCs w:val="18"/>
                <w:lang w:eastAsia="ja-JP"/>
              </w:rPr>
              <w:t>y</w:t>
            </w:r>
          </w:p>
        </w:tc>
        <w:tc>
          <w:tcPr>
            <w:tcW w:w="3619" w:type="dxa"/>
            <w:noWrap/>
            <w:hideMark/>
          </w:tcPr>
          <w:p w14:paraId="1B09879A" w14:textId="77777777" w:rsidR="00CC703E" w:rsidRDefault="00E37FDB">
            <w:pPr>
              <w:pStyle w:val="Tabletext"/>
              <w:rPr>
                <w:szCs w:val="18"/>
                <w:lang w:eastAsia="ja-JP"/>
              </w:rPr>
            </w:pPr>
            <w:r>
              <w:rPr>
                <w:szCs w:val="18"/>
                <w:lang w:eastAsia="ja-JP"/>
              </w:rPr>
              <w:t>–</w:t>
            </w:r>
          </w:p>
        </w:tc>
        <w:tc>
          <w:tcPr>
            <w:tcW w:w="2334" w:type="dxa"/>
            <w:noWrap/>
            <w:hideMark/>
          </w:tcPr>
          <w:p w14:paraId="57A3EF58" w14:textId="77777777" w:rsidR="00CC703E" w:rsidRDefault="00E37FDB">
            <w:pPr>
              <w:pStyle w:val="Tabletext"/>
              <w:rPr>
                <w:szCs w:val="18"/>
                <w:lang w:eastAsia="ja-JP"/>
              </w:rPr>
            </w:pPr>
            <w:r>
              <w:rPr>
                <w:szCs w:val="18"/>
                <w:lang w:eastAsia="ja-JP"/>
              </w:rPr>
              <w:t>Western Australia</w:t>
            </w:r>
          </w:p>
        </w:tc>
      </w:tr>
      <w:tr w:rsidR="00CC703E" w14:paraId="29BCEFA9" w14:textId="77777777" w:rsidTr="00FC1687">
        <w:trPr>
          <w:cantSplit/>
        </w:trPr>
        <w:tc>
          <w:tcPr>
            <w:tcW w:w="1059" w:type="dxa"/>
            <w:vMerge/>
            <w:noWrap/>
            <w:hideMark/>
          </w:tcPr>
          <w:p w14:paraId="788E2977" w14:textId="77777777" w:rsidR="00CC703E" w:rsidRDefault="00CC703E">
            <w:pPr>
              <w:pStyle w:val="Tabletext"/>
              <w:rPr>
                <w:szCs w:val="18"/>
                <w:lang w:eastAsia="ja-JP"/>
              </w:rPr>
            </w:pPr>
          </w:p>
        </w:tc>
        <w:tc>
          <w:tcPr>
            <w:tcW w:w="2268" w:type="dxa"/>
          </w:tcPr>
          <w:p w14:paraId="00D9A5FB" w14:textId="77777777" w:rsidR="00CC703E" w:rsidRDefault="00E37FDB">
            <w:pPr>
              <w:pStyle w:val="Tabletext"/>
              <w:rPr>
                <w:szCs w:val="18"/>
                <w:lang w:eastAsia="ja-JP"/>
              </w:rPr>
            </w:pPr>
            <w:r>
              <w:rPr>
                <w:szCs w:val="18"/>
                <w:lang w:eastAsia="ja-JP"/>
              </w:rPr>
              <w:t>Abalone (in processing plants)</w:t>
            </w:r>
          </w:p>
        </w:tc>
        <w:tc>
          <w:tcPr>
            <w:tcW w:w="3619" w:type="dxa"/>
            <w:noWrap/>
            <w:hideMark/>
          </w:tcPr>
          <w:p w14:paraId="38C14974" w14:textId="77777777" w:rsidR="00CC703E" w:rsidRDefault="00E37FDB">
            <w:pPr>
              <w:pStyle w:val="Tabletext"/>
              <w:rPr>
                <w:szCs w:val="18"/>
                <w:lang w:eastAsia="ja-JP"/>
              </w:rPr>
            </w:pPr>
            <w:r>
              <w:rPr>
                <w:szCs w:val="18"/>
                <w:lang w:eastAsia="ja-JP"/>
              </w:rPr>
              <w:t>Viral ganglioneuritis</w:t>
            </w:r>
          </w:p>
        </w:tc>
        <w:tc>
          <w:tcPr>
            <w:tcW w:w="2334" w:type="dxa"/>
            <w:noWrap/>
            <w:hideMark/>
          </w:tcPr>
          <w:p w14:paraId="6A2BB49E" w14:textId="77777777" w:rsidR="00CC703E" w:rsidRDefault="00E37FDB">
            <w:pPr>
              <w:pStyle w:val="Tabletext"/>
              <w:rPr>
                <w:szCs w:val="18"/>
                <w:lang w:eastAsia="ja-JP"/>
              </w:rPr>
            </w:pPr>
            <w:r>
              <w:rPr>
                <w:szCs w:val="18"/>
                <w:lang w:eastAsia="ja-JP"/>
              </w:rPr>
              <w:t>Tasmania</w:t>
            </w:r>
          </w:p>
        </w:tc>
      </w:tr>
      <w:tr w:rsidR="00CC703E" w14:paraId="4E09F3F5" w14:textId="77777777" w:rsidTr="00FC1687">
        <w:trPr>
          <w:cantSplit/>
        </w:trPr>
        <w:tc>
          <w:tcPr>
            <w:tcW w:w="1059" w:type="dxa"/>
            <w:vMerge/>
            <w:noWrap/>
            <w:hideMark/>
          </w:tcPr>
          <w:p w14:paraId="5042ED33" w14:textId="77777777" w:rsidR="00CC703E" w:rsidRDefault="00CC703E">
            <w:pPr>
              <w:pStyle w:val="Tabletext"/>
              <w:rPr>
                <w:szCs w:val="18"/>
                <w:lang w:eastAsia="ja-JP"/>
              </w:rPr>
            </w:pPr>
          </w:p>
        </w:tc>
        <w:tc>
          <w:tcPr>
            <w:tcW w:w="2268" w:type="dxa"/>
          </w:tcPr>
          <w:p w14:paraId="3292B052" w14:textId="77777777" w:rsidR="00CC703E" w:rsidRDefault="00E37FDB">
            <w:pPr>
              <w:pStyle w:val="Tabletext"/>
              <w:rPr>
                <w:szCs w:val="18"/>
                <w:lang w:eastAsia="ja-JP"/>
              </w:rPr>
            </w:pPr>
            <w:r>
              <w:rPr>
                <w:szCs w:val="18"/>
                <w:lang w:eastAsia="ja-JP"/>
              </w:rPr>
              <w:t>White tail</w:t>
            </w:r>
          </w:p>
        </w:tc>
        <w:tc>
          <w:tcPr>
            <w:tcW w:w="3619" w:type="dxa"/>
            <w:noWrap/>
            <w:hideMark/>
          </w:tcPr>
          <w:p w14:paraId="4082F7C1" w14:textId="77777777" w:rsidR="00CC703E" w:rsidRDefault="00E37FDB">
            <w:pPr>
              <w:pStyle w:val="Tabletext"/>
              <w:rPr>
                <w:szCs w:val="18"/>
                <w:lang w:eastAsia="ja-JP"/>
              </w:rPr>
            </w:pPr>
            <w:r>
              <w:rPr>
                <w:i/>
                <w:szCs w:val="18"/>
                <w:lang w:eastAsia="ja-JP"/>
              </w:rPr>
              <w:t>Macrobrachium rosenbergii</w:t>
            </w:r>
            <w:r>
              <w:rPr>
                <w:szCs w:val="18"/>
                <w:lang w:eastAsia="ja-JP"/>
              </w:rPr>
              <w:t xml:space="preserve"> nodavirus</w:t>
            </w:r>
          </w:p>
        </w:tc>
        <w:tc>
          <w:tcPr>
            <w:tcW w:w="2334" w:type="dxa"/>
            <w:noWrap/>
            <w:hideMark/>
          </w:tcPr>
          <w:p w14:paraId="7B678944" w14:textId="77777777" w:rsidR="00CC703E" w:rsidRDefault="00E37FDB">
            <w:pPr>
              <w:pStyle w:val="Tabletext"/>
              <w:rPr>
                <w:szCs w:val="18"/>
                <w:lang w:eastAsia="ja-JP"/>
              </w:rPr>
            </w:pPr>
            <w:r>
              <w:rPr>
                <w:szCs w:val="18"/>
                <w:lang w:eastAsia="ja-JP"/>
              </w:rPr>
              <w:t>Queensland</w:t>
            </w:r>
          </w:p>
        </w:tc>
      </w:tr>
      <w:tr w:rsidR="00CC703E" w14:paraId="25190897" w14:textId="77777777" w:rsidTr="00FC1687">
        <w:trPr>
          <w:cantSplit/>
        </w:trPr>
        <w:tc>
          <w:tcPr>
            <w:tcW w:w="1059" w:type="dxa"/>
            <w:vMerge/>
            <w:noWrap/>
            <w:hideMark/>
          </w:tcPr>
          <w:p w14:paraId="6EE0DA63" w14:textId="77777777" w:rsidR="00CC703E" w:rsidRDefault="00CC703E">
            <w:pPr>
              <w:pStyle w:val="Tabletext"/>
              <w:rPr>
                <w:szCs w:val="18"/>
                <w:lang w:eastAsia="ja-JP"/>
              </w:rPr>
            </w:pPr>
          </w:p>
        </w:tc>
        <w:tc>
          <w:tcPr>
            <w:tcW w:w="2268" w:type="dxa"/>
          </w:tcPr>
          <w:p w14:paraId="432706BE" w14:textId="77777777" w:rsidR="00CC703E" w:rsidRDefault="00E37FDB">
            <w:pPr>
              <w:pStyle w:val="Tabletext"/>
              <w:rPr>
                <w:szCs w:val="18"/>
                <w:lang w:eastAsia="ja-JP"/>
              </w:rPr>
            </w:pPr>
            <w:r>
              <w:rPr>
                <w:szCs w:val="18"/>
                <w:lang w:eastAsia="ja-JP"/>
              </w:rPr>
              <w:t>Prawns</w:t>
            </w:r>
          </w:p>
        </w:tc>
        <w:tc>
          <w:tcPr>
            <w:tcW w:w="3619" w:type="dxa"/>
            <w:noWrap/>
            <w:hideMark/>
          </w:tcPr>
          <w:p w14:paraId="4B3A8DC0" w14:textId="77777777" w:rsidR="00CC703E" w:rsidRDefault="00E37FDB">
            <w:pPr>
              <w:pStyle w:val="Tabletext"/>
              <w:rPr>
                <w:szCs w:val="18"/>
                <w:lang w:eastAsia="ja-JP"/>
              </w:rPr>
            </w:pPr>
            <w:r>
              <w:rPr>
                <w:szCs w:val="18"/>
                <w:lang w:eastAsia="ja-JP"/>
              </w:rPr>
              <w:t>New strain (previously exotic) of infectious hypodermal and hematopoietic necrosis virus (IHHNV)</w:t>
            </w:r>
          </w:p>
        </w:tc>
        <w:tc>
          <w:tcPr>
            <w:tcW w:w="2334" w:type="dxa"/>
            <w:noWrap/>
            <w:hideMark/>
          </w:tcPr>
          <w:p w14:paraId="205CD9B7" w14:textId="77777777" w:rsidR="00CC703E" w:rsidRDefault="00E37FDB">
            <w:pPr>
              <w:pStyle w:val="Tabletext"/>
              <w:rPr>
                <w:szCs w:val="18"/>
                <w:lang w:eastAsia="ja-JP"/>
              </w:rPr>
            </w:pPr>
            <w:r>
              <w:rPr>
                <w:szCs w:val="18"/>
                <w:lang w:eastAsia="ja-JP"/>
              </w:rPr>
              <w:t>Queensland</w:t>
            </w:r>
          </w:p>
        </w:tc>
      </w:tr>
      <w:tr w:rsidR="00CC703E" w14:paraId="5589214F" w14:textId="77777777" w:rsidTr="00FC1687">
        <w:trPr>
          <w:cantSplit/>
        </w:trPr>
        <w:tc>
          <w:tcPr>
            <w:tcW w:w="1059" w:type="dxa"/>
            <w:noWrap/>
            <w:hideMark/>
          </w:tcPr>
          <w:p w14:paraId="4C6B4ACB" w14:textId="77777777" w:rsidR="00CC703E" w:rsidRDefault="00E37FDB">
            <w:pPr>
              <w:pStyle w:val="Tabletext"/>
              <w:rPr>
                <w:szCs w:val="18"/>
                <w:lang w:eastAsia="ja-JP"/>
              </w:rPr>
            </w:pPr>
            <w:r>
              <w:rPr>
                <w:szCs w:val="18"/>
                <w:lang w:eastAsia="ja-JP"/>
              </w:rPr>
              <w:t>2007</w:t>
            </w:r>
          </w:p>
        </w:tc>
        <w:tc>
          <w:tcPr>
            <w:tcW w:w="2268" w:type="dxa"/>
          </w:tcPr>
          <w:p w14:paraId="4B212197" w14:textId="77777777" w:rsidR="00CC703E" w:rsidRDefault="00E37FDB">
            <w:pPr>
              <w:pStyle w:val="Tabletext"/>
              <w:rPr>
                <w:szCs w:val="18"/>
                <w:lang w:eastAsia="ja-JP"/>
              </w:rPr>
            </w:pPr>
            <w:r>
              <w:rPr>
                <w:szCs w:val="18"/>
                <w:lang w:eastAsia="ja-JP"/>
              </w:rPr>
              <w:t>Salmonids</w:t>
            </w:r>
          </w:p>
        </w:tc>
        <w:tc>
          <w:tcPr>
            <w:tcW w:w="3619" w:type="dxa"/>
            <w:noWrap/>
            <w:hideMark/>
          </w:tcPr>
          <w:p w14:paraId="51128182" w14:textId="1F89FC50" w:rsidR="00CC703E" w:rsidRDefault="00E66255" w:rsidP="00E66255">
            <w:pPr>
              <w:pStyle w:val="Tabletext"/>
              <w:rPr>
                <w:szCs w:val="18"/>
                <w:lang w:eastAsia="ja-JP"/>
              </w:rPr>
            </w:pPr>
            <w:r>
              <w:rPr>
                <w:szCs w:val="18"/>
                <w:lang w:eastAsia="ja-JP"/>
              </w:rPr>
              <w:t>Orthomyxo-like virus</w:t>
            </w:r>
          </w:p>
        </w:tc>
        <w:tc>
          <w:tcPr>
            <w:tcW w:w="2334" w:type="dxa"/>
            <w:noWrap/>
            <w:hideMark/>
          </w:tcPr>
          <w:p w14:paraId="4DFF4865" w14:textId="77777777" w:rsidR="00CC703E" w:rsidRDefault="00E37FDB">
            <w:pPr>
              <w:pStyle w:val="Tabletext"/>
              <w:rPr>
                <w:szCs w:val="18"/>
                <w:lang w:eastAsia="ja-JP"/>
              </w:rPr>
            </w:pPr>
            <w:r>
              <w:rPr>
                <w:szCs w:val="18"/>
                <w:lang w:eastAsia="ja-JP"/>
              </w:rPr>
              <w:t>Tasmania (Tamar River)</w:t>
            </w:r>
          </w:p>
        </w:tc>
      </w:tr>
      <w:tr w:rsidR="00CC703E" w14:paraId="776969EE" w14:textId="77777777" w:rsidTr="00FC1687">
        <w:trPr>
          <w:cantSplit/>
        </w:trPr>
        <w:tc>
          <w:tcPr>
            <w:tcW w:w="1059" w:type="dxa"/>
            <w:vMerge w:val="restart"/>
            <w:noWrap/>
            <w:hideMark/>
          </w:tcPr>
          <w:p w14:paraId="08CFACA5" w14:textId="77777777" w:rsidR="00CC703E" w:rsidRDefault="00E37FDB">
            <w:pPr>
              <w:pStyle w:val="Tabletext"/>
              <w:rPr>
                <w:szCs w:val="18"/>
                <w:lang w:eastAsia="ja-JP"/>
              </w:rPr>
            </w:pPr>
            <w:r>
              <w:rPr>
                <w:szCs w:val="18"/>
                <w:lang w:eastAsia="ja-JP"/>
              </w:rPr>
              <w:t>2006</w:t>
            </w:r>
          </w:p>
        </w:tc>
        <w:tc>
          <w:tcPr>
            <w:tcW w:w="2268" w:type="dxa"/>
          </w:tcPr>
          <w:p w14:paraId="221EDA5C" w14:textId="04C66A01" w:rsidR="00CC703E" w:rsidRDefault="00E37FDB" w:rsidP="00E66255">
            <w:pPr>
              <w:pStyle w:val="Tabletext"/>
              <w:rPr>
                <w:szCs w:val="18"/>
                <w:lang w:eastAsia="ja-JP"/>
              </w:rPr>
            </w:pPr>
            <w:r>
              <w:rPr>
                <w:szCs w:val="18"/>
                <w:lang w:eastAsia="ja-JP"/>
              </w:rPr>
              <w:t>Eels mortalit</w:t>
            </w:r>
            <w:r w:rsidR="00E66255">
              <w:rPr>
                <w:szCs w:val="18"/>
                <w:lang w:eastAsia="ja-JP"/>
              </w:rPr>
              <w:t>y</w:t>
            </w:r>
          </w:p>
        </w:tc>
        <w:tc>
          <w:tcPr>
            <w:tcW w:w="3619" w:type="dxa"/>
            <w:noWrap/>
            <w:hideMark/>
          </w:tcPr>
          <w:p w14:paraId="14ABB98A" w14:textId="77777777" w:rsidR="00CC703E" w:rsidRDefault="00E37FDB">
            <w:pPr>
              <w:pStyle w:val="Tabletext"/>
              <w:rPr>
                <w:szCs w:val="18"/>
                <w:lang w:eastAsia="ja-JP"/>
              </w:rPr>
            </w:pPr>
            <w:r>
              <w:rPr>
                <w:szCs w:val="18"/>
                <w:lang w:eastAsia="ja-JP"/>
              </w:rPr>
              <w:t>Rhabdovirus (suspected/unconfirmed)</w:t>
            </w:r>
          </w:p>
        </w:tc>
        <w:tc>
          <w:tcPr>
            <w:tcW w:w="2334" w:type="dxa"/>
            <w:noWrap/>
            <w:hideMark/>
          </w:tcPr>
          <w:p w14:paraId="1AF9ACDD" w14:textId="77777777" w:rsidR="00CC703E" w:rsidRDefault="00E37FDB">
            <w:pPr>
              <w:pStyle w:val="Tabletext"/>
              <w:rPr>
                <w:szCs w:val="18"/>
                <w:lang w:eastAsia="ja-JP"/>
              </w:rPr>
            </w:pPr>
            <w:r>
              <w:rPr>
                <w:szCs w:val="18"/>
                <w:lang w:eastAsia="ja-JP"/>
              </w:rPr>
              <w:t>Victoria</w:t>
            </w:r>
          </w:p>
        </w:tc>
      </w:tr>
      <w:tr w:rsidR="00CC703E" w14:paraId="79490BC2" w14:textId="77777777" w:rsidTr="00FC1687">
        <w:trPr>
          <w:cantSplit/>
        </w:trPr>
        <w:tc>
          <w:tcPr>
            <w:tcW w:w="1059" w:type="dxa"/>
            <w:vMerge/>
            <w:noWrap/>
            <w:hideMark/>
          </w:tcPr>
          <w:p w14:paraId="2211D2E3" w14:textId="77777777" w:rsidR="00CC703E" w:rsidRDefault="00CC703E">
            <w:pPr>
              <w:pStyle w:val="Tabletext"/>
              <w:rPr>
                <w:szCs w:val="18"/>
                <w:lang w:eastAsia="ja-JP"/>
              </w:rPr>
            </w:pPr>
          </w:p>
        </w:tc>
        <w:tc>
          <w:tcPr>
            <w:tcW w:w="2268" w:type="dxa"/>
          </w:tcPr>
          <w:p w14:paraId="20D41905" w14:textId="77777777" w:rsidR="00CC703E" w:rsidRDefault="00E37FDB">
            <w:pPr>
              <w:pStyle w:val="Tabletext"/>
              <w:rPr>
                <w:szCs w:val="18"/>
                <w:lang w:eastAsia="ja-JP"/>
              </w:rPr>
            </w:pPr>
            <w:r>
              <w:rPr>
                <w:szCs w:val="18"/>
                <w:lang w:eastAsia="ja-JP"/>
              </w:rPr>
              <w:t>Pearl oysters</w:t>
            </w:r>
          </w:p>
        </w:tc>
        <w:tc>
          <w:tcPr>
            <w:tcW w:w="3619" w:type="dxa"/>
            <w:noWrap/>
            <w:hideMark/>
          </w:tcPr>
          <w:p w14:paraId="03D0A465" w14:textId="77777777" w:rsidR="00CC703E" w:rsidRDefault="00E37FDB">
            <w:pPr>
              <w:pStyle w:val="Tabletext"/>
              <w:rPr>
                <w:szCs w:val="18"/>
                <w:lang w:eastAsia="ja-JP"/>
              </w:rPr>
            </w:pPr>
            <w:r>
              <w:rPr>
                <w:szCs w:val="18"/>
                <w:lang w:eastAsia="ja-JP"/>
              </w:rPr>
              <w:t>Oedema disease</w:t>
            </w:r>
          </w:p>
        </w:tc>
        <w:tc>
          <w:tcPr>
            <w:tcW w:w="2334" w:type="dxa"/>
            <w:noWrap/>
            <w:hideMark/>
          </w:tcPr>
          <w:p w14:paraId="763F666B" w14:textId="77777777" w:rsidR="00CC703E" w:rsidRDefault="00E37FDB">
            <w:pPr>
              <w:pStyle w:val="Tabletext"/>
              <w:rPr>
                <w:szCs w:val="18"/>
                <w:lang w:eastAsia="ja-JP"/>
              </w:rPr>
            </w:pPr>
            <w:r>
              <w:rPr>
                <w:szCs w:val="18"/>
                <w:lang w:eastAsia="ja-JP"/>
              </w:rPr>
              <w:t>Western Australia</w:t>
            </w:r>
          </w:p>
        </w:tc>
      </w:tr>
      <w:tr w:rsidR="00CC703E" w14:paraId="274F9739" w14:textId="77777777" w:rsidTr="00FC1687">
        <w:trPr>
          <w:cantSplit/>
        </w:trPr>
        <w:tc>
          <w:tcPr>
            <w:tcW w:w="1059" w:type="dxa"/>
            <w:vMerge/>
            <w:noWrap/>
            <w:hideMark/>
          </w:tcPr>
          <w:p w14:paraId="0254F91B" w14:textId="77777777" w:rsidR="00CC703E" w:rsidRDefault="00CC703E">
            <w:pPr>
              <w:pStyle w:val="Tabletext"/>
              <w:rPr>
                <w:szCs w:val="18"/>
                <w:lang w:eastAsia="ja-JP"/>
              </w:rPr>
            </w:pPr>
          </w:p>
        </w:tc>
        <w:tc>
          <w:tcPr>
            <w:tcW w:w="2268" w:type="dxa"/>
          </w:tcPr>
          <w:p w14:paraId="10E53C61" w14:textId="77777777" w:rsidR="00CC703E" w:rsidRDefault="00E37FDB">
            <w:pPr>
              <w:pStyle w:val="Tabletext"/>
              <w:rPr>
                <w:szCs w:val="18"/>
                <w:lang w:eastAsia="ja-JP"/>
              </w:rPr>
            </w:pPr>
            <w:r>
              <w:rPr>
                <w:szCs w:val="18"/>
                <w:lang w:eastAsia="ja-JP"/>
              </w:rPr>
              <w:t>Abalone (wild)</w:t>
            </w:r>
          </w:p>
        </w:tc>
        <w:tc>
          <w:tcPr>
            <w:tcW w:w="3619" w:type="dxa"/>
            <w:noWrap/>
            <w:hideMark/>
          </w:tcPr>
          <w:p w14:paraId="454A183A" w14:textId="77777777" w:rsidR="00CC703E" w:rsidRDefault="00E37FDB">
            <w:pPr>
              <w:pStyle w:val="Tabletext"/>
              <w:rPr>
                <w:szCs w:val="18"/>
                <w:lang w:eastAsia="ja-JP"/>
              </w:rPr>
            </w:pPr>
            <w:r>
              <w:rPr>
                <w:szCs w:val="18"/>
                <w:lang w:eastAsia="ja-JP"/>
              </w:rPr>
              <w:t>Viral ganglioneuritis</w:t>
            </w:r>
          </w:p>
        </w:tc>
        <w:tc>
          <w:tcPr>
            <w:tcW w:w="2334" w:type="dxa"/>
            <w:noWrap/>
            <w:hideMark/>
          </w:tcPr>
          <w:p w14:paraId="46904262" w14:textId="77777777" w:rsidR="00CC703E" w:rsidRDefault="00E37FDB">
            <w:pPr>
              <w:pStyle w:val="Tabletext"/>
              <w:rPr>
                <w:szCs w:val="18"/>
                <w:lang w:eastAsia="ja-JP"/>
              </w:rPr>
            </w:pPr>
            <w:r>
              <w:rPr>
                <w:szCs w:val="18"/>
                <w:lang w:eastAsia="ja-JP"/>
              </w:rPr>
              <w:t>Victoria</w:t>
            </w:r>
          </w:p>
        </w:tc>
      </w:tr>
      <w:tr w:rsidR="00CC703E" w14:paraId="57C29FEB" w14:textId="77777777" w:rsidTr="00FC1687">
        <w:trPr>
          <w:cantSplit/>
        </w:trPr>
        <w:tc>
          <w:tcPr>
            <w:tcW w:w="1059" w:type="dxa"/>
            <w:vMerge w:val="restart"/>
            <w:noWrap/>
            <w:hideMark/>
          </w:tcPr>
          <w:p w14:paraId="33693595" w14:textId="77777777" w:rsidR="00CC703E" w:rsidRDefault="00E37FDB">
            <w:pPr>
              <w:pStyle w:val="Tabletext"/>
              <w:rPr>
                <w:szCs w:val="18"/>
                <w:lang w:eastAsia="ja-JP"/>
              </w:rPr>
            </w:pPr>
            <w:r>
              <w:rPr>
                <w:szCs w:val="18"/>
                <w:lang w:eastAsia="ja-JP"/>
              </w:rPr>
              <w:t>2005</w:t>
            </w:r>
          </w:p>
        </w:tc>
        <w:tc>
          <w:tcPr>
            <w:tcW w:w="2268" w:type="dxa"/>
          </w:tcPr>
          <w:p w14:paraId="663960BB" w14:textId="77777777" w:rsidR="00CC703E" w:rsidRDefault="00E37FDB">
            <w:pPr>
              <w:pStyle w:val="Tabletext"/>
              <w:rPr>
                <w:szCs w:val="18"/>
                <w:lang w:eastAsia="ja-JP"/>
              </w:rPr>
            </w:pPr>
            <w:r>
              <w:rPr>
                <w:szCs w:val="18"/>
                <w:lang w:eastAsia="ja-JP"/>
              </w:rPr>
              <w:t>Carp mass mortality</w:t>
            </w:r>
          </w:p>
        </w:tc>
        <w:tc>
          <w:tcPr>
            <w:tcW w:w="3619" w:type="dxa"/>
            <w:noWrap/>
            <w:hideMark/>
          </w:tcPr>
          <w:p w14:paraId="4240CA56" w14:textId="77777777" w:rsidR="00CC703E" w:rsidRDefault="00E37FDB">
            <w:pPr>
              <w:pStyle w:val="Tabletext"/>
              <w:rPr>
                <w:szCs w:val="18"/>
                <w:lang w:eastAsia="ja-JP"/>
              </w:rPr>
            </w:pPr>
            <w:r>
              <w:rPr>
                <w:szCs w:val="18"/>
                <w:lang w:eastAsia="ja-JP"/>
              </w:rPr>
              <w:t>–</w:t>
            </w:r>
          </w:p>
        </w:tc>
        <w:tc>
          <w:tcPr>
            <w:tcW w:w="2334" w:type="dxa"/>
            <w:noWrap/>
            <w:hideMark/>
          </w:tcPr>
          <w:p w14:paraId="4A9F2E5E" w14:textId="77777777" w:rsidR="00CC703E" w:rsidRDefault="00E37FDB">
            <w:pPr>
              <w:pStyle w:val="Tabletext"/>
              <w:rPr>
                <w:szCs w:val="18"/>
                <w:lang w:eastAsia="ja-JP"/>
              </w:rPr>
            </w:pPr>
            <w:r>
              <w:rPr>
                <w:szCs w:val="18"/>
                <w:lang w:eastAsia="ja-JP"/>
              </w:rPr>
              <w:t>Victoria</w:t>
            </w:r>
          </w:p>
        </w:tc>
      </w:tr>
      <w:tr w:rsidR="00CC703E" w14:paraId="351040CE" w14:textId="77777777" w:rsidTr="00FC1687">
        <w:trPr>
          <w:cantSplit/>
        </w:trPr>
        <w:tc>
          <w:tcPr>
            <w:tcW w:w="1059" w:type="dxa"/>
            <w:vMerge/>
            <w:noWrap/>
            <w:hideMark/>
          </w:tcPr>
          <w:p w14:paraId="607DD70E" w14:textId="77777777" w:rsidR="00CC703E" w:rsidRDefault="00CC703E">
            <w:pPr>
              <w:pStyle w:val="Tabletext"/>
              <w:rPr>
                <w:szCs w:val="18"/>
                <w:lang w:eastAsia="ja-JP"/>
              </w:rPr>
            </w:pPr>
          </w:p>
        </w:tc>
        <w:tc>
          <w:tcPr>
            <w:tcW w:w="2268" w:type="dxa"/>
          </w:tcPr>
          <w:p w14:paraId="56B02860" w14:textId="77777777" w:rsidR="00CC703E" w:rsidRDefault="00E37FDB">
            <w:pPr>
              <w:pStyle w:val="Tabletext"/>
              <w:rPr>
                <w:szCs w:val="18"/>
                <w:lang w:eastAsia="ja-JP"/>
              </w:rPr>
            </w:pPr>
            <w:r>
              <w:rPr>
                <w:szCs w:val="18"/>
                <w:lang w:eastAsia="ja-JP"/>
              </w:rPr>
              <w:t>Abalone (farmed)</w:t>
            </w:r>
          </w:p>
        </w:tc>
        <w:tc>
          <w:tcPr>
            <w:tcW w:w="3619" w:type="dxa"/>
            <w:noWrap/>
            <w:hideMark/>
          </w:tcPr>
          <w:p w14:paraId="3F09C11E" w14:textId="77777777" w:rsidR="00CC703E" w:rsidRDefault="00E37FDB">
            <w:pPr>
              <w:pStyle w:val="Tabletext"/>
              <w:rPr>
                <w:szCs w:val="18"/>
                <w:lang w:eastAsia="ja-JP"/>
              </w:rPr>
            </w:pPr>
            <w:r>
              <w:rPr>
                <w:szCs w:val="18"/>
                <w:lang w:eastAsia="ja-JP"/>
              </w:rPr>
              <w:t>Viral ganglioneuritis</w:t>
            </w:r>
          </w:p>
        </w:tc>
        <w:tc>
          <w:tcPr>
            <w:tcW w:w="2334" w:type="dxa"/>
            <w:noWrap/>
            <w:hideMark/>
          </w:tcPr>
          <w:p w14:paraId="7442785B" w14:textId="77777777" w:rsidR="00CC703E" w:rsidRDefault="00E37FDB">
            <w:pPr>
              <w:pStyle w:val="Tabletext"/>
              <w:rPr>
                <w:szCs w:val="18"/>
                <w:lang w:eastAsia="ja-JP"/>
              </w:rPr>
            </w:pPr>
            <w:r>
              <w:rPr>
                <w:szCs w:val="18"/>
                <w:lang w:eastAsia="ja-JP"/>
              </w:rPr>
              <w:t>Victoria</w:t>
            </w:r>
          </w:p>
        </w:tc>
      </w:tr>
      <w:tr w:rsidR="00CC703E" w14:paraId="27A234A1" w14:textId="77777777" w:rsidTr="00FC1687">
        <w:trPr>
          <w:cantSplit/>
        </w:trPr>
        <w:tc>
          <w:tcPr>
            <w:tcW w:w="1059" w:type="dxa"/>
            <w:vMerge/>
            <w:noWrap/>
            <w:hideMark/>
          </w:tcPr>
          <w:p w14:paraId="4B930184" w14:textId="77777777" w:rsidR="00CC703E" w:rsidRDefault="00CC703E">
            <w:pPr>
              <w:pStyle w:val="Tabletext"/>
              <w:rPr>
                <w:szCs w:val="18"/>
                <w:lang w:eastAsia="ja-JP"/>
              </w:rPr>
            </w:pPr>
          </w:p>
        </w:tc>
        <w:tc>
          <w:tcPr>
            <w:tcW w:w="2268" w:type="dxa"/>
          </w:tcPr>
          <w:p w14:paraId="61AE0742" w14:textId="77777777" w:rsidR="00CC703E" w:rsidRDefault="00E37FDB">
            <w:pPr>
              <w:pStyle w:val="Tabletext"/>
              <w:rPr>
                <w:i/>
                <w:szCs w:val="18"/>
                <w:lang w:eastAsia="ja-JP"/>
              </w:rPr>
            </w:pPr>
            <w:r>
              <w:rPr>
                <w:i/>
                <w:szCs w:val="18"/>
                <w:lang w:eastAsia="ja-JP"/>
              </w:rPr>
              <w:t>Penaeus merguiensis</w:t>
            </w:r>
          </w:p>
        </w:tc>
        <w:tc>
          <w:tcPr>
            <w:tcW w:w="3619" w:type="dxa"/>
            <w:noWrap/>
            <w:hideMark/>
          </w:tcPr>
          <w:p w14:paraId="6C5954CD" w14:textId="77777777" w:rsidR="00CC703E" w:rsidRDefault="00E37FDB">
            <w:pPr>
              <w:pStyle w:val="Tabletext"/>
              <w:rPr>
                <w:szCs w:val="18"/>
                <w:lang w:eastAsia="ja-JP"/>
              </w:rPr>
            </w:pPr>
            <w:r>
              <w:rPr>
                <w:szCs w:val="18"/>
                <w:lang w:eastAsia="ja-JP"/>
              </w:rPr>
              <w:t>Gill-associated virus</w:t>
            </w:r>
          </w:p>
        </w:tc>
        <w:tc>
          <w:tcPr>
            <w:tcW w:w="2334" w:type="dxa"/>
            <w:noWrap/>
            <w:hideMark/>
          </w:tcPr>
          <w:p w14:paraId="3A1736E8" w14:textId="77777777" w:rsidR="00CC703E" w:rsidRDefault="00E37FDB">
            <w:pPr>
              <w:pStyle w:val="Tabletext"/>
              <w:rPr>
                <w:szCs w:val="18"/>
                <w:lang w:eastAsia="ja-JP"/>
              </w:rPr>
            </w:pPr>
            <w:r>
              <w:rPr>
                <w:szCs w:val="18"/>
                <w:lang w:eastAsia="ja-JP"/>
              </w:rPr>
              <w:t>Western Australia</w:t>
            </w:r>
          </w:p>
        </w:tc>
      </w:tr>
      <w:tr w:rsidR="00CC703E" w14:paraId="26D43F10" w14:textId="77777777" w:rsidTr="00FC1687">
        <w:trPr>
          <w:cantSplit/>
        </w:trPr>
        <w:tc>
          <w:tcPr>
            <w:tcW w:w="1059" w:type="dxa"/>
            <w:vMerge w:val="restart"/>
            <w:noWrap/>
            <w:hideMark/>
          </w:tcPr>
          <w:p w14:paraId="14C9CFDE" w14:textId="77777777" w:rsidR="00CC703E" w:rsidRDefault="00E37FDB">
            <w:pPr>
              <w:pStyle w:val="Tabletext"/>
              <w:rPr>
                <w:szCs w:val="18"/>
                <w:lang w:eastAsia="ja-JP"/>
              </w:rPr>
            </w:pPr>
            <w:r>
              <w:rPr>
                <w:szCs w:val="18"/>
                <w:lang w:eastAsia="ja-JP"/>
              </w:rPr>
              <w:t>2004</w:t>
            </w:r>
          </w:p>
        </w:tc>
        <w:tc>
          <w:tcPr>
            <w:tcW w:w="2268" w:type="dxa"/>
          </w:tcPr>
          <w:p w14:paraId="1D384726" w14:textId="77777777" w:rsidR="00CC703E" w:rsidRDefault="00E37FDB">
            <w:pPr>
              <w:pStyle w:val="Tabletext"/>
              <w:rPr>
                <w:szCs w:val="18"/>
                <w:lang w:eastAsia="ja-JP"/>
              </w:rPr>
            </w:pPr>
            <w:r>
              <w:rPr>
                <w:szCs w:val="18"/>
                <w:lang w:eastAsia="ja-JP"/>
              </w:rPr>
              <w:t>Australian bass and other finfish</w:t>
            </w:r>
          </w:p>
        </w:tc>
        <w:tc>
          <w:tcPr>
            <w:tcW w:w="3619" w:type="dxa"/>
            <w:noWrap/>
            <w:hideMark/>
          </w:tcPr>
          <w:p w14:paraId="130E4BEF" w14:textId="77777777" w:rsidR="00CC703E" w:rsidRDefault="00E37FDB">
            <w:pPr>
              <w:pStyle w:val="Tabletext"/>
              <w:rPr>
                <w:szCs w:val="18"/>
                <w:lang w:eastAsia="ja-JP"/>
              </w:rPr>
            </w:pPr>
            <w:r>
              <w:rPr>
                <w:szCs w:val="18"/>
                <w:lang w:eastAsia="ja-JP"/>
              </w:rPr>
              <w:t>Nodavirus</w:t>
            </w:r>
          </w:p>
        </w:tc>
        <w:tc>
          <w:tcPr>
            <w:tcW w:w="2334" w:type="dxa"/>
            <w:noWrap/>
            <w:hideMark/>
          </w:tcPr>
          <w:p w14:paraId="2683BC1C" w14:textId="77777777" w:rsidR="00CC703E" w:rsidRDefault="00E37FDB">
            <w:pPr>
              <w:pStyle w:val="Tabletext"/>
              <w:rPr>
                <w:szCs w:val="18"/>
                <w:lang w:eastAsia="ja-JP"/>
              </w:rPr>
            </w:pPr>
            <w:r>
              <w:rPr>
                <w:szCs w:val="18"/>
                <w:lang w:eastAsia="ja-JP"/>
              </w:rPr>
              <w:t>New South Wales</w:t>
            </w:r>
          </w:p>
        </w:tc>
      </w:tr>
      <w:tr w:rsidR="00CC703E" w14:paraId="28989BF0" w14:textId="77777777" w:rsidTr="00FC1687">
        <w:trPr>
          <w:cantSplit/>
        </w:trPr>
        <w:tc>
          <w:tcPr>
            <w:tcW w:w="1059" w:type="dxa"/>
            <w:vMerge/>
            <w:noWrap/>
            <w:hideMark/>
          </w:tcPr>
          <w:p w14:paraId="378407D4" w14:textId="77777777" w:rsidR="00CC703E" w:rsidRDefault="00CC703E">
            <w:pPr>
              <w:pStyle w:val="Tabletext"/>
              <w:rPr>
                <w:szCs w:val="18"/>
                <w:lang w:eastAsia="ja-JP"/>
              </w:rPr>
            </w:pPr>
          </w:p>
        </w:tc>
        <w:tc>
          <w:tcPr>
            <w:tcW w:w="2268" w:type="dxa"/>
          </w:tcPr>
          <w:p w14:paraId="5F2D20A3" w14:textId="77777777" w:rsidR="00CC703E" w:rsidRDefault="00E37FDB">
            <w:pPr>
              <w:pStyle w:val="Tabletext"/>
              <w:rPr>
                <w:szCs w:val="18"/>
                <w:lang w:eastAsia="ja-JP"/>
              </w:rPr>
            </w:pPr>
            <w:r>
              <w:rPr>
                <w:szCs w:val="18"/>
                <w:lang w:eastAsia="ja-JP"/>
              </w:rPr>
              <w:t>Leatherjacket mass mortality</w:t>
            </w:r>
          </w:p>
        </w:tc>
        <w:tc>
          <w:tcPr>
            <w:tcW w:w="3619" w:type="dxa"/>
            <w:noWrap/>
            <w:hideMark/>
          </w:tcPr>
          <w:p w14:paraId="6149F823" w14:textId="77777777" w:rsidR="00CC703E" w:rsidRDefault="00E37FDB">
            <w:pPr>
              <w:pStyle w:val="Tabletext"/>
              <w:rPr>
                <w:szCs w:val="18"/>
                <w:lang w:eastAsia="ja-JP"/>
              </w:rPr>
            </w:pPr>
            <w:r>
              <w:rPr>
                <w:szCs w:val="18"/>
                <w:lang w:eastAsia="ja-JP"/>
              </w:rPr>
              <w:t>–</w:t>
            </w:r>
          </w:p>
        </w:tc>
        <w:tc>
          <w:tcPr>
            <w:tcW w:w="2334" w:type="dxa"/>
            <w:noWrap/>
            <w:hideMark/>
          </w:tcPr>
          <w:p w14:paraId="6DC13845" w14:textId="77777777" w:rsidR="00CC703E" w:rsidRDefault="00E37FDB">
            <w:pPr>
              <w:pStyle w:val="Tabletext"/>
              <w:rPr>
                <w:szCs w:val="18"/>
                <w:lang w:eastAsia="ja-JP"/>
              </w:rPr>
            </w:pPr>
            <w:r>
              <w:rPr>
                <w:szCs w:val="18"/>
                <w:lang w:eastAsia="ja-JP"/>
              </w:rPr>
              <w:t>New South Wales</w:t>
            </w:r>
          </w:p>
        </w:tc>
      </w:tr>
      <w:tr w:rsidR="00CC703E" w14:paraId="4A9C199B" w14:textId="77777777" w:rsidTr="00FC1687">
        <w:trPr>
          <w:cantSplit/>
        </w:trPr>
        <w:tc>
          <w:tcPr>
            <w:tcW w:w="1059" w:type="dxa"/>
            <w:vMerge w:val="restart"/>
            <w:noWrap/>
            <w:hideMark/>
          </w:tcPr>
          <w:p w14:paraId="01A31D2F" w14:textId="77777777" w:rsidR="00CC703E" w:rsidRDefault="00E37FDB">
            <w:pPr>
              <w:pStyle w:val="Tabletext"/>
              <w:rPr>
                <w:szCs w:val="18"/>
                <w:lang w:eastAsia="ja-JP"/>
              </w:rPr>
            </w:pPr>
            <w:r>
              <w:rPr>
                <w:szCs w:val="18"/>
                <w:lang w:eastAsia="ja-JP"/>
              </w:rPr>
              <w:t>2003</w:t>
            </w:r>
          </w:p>
        </w:tc>
        <w:tc>
          <w:tcPr>
            <w:tcW w:w="2268" w:type="dxa"/>
          </w:tcPr>
          <w:p w14:paraId="69A34321" w14:textId="77777777" w:rsidR="00CC703E" w:rsidRDefault="00E37FDB">
            <w:pPr>
              <w:pStyle w:val="Tabletext"/>
              <w:rPr>
                <w:szCs w:val="18"/>
                <w:lang w:eastAsia="ja-JP"/>
              </w:rPr>
            </w:pPr>
            <w:r>
              <w:rPr>
                <w:szCs w:val="18"/>
                <w:lang w:eastAsia="ja-JP"/>
              </w:rPr>
              <w:t>Murray cod</w:t>
            </w:r>
          </w:p>
        </w:tc>
        <w:tc>
          <w:tcPr>
            <w:tcW w:w="3619" w:type="dxa"/>
            <w:noWrap/>
            <w:hideMark/>
          </w:tcPr>
          <w:p w14:paraId="37532587" w14:textId="77777777" w:rsidR="00CC703E" w:rsidRDefault="00E37FDB">
            <w:pPr>
              <w:pStyle w:val="Tabletext"/>
              <w:rPr>
                <w:szCs w:val="18"/>
                <w:lang w:eastAsia="ja-JP"/>
              </w:rPr>
            </w:pPr>
            <w:r>
              <w:rPr>
                <w:szCs w:val="18"/>
                <w:lang w:eastAsia="ja-JP"/>
              </w:rPr>
              <w:t>Iridovirus</w:t>
            </w:r>
          </w:p>
        </w:tc>
        <w:tc>
          <w:tcPr>
            <w:tcW w:w="2334" w:type="dxa"/>
            <w:noWrap/>
            <w:hideMark/>
          </w:tcPr>
          <w:p w14:paraId="0BD37780" w14:textId="77777777" w:rsidR="00CC703E" w:rsidRDefault="00E37FDB">
            <w:pPr>
              <w:pStyle w:val="Tabletext"/>
              <w:rPr>
                <w:szCs w:val="18"/>
                <w:lang w:eastAsia="ja-JP"/>
              </w:rPr>
            </w:pPr>
            <w:r>
              <w:rPr>
                <w:szCs w:val="18"/>
                <w:lang w:eastAsia="ja-JP"/>
              </w:rPr>
              <w:t>Victoria</w:t>
            </w:r>
          </w:p>
        </w:tc>
      </w:tr>
      <w:tr w:rsidR="00CC703E" w14:paraId="071C9DAA" w14:textId="77777777" w:rsidTr="00FC1687">
        <w:trPr>
          <w:cantSplit/>
        </w:trPr>
        <w:tc>
          <w:tcPr>
            <w:tcW w:w="1059" w:type="dxa"/>
            <w:vMerge/>
            <w:noWrap/>
            <w:hideMark/>
          </w:tcPr>
          <w:p w14:paraId="618F1A4F" w14:textId="77777777" w:rsidR="00CC703E" w:rsidRDefault="00CC703E">
            <w:pPr>
              <w:pStyle w:val="Tabletext"/>
              <w:rPr>
                <w:szCs w:val="18"/>
                <w:lang w:eastAsia="ja-JP"/>
              </w:rPr>
            </w:pPr>
          </w:p>
        </w:tc>
        <w:tc>
          <w:tcPr>
            <w:tcW w:w="2268" w:type="dxa"/>
          </w:tcPr>
          <w:p w14:paraId="49F14215" w14:textId="77777777" w:rsidR="00CC703E" w:rsidRDefault="00E37FDB">
            <w:pPr>
              <w:pStyle w:val="Tabletext"/>
              <w:rPr>
                <w:szCs w:val="18"/>
                <w:lang w:eastAsia="ja-JP"/>
              </w:rPr>
            </w:pPr>
            <w:r>
              <w:rPr>
                <w:szCs w:val="18"/>
                <w:lang w:eastAsia="ja-JP"/>
              </w:rPr>
              <w:t>Prawns (</w:t>
            </w:r>
            <w:r>
              <w:rPr>
                <w:i/>
                <w:szCs w:val="18"/>
                <w:lang w:eastAsia="ja-JP"/>
              </w:rPr>
              <w:t>Penaeus monodon</w:t>
            </w:r>
            <w:r>
              <w:rPr>
                <w:szCs w:val="18"/>
                <w:lang w:eastAsia="ja-JP"/>
              </w:rPr>
              <w:t>)</w:t>
            </w:r>
          </w:p>
        </w:tc>
        <w:tc>
          <w:tcPr>
            <w:tcW w:w="3619" w:type="dxa"/>
            <w:noWrap/>
            <w:hideMark/>
          </w:tcPr>
          <w:p w14:paraId="4781035C" w14:textId="0BA14323" w:rsidR="00CC703E" w:rsidRDefault="00E37FDB">
            <w:pPr>
              <w:pStyle w:val="Tabletext"/>
              <w:rPr>
                <w:szCs w:val="18"/>
                <w:lang w:eastAsia="ja-JP"/>
              </w:rPr>
            </w:pPr>
            <w:r>
              <w:rPr>
                <w:szCs w:val="18"/>
                <w:lang w:eastAsia="ja-JP"/>
              </w:rPr>
              <w:t>infectious hypodermal and hematopoietic necrosis virus (IHHNV) (integrated sequenc</w:t>
            </w:r>
            <w:r w:rsidRPr="00E66255">
              <w:rPr>
                <w:szCs w:val="18"/>
                <w:lang w:eastAsia="ja-JP"/>
              </w:rPr>
              <w:t>e?)</w:t>
            </w:r>
          </w:p>
        </w:tc>
        <w:tc>
          <w:tcPr>
            <w:tcW w:w="2334" w:type="dxa"/>
            <w:noWrap/>
            <w:hideMark/>
          </w:tcPr>
          <w:p w14:paraId="3B6AB132" w14:textId="77777777" w:rsidR="00CC703E" w:rsidRDefault="00E37FDB">
            <w:pPr>
              <w:pStyle w:val="Tabletext"/>
              <w:rPr>
                <w:szCs w:val="18"/>
                <w:lang w:eastAsia="ja-JP"/>
              </w:rPr>
            </w:pPr>
            <w:r>
              <w:rPr>
                <w:szCs w:val="18"/>
                <w:lang w:eastAsia="ja-JP"/>
              </w:rPr>
              <w:t>Queensland</w:t>
            </w:r>
          </w:p>
        </w:tc>
      </w:tr>
      <w:tr w:rsidR="00CC703E" w14:paraId="1ADF1FDD" w14:textId="77777777" w:rsidTr="00FC1687">
        <w:trPr>
          <w:cantSplit/>
        </w:trPr>
        <w:tc>
          <w:tcPr>
            <w:tcW w:w="1059" w:type="dxa"/>
            <w:vMerge/>
            <w:noWrap/>
            <w:hideMark/>
          </w:tcPr>
          <w:p w14:paraId="6FD935B5" w14:textId="77777777" w:rsidR="00CC703E" w:rsidRDefault="00CC703E">
            <w:pPr>
              <w:pStyle w:val="Tabletext"/>
              <w:rPr>
                <w:szCs w:val="18"/>
                <w:lang w:eastAsia="ja-JP"/>
              </w:rPr>
            </w:pPr>
          </w:p>
        </w:tc>
        <w:tc>
          <w:tcPr>
            <w:tcW w:w="2268" w:type="dxa"/>
          </w:tcPr>
          <w:p w14:paraId="7AEE4E5F" w14:textId="77777777" w:rsidR="00CC703E" w:rsidRDefault="00E37FDB">
            <w:pPr>
              <w:pStyle w:val="Tabletext"/>
              <w:rPr>
                <w:szCs w:val="18"/>
                <w:lang w:eastAsia="ja-JP"/>
              </w:rPr>
            </w:pPr>
            <w:r>
              <w:rPr>
                <w:szCs w:val="18"/>
                <w:lang w:eastAsia="ja-JP"/>
              </w:rPr>
              <w:t>Goldfish</w:t>
            </w:r>
          </w:p>
        </w:tc>
        <w:tc>
          <w:tcPr>
            <w:tcW w:w="3619" w:type="dxa"/>
            <w:noWrap/>
            <w:hideMark/>
          </w:tcPr>
          <w:p w14:paraId="234188D3" w14:textId="77777777" w:rsidR="00CC703E" w:rsidRDefault="00E37FDB">
            <w:pPr>
              <w:pStyle w:val="Tabletext"/>
              <w:rPr>
                <w:szCs w:val="18"/>
                <w:lang w:eastAsia="ja-JP"/>
              </w:rPr>
            </w:pPr>
            <w:r>
              <w:rPr>
                <w:szCs w:val="18"/>
                <w:lang w:eastAsia="ja-JP"/>
              </w:rPr>
              <w:t>Herpesviral haematopoietic necrosis</w:t>
            </w:r>
          </w:p>
        </w:tc>
        <w:tc>
          <w:tcPr>
            <w:tcW w:w="2334" w:type="dxa"/>
            <w:noWrap/>
            <w:hideMark/>
          </w:tcPr>
          <w:p w14:paraId="242AD94D" w14:textId="77777777" w:rsidR="00CC703E" w:rsidRDefault="00E37FDB">
            <w:pPr>
              <w:pStyle w:val="Tabletext"/>
              <w:rPr>
                <w:szCs w:val="18"/>
                <w:lang w:eastAsia="ja-JP"/>
              </w:rPr>
            </w:pPr>
            <w:r>
              <w:rPr>
                <w:szCs w:val="18"/>
                <w:lang w:eastAsia="ja-JP"/>
              </w:rPr>
              <w:t>Western Australia</w:t>
            </w:r>
          </w:p>
        </w:tc>
      </w:tr>
      <w:tr w:rsidR="00CC703E" w14:paraId="6C1745B8" w14:textId="77777777" w:rsidTr="00FC1687">
        <w:trPr>
          <w:cantSplit/>
        </w:trPr>
        <w:tc>
          <w:tcPr>
            <w:tcW w:w="1059" w:type="dxa"/>
            <w:vMerge w:val="restart"/>
            <w:noWrap/>
            <w:hideMark/>
          </w:tcPr>
          <w:p w14:paraId="7CD6204C" w14:textId="77777777" w:rsidR="00CC703E" w:rsidRDefault="00E37FDB">
            <w:pPr>
              <w:pStyle w:val="Tabletext"/>
              <w:rPr>
                <w:szCs w:val="18"/>
                <w:lang w:eastAsia="ja-JP"/>
              </w:rPr>
            </w:pPr>
            <w:r>
              <w:rPr>
                <w:szCs w:val="18"/>
                <w:lang w:val="en-US" w:eastAsia="ja-JP"/>
              </w:rPr>
              <w:t>2001</w:t>
            </w:r>
          </w:p>
        </w:tc>
        <w:tc>
          <w:tcPr>
            <w:tcW w:w="2268" w:type="dxa"/>
          </w:tcPr>
          <w:p w14:paraId="3DA1FA99" w14:textId="77777777" w:rsidR="00CC703E" w:rsidRDefault="00E37FDB">
            <w:pPr>
              <w:pStyle w:val="Tabletext"/>
              <w:rPr>
                <w:szCs w:val="18"/>
                <w:lang w:eastAsia="ja-JP"/>
              </w:rPr>
            </w:pPr>
            <w:r>
              <w:rPr>
                <w:szCs w:val="18"/>
                <w:lang w:eastAsia="ja-JP"/>
              </w:rPr>
              <w:t>Salmonids</w:t>
            </w:r>
          </w:p>
        </w:tc>
        <w:tc>
          <w:tcPr>
            <w:tcW w:w="3619" w:type="dxa"/>
            <w:noWrap/>
            <w:hideMark/>
          </w:tcPr>
          <w:p w14:paraId="0A178425" w14:textId="15EBBD9B" w:rsidR="00CC703E" w:rsidRDefault="00E66255">
            <w:pPr>
              <w:pStyle w:val="Tabletext"/>
              <w:rPr>
                <w:szCs w:val="18"/>
                <w:lang w:eastAsia="ja-JP"/>
              </w:rPr>
            </w:pPr>
            <w:r>
              <w:rPr>
                <w:szCs w:val="18"/>
                <w:lang w:eastAsia="ja-JP"/>
              </w:rPr>
              <w:t>Rickettsia-like organism</w:t>
            </w:r>
          </w:p>
        </w:tc>
        <w:tc>
          <w:tcPr>
            <w:tcW w:w="2334" w:type="dxa"/>
            <w:noWrap/>
            <w:hideMark/>
          </w:tcPr>
          <w:p w14:paraId="43353AA3" w14:textId="77777777" w:rsidR="00CC703E" w:rsidRDefault="00E37FDB">
            <w:pPr>
              <w:pStyle w:val="Tabletext"/>
              <w:rPr>
                <w:szCs w:val="18"/>
                <w:lang w:eastAsia="ja-JP"/>
              </w:rPr>
            </w:pPr>
            <w:r>
              <w:rPr>
                <w:szCs w:val="18"/>
                <w:lang w:eastAsia="ja-JP"/>
              </w:rPr>
              <w:t>Tasmania</w:t>
            </w:r>
          </w:p>
        </w:tc>
      </w:tr>
      <w:tr w:rsidR="00CC703E" w14:paraId="32D4412E" w14:textId="77777777" w:rsidTr="00FC1687">
        <w:trPr>
          <w:cantSplit/>
        </w:trPr>
        <w:tc>
          <w:tcPr>
            <w:tcW w:w="1059" w:type="dxa"/>
            <w:vMerge/>
            <w:noWrap/>
            <w:hideMark/>
          </w:tcPr>
          <w:p w14:paraId="53DAA11F" w14:textId="77777777" w:rsidR="00CC703E" w:rsidRDefault="00CC703E">
            <w:pPr>
              <w:pStyle w:val="Tabletext"/>
              <w:rPr>
                <w:szCs w:val="18"/>
                <w:lang w:eastAsia="ja-JP"/>
              </w:rPr>
            </w:pPr>
          </w:p>
        </w:tc>
        <w:tc>
          <w:tcPr>
            <w:tcW w:w="2268" w:type="dxa"/>
          </w:tcPr>
          <w:p w14:paraId="05641714" w14:textId="77777777" w:rsidR="00CC703E" w:rsidRDefault="00E37FDB">
            <w:pPr>
              <w:pStyle w:val="Tabletext"/>
              <w:rPr>
                <w:szCs w:val="18"/>
                <w:lang w:eastAsia="ja-JP"/>
              </w:rPr>
            </w:pPr>
            <w:r>
              <w:rPr>
                <w:szCs w:val="18"/>
                <w:lang w:eastAsia="ja-JP"/>
              </w:rPr>
              <w:t>Pearl oysters</w:t>
            </w:r>
          </w:p>
        </w:tc>
        <w:tc>
          <w:tcPr>
            <w:tcW w:w="3619" w:type="dxa"/>
            <w:noWrap/>
            <w:hideMark/>
          </w:tcPr>
          <w:p w14:paraId="6BD6148F" w14:textId="77777777" w:rsidR="00CC703E" w:rsidRDefault="00E37FDB">
            <w:pPr>
              <w:pStyle w:val="Tabletext"/>
              <w:rPr>
                <w:szCs w:val="18"/>
                <w:lang w:eastAsia="ja-JP"/>
              </w:rPr>
            </w:pPr>
            <w:r>
              <w:rPr>
                <w:szCs w:val="18"/>
                <w:lang w:eastAsia="ja-JP"/>
              </w:rPr>
              <w:t>Ciliate infection/disease</w:t>
            </w:r>
          </w:p>
        </w:tc>
        <w:tc>
          <w:tcPr>
            <w:tcW w:w="2334" w:type="dxa"/>
            <w:noWrap/>
            <w:hideMark/>
          </w:tcPr>
          <w:p w14:paraId="0EDF97EE" w14:textId="77777777" w:rsidR="00CC703E" w:rsidRDefault="00E37FDB">
            <w:pPr>
              <w:pStyle w:val="Tabletext"/>
              <w:rPr>
                <w:szCs w:val="18"/>
                <w:lang w:eastAsia="ja-JP"/>
              </w:rPr>
            </w:pPr>
            <w:r>
              <w:rPr>
                <w:szCs w:val="18"/>
                <w:lang w:eastAsia="ja-JP"/>
              </w:rPr>
              <w:t>Western Australia</w:t>
            </w:r>
          </w:p>
        </w:tc>
      </w:tr>
      <w:tr w:rsidR="00CC703E" w14:paraId="04BB6AA5" w14:textId="77777777" w:rsidTr="00FC1687">
        <w:trPr>
          <w:cantSplit/>
        </w:trPr>
        <w:tc>
          <w:tcPr>
            <w:tcW w:w="1059" w:type="dxa"/>
            <w:vMerge w:val="restart"/>
            <w:noWrap/>
            <w:hideMark/>
          </w:tcPr>
          <w:p w14:paraId="13D552A3" w14:textId="77777777" w:rsidR="00CC703E" w:rsidRDefault="00E37FDB">
            <w:pPr>
              <w:pStyle w:val="Tabletext"/>
              <w:rPr>
                <w:szCs w:val="18"/>
                <w:lang w:eastAsia="ja-JP"/>
              </w:rPr>
            </w:pPr>
            <w:r>
              <w:rPr>
                <w:szCs w:val="18"/>
                <w:lang w:eastAsia="ja-JP"/>
              </w:rPr>
              <w:t>2000</w:t>
            </w:r>
          </w:p>
        </w:tc>
        <w:tc>
          <w:tcPr>
            <w:tcW w:w="2268" w:type="dxa"/>
          </w:tcPr>
          <w:p w14:paraId="79CFF148" w14:textId="77777777" w:rsidR="00CC703E" w:rsidRDefault="00E37FDB">
            <w:pPr>
              <w:pStyle w:val="Tabletext"/>
              <w:rPr>
                <w:szCs w:val="18"/>
                <w:lang w:eastAsia="ja-JP"/>
              </w:rPr>
            </w:pPr>
            <w:r>
              <w:rPr>
                <w:szCs w:val="18"/>
                <w:lang w:eastAsia="ja-JP"/>
              </w:rPr>
              <w:t>Barramundi</w:t>
            </w:r>
          </w:p>
        </w:tc>
        <w:tc>
          <w:tcPr>
            <w:tcW w:w="3619" w:type="dxa"/>
            <w:noWrap/>
            <w:hideMark/>
          </w:tcPr>
          <w:p w14:paraId="39684E98" w14:textId="77777777" w:rsidR="00CC703E" w:rsidRDefault="00E37FDB">
            <w:pPr>
              <w:pStyle w:val="Tabletext"/>
              <w:rPr>
                <w:szCs w:val="18"/>
                <w:lang w:eastAsia="ja-JP"/>
              </w:rPr>
            </w:pPr>
            <w:r>
              <w:rPr>
                <w:szCs w:val="18"/>
                <w:lang w:eastAsia="ja-JP"/>
              </w:rPr>
              <w:t>Hump-back syndrome</w:t>
            </w:r>
          </w:p>
        </w:tc>
        <w:tc>
          <w:tcPr>
            <w:tcW w:w="2334" w:type="dxa"/>
            <w:noWrap/>
            <w:hideMark/>
          </w:tcPr>
          <w:p w14:paraId="719BE55F" w14:textId="77777777" w:rsidR="00CC703E" w:rsidRDefault="00E37FDB">
            <w:pPr>
              <w:pStyle w:val="Tabletext"/>
              <w:rPr>
                <w:szCs w:val="18"/>
                <w:lang w:eastAsia="ja-JP"/>
              </w:rPr>
            </w:pPr>
            <w:r>
              <w:rPr>
                <w:szCs w:val="18"/>
                <w:lang w:eastAsia="ja-JP"/>
              </w:rPr>
              <w:t>Queensland</w:t>
            </w:r>
          </w:p>
        </w:tc>
      </w:tr>
      <w:tr w:rsidR="00CC703E" w14:paraId="61B5E2FF" w14:textId="77777777" w:rsidTr="00FC1687">
        <w:trPr>
          <w:cantSplit/>
        </w:trPr>
        <w:tc>
          <w:tcPr>
            <w:tcW w:w="1059" w:type="dxa"/>
            <w:vMerge/>
            <w:noWrap/>
            <w:hideMark/>
          </w:tcPr>
          <w:p w14:paraId="24F6FC9B" w14:textId="77777777" w:rsidR="00CC703E" w:rsidRDefault="00CC703E">
            <w:pPr>
              <w:pStyle w:val="Tabletext"/>
              <w:rPr>
                <w:szCs w:val="18"/>
                <w:lang w:eastAsia="ja-JP"/>
              </w:rPr>
            </w:pPr>
          </w:p>
        </w:tc>
        <w:tc>
          <w:tcPr>
            <w:tcW w:w="2268" w:type="dxa"/>
          </w:tcPr>
          <w:p w14:paraId="324596C8" w14:textId="77777777" w:rsidR="00CC703E" w:rsidRDefault="00E37FDB">
            <w:pPr>
              <w:pStyle w:val="Tabletext"/>
              <w:rPr>
                <w:szCs w:val="18"/>
                <w:lang w:eastAsia="ja-JP"/>
              </w:rPr>
            </w:pPr>
            <w:r>
              <w:rPr>
                <w:szCs w:val="18"/>
                <w:lang w:eastAsia="ja-JP"/>
              </w:rPr>
              <w:t>Redclaw crayfish</w:t>
            </w:r>
          </w:p>
        </w:tc>
        <w:tc>
          <w:tcPr>
            <w:tcW w:w="3619" w:type="dxa"/>
            <w:noWrap/>
            <w:hideMark/>
          </w:tcPr>
          <w:p w14:paraId="32B653A5" w14:textId="77777777" w:rsidR="00CC703E" w:rsidRDefault="00E37FDB">
            <w:pPr>
              <w:pStyle w:val="Tabletext"/>
              <w:rPr>
                <w:szCs w:val="18"/>
                <w:lang w:eastAsia="ja-JP"/>
              </w:rPr>
            </w:pPr>
            <w:r>
              <w:rPr>
                <w:szCs w:val="18"/>
                <w:lang w:eastAsia="ja-JP"/>
              </w:rPr>
              <w:t>Parvo-like virus</w:t>
            </w:r>
          </w:p>
        </w:tc>
        <w:tc>
          <w:tcPr>
            <w:tcW w:w="2334" w:type="dxa"/>
            <w:noWrap/>
            <w:hideMark/>
          </w:tcPr>
          <w:p w14:paraId="17B3A461" w14:textId="77777777" w:rsidR="00CC703E" w:rsidRDefault="00E37FDB">
            <w:pPr>
              <w:pStyle w:val="Tabletext"/>
              <w:rPr>
                <w:szCs w:val="18"/>
                <w:lang w:eastAsia="ja-JP"/>
              </w:rPr>
            </w:pPr>
            <w:r>
              <w:rPr>
                <w:szCs w:val="18"/>
                <w:lang w:eastAsia="ja-JP"/>
              </w:rPr>
              <w:t>Queensland</w:t>
            </w:r>
          </w:p>
        </w:tc>
      </w:tr>
      <w:tr w:rsidR="00CC703E" w14:paraId="2CCE5798" w14:textId="77777777" w:rsidTr="00FC1687">
        <w:trPr>
          <w:cantSplit/>
        </w:trPr>
        <w:tc>
          <w:tcPr>
            <w:tcW w:w="1059" w:type="dxa"/>
            <w:vMerge w:val="restart"/>
            <w:noWrap/>
            <w:hideMark/>
          </w:tcPr>
          <w:p w14:paraId="19D22E99" w14:textId="77777777" w:rsidR="00CC703E" w:rsidRDefault="00E37FDB">
            <w:pPr>
              <w:pStyle w:val="Tabletext"/>
              <w:rPr>
                <w:szCs w:val="18"/>
                <w:lang w:eastAsia="ja-JP"/>
              </w:rPr>
            </w:pPr>
            <w:r>
              <w:rPr>
                <w:szCs w:val="18"/>
                <w:lang w:eastAsia="ja-JP"/>
              </w:rPr>
              <w:t>1998–99</w:t>
            </w:r>
          </w:p>
        </w:tc>
        <w:tc>
          <w:tcPr>
            <w:tcW w:w="2268" w:type="dxa"/>
          </w:tcPr>
          <w:p w14:paraId="2F5274E1" w14:textId="77777777" w:rsidR="00CC703E" w:rsidRDefault="00E37FDB">
            <w:pPr>
              <w:pStyle w:val="Tabletext"/>
              <w:rPr>
                <w:szCs w:val="18"/>
                <w:lang w:eastAsia="ja-JP"/>
              </w:rPr>
            </w:pPr>
            <w:r>
              <w:rPr>
                <w:szCs w:val="18"/>
                <w:lang w:eastAsia="ja-JP"/>
              </w:rPr>
              <w:t>Pilchards</w:t>
            </w:r>
          </w:p>
        </w:tc>
        <w:tc>
          <w:tcPr>
            <w:tcW w:w="3619" w:type="dxa"/>
            <w:noWrap/>
            <w:hideMark/>
          </w:tcPr>
          <w:p w14:paraId="095AB8A7" w14:textId="77777777" w:rsidR="00CC703E" w:rsidRDefault="00E37FDB">
            <w:pPr>
              <w:pStyle w:val="Tabletext"/>
              <w:rPr>
                <w:szCs w:val="18"/>
                <w:lang w:eastAsia="ja-JP"/>
              </w:rPr>
            </w:pPr>
            <w:r>
              <w:rPr>
                <w:szCs w:val="18"/>
                <w:lang w:eastAsia="ja-JP"/>
              </w:rPr>
              <w:t>Herpesvirus</w:t>
            </w:r>
          </w:p>
        </w:tc>
        <w:tc>
          <w:tcPr>
            <w:tcW w:w="2334" w:type="dxa"/>
            <w:noWrap/>
            <w:hideMark/>
          </w:tcPr>
          <w:p w14:paraId="786A9B22" w14:textId="77777777" w:rsidR="00CC703E" w:rsidRDefault="00E37FDB">
            <w:pPr>
              <w:pStyle w:val="Tabletext"/>
              <w:rPr>
                <w:szCs w:val="18"/>
                <w:lang w:eastAsia="ja-JP"/>
              </w:rPr>
            </w:pPr>
            <w:r>
              <w:rPr>
                <w:szCs w:val="18"/>
                <w:lang w:eastAsia="ja-JP"/>
              </w:rPr>
              <w:t>All southern states</w:t>
            </w:r>
          </w:p>
        </w:tc>
      </w:tr>
      <w:tr w:rsidR="00CC703E" w14:paraId="30A0976E" w14:textId="77777777" w:rsidTr="00FC1687">
        <w:trPr>
          <w:cantSplit/>
        </w:trPr>
        <w:tc>
          <w:tcPr>
            <w:tcW w:w="1059" w:type="dxa"/>
            <w:vMerge/>
            <w:noWrap/>
            <w:hideMark/>
          </w:tcPr>
          <w:p w14:paraId="03033FF5" w14:textId="77777777" w:rsidR="00CC703E" w:rsidRDefault="00CC703E">
            <w:pPr>
              <w:pStyle w:val="Tabletext"/>
              <w:rPr>
                <w:szCs w:val="18"/>
                <w:lang w:eastAsia="ja-JP"/>
              </w:rPr>
            </w:pPr>
          </w:p>
        </w:tc>
        <w:tc>
          <w:tcPr>
            <w:tcW w:w="2268" w:type="dxa"/>
          </w:tcPr>
          <w:p w14:paraId="2EB95666" w14:textId="77777777" w:rsidR="00CC703E" w:rsidRDefault="00E37FDB">
            <w:pPr>
              <w:pStyle w:val="Tabletext"/>
              <w:rPr>
                <w:szCs w:val="18"/>
                <w:lang w:eastAsia="ja-JP"/>
              </w:rPr>
            </w:pPr>
            <w:r>
              <w:rPr>
                <w:szCs w:val="18"/>
                <w:lang w:eastAsia="ja-JP"/>
              </w:rPr>
              <w:t>Pilchards</w:t>
            </w:r>
          </w:p>
        </w:tc>
        <w:tc>
          <w:tcPr>
            <w:tcW w:w="3619" w:type="dxa"/>
            <w:noWrap/>
            <w:hideMark/>
          </w:tcPr>
          <w:p w14:paraId="173449F9" w14:textId="77777777" w:rsidR="00CC703E" w:rsidRDefault="00E37FDB">
            <w:pPr>
              <w:pStyle w:val="Tabletext"/>
              <w:rPr>
                <w:szCs w:val="18"/>
                <w:lang w:eastAsia="ja-JP"/>
              </w:rPr>
            </w:pPr>
            <w:r>
              <w:rPr>
                <w:szCs w:val="18"/>
                <w:lang w:eastAsia="ja-JP"/>
              </w:rPr>
              <w:t>Orthomyxo-like virus</w:t>
            </w:r>
          </w:p>
        </w:tc>
        <w:tc>
          <w:tcPr>
            <w:tcW w:w="2334" w:type="dxa"/>
            <w:noWrap/>
            <w:hideMark/>
          </w:tcPr>
          <w:p w14:paraId="4C068171" w14:textId="77777777" w:rsidR="00CC703E" w:rsidRDefault="00E37FDB">
            <w:pPr>
              <w:pStyle w:val="Tabletext"/>
              <w:rPr>
                <w:szCs w:val="18"/>
                <w:lang w:eastAsia="ja-JP"/>
              </w:rPr>
            </w:pPr>
            <w:r>
              <w:rPr>
                <w:szCs w:val="18"/>
                <w:lang w:eastAsia="ja-JP"/>
              </w:rPr>
              <w:t>South Australia</w:t>
            </w:r>
          </w:p>
        </w:tc>
      </w:tr>
      <w:tr w:rsidR="00CC703E" w14:paraId="6BC88823" w14:textId="77777777" w:rsidTr="00FC1687">
        <w:trPr>
          <w:cantSplit/>
        </w:trPr>
        <w:tc>
          <w:tcPr>
            <w:tcW w:w="1059" w:type="dxa"/>
            <w:vMerge/>
            <w:noWrap/>
            <w:hideMark/>
          </w:tcPr>
          <w:p w14:paraId="1BDE2676" w14:textId="77777777" w:rsidR="00CC703E" w:rsidRDefault="00CC703E">
            <w:pPr>
              <w:pStyle w:val="Tabletext"/>
              <w:rPr>
                <w:szCs w:val="18"/>
                <w:lang w:eastAsia="ja-JP"/>
              </w:rPr>
            </w:pPr>
          </w:p>
        </w:tc>
        <w:tc>
          <w:tcPr>
            <w:tcW w:w="2268" w:type="dxa"/>
          </w:tcPr>
          <w:p w14:paraId="34764BFE" w14:textId="77777777" w:rsidR="00CC703E" w:rsidRDefault="00E37FDB">
            <w:pPr>
              <w:pStyle w:val="Tabletext"/>
              <w:rPr>
                <w:szCs w:val="18"/>
                <w:lang w:eastAsia="ja-JP"/>
              </w:rPr>
            </w:pPr>
            <w:r>
              <w:rPr>
                <w:szCs w:val="18"/>
                <w:lang w:eastAsia="ja-JP"/>
              </w:rPr>
              <w:t>Salmonids</w:t>
            </w:r>
          </w:p>
        </w:tc>
        <w:tc>
          <w:tcPr>
            <w:tcW w:w="3619" w:type="dxa"/>
            <w:noWrap/>
            <w:hideMark/>
          </w:tcPr>
          <w:p w14:paraId="394E21EC" w14:textId="77777777" w:rsidR="00CC703E" w:rsidRDefault="00E37FDB">
            <w:pPr>
              <w:pStyle w:val="Tabletext"/>
              <w:rPr>
                <w:szCs w:val="18"/>
                <w:lang w:eastAsia="ja-JP"/>
              </w:rPr>
            </w:pPr>
            <w:r>
              <w:rPr>
                <w:szCs w:val="18"/>
                <w:lang w:eastAsia="ja-JP"/>
              </w:rPr>
              <w:t>Aquabirnavirus</w:t>
            </w:r>
          </w:p>
        </w:tc>
        <w:tc>
          <w:tcPr>
            <w:tcW w:w="2334" w:type="dxa"/>
            <w:noWrap/>
            <w:hideMark/>
          </w:tcPr>
          <w:p w14:paraId="05781BA0" w14:textId="77777777" w:rsidR="00CC703E" w:rsidRDefault="00E37FDB">
            <w:pPr>
              <w:pStyle w:val="Tabletext"/>
              <w:rPr>
                <w:szCs w:val="18"/>
                <w:lang w:eastAsia="ja-JP"/>
              </w:rPr>
            </w:pPr>
            <w:r>
              <w:rPr>
                <w:szCs w:val="18"/>
                <w:lang w:eastAsia="ja-JP"/>
              </w:rPr>
              <w:t>Tasmania</w:t>
            </w:r>
          </w:p>
        </w:tc>
      </w:tr>
      <w:tr w:rsidR="00CC703E" w14:paraId="39A8A73E" w14:textId="77777777" w:rsidTr="00FC1687">
        <w:trPr>
          <w:cantSplit/>
        </w:trPr>
        <w:tc>
          <w:tcPr>
            <w:tcW w:w="1059" w:type="dxa"/>
            <w:vMerge/>
            <w:noWrap/>
            <w:hideMark/>
          </w:tcPr>
          <w:p w14:paraId="071B9DB4" w14:textId="77777777" w:rsidR="00CC703E" w:rsidRDefault="00CC703E">
            <w:pPr>
              <w:pStyle w:val="Tabletext"/>
              <w:rPr>
                <w:szCs w:val="18"/>
                <w:lang w:eastAsia="ja-JP"/>
              </w:rPr>
            </w:pPr>
          </w:p>
        </w:tc>
        <w:tc>
          <w:tcPr>
            <w:tcW w:w="2268" w:type="dxa"/>
          </w:tcPr>
          <w:p w14:paraId="497DC6F3" w14:textId="77777777" w:rsidR="00CC703E" w:rsidRDefault="00E37FDB">
            <w:pPr>
              <w:pStyle w:val="Tabletext"/>
              <w:rPr>
                <w:szCs w:val="18"/>
                <w:lang w:eastAsia="ja-JP"/>
              </w:rPr>
            </w:pPr>
            <w:r>
              <w:rPr>
                <w:szCs w:val="18"/>
                <w:lang w:eastAsia="ja-JP"/>
              </w:rPr>
              <w:t>Yabbies</w:t>
            </w:r>
          </w:p>
        </w:tc>
        <w:tc>
          <w:tcPr>
            <w:tcW w:w="3619" w:type="dxa"/>
            <w:noWrap/>
            <w:hideMark/>
          </w:tcPr>
          <w:p w14:paraId="794639D5" w14:textId="77777777" w:rsidR="00CC703E" w:rsidRDefault="00E37FDB">
            <w:pPr>
              <w:pStyle w:val="Tabletext"/>
              <w:rPr>
                <w:szCs w:val="18"/>
                <w:lang w:eastAsia="ja-JP"/>
              </w:rPr>
            </w:pPr>
            <w:r>
              <w:rPr>
                <w:szCs w:val="18"/>
                <w:lang w:eastAsia="ja-JP"/>
              </w:rPr>
              <w:t>Thelohania</w:t>
            </w:r>
          </w:p>
        </w:tc>
        <w:tc>
          <w:tcPr>
            <w:tcW w:w="2334" w:type="dxa"/>
            <w:noWrap/>
            <w:hideMark/>
          </w:tcPr>
          <w:p w14:paraId="16258D41" w14:textId="77777777" w:rsidR="00CC703E" w:rsidRDefault="00E37FDB">
            <w:pPr>
              <w:pStyle w:val="Tabletext"/>
              <w:rPr>
                <w:szCs w:val="18"/>
                <w:lang w:eastAsia="ja-JP"/>
              </w:rPr>
            </w:pPr>
            <w:r>
              <w:rPr>
                <w:szCs w:val="18"/>
                <w:lang w:eastAsia="ja-JP"/>
              </w:rPr>
              <w:t>Western Australia</w:t>
            </w:r>
          </w:p>
        </w:tc>
      </w:tr>
      <w:tr w:rsidR="00CC703E" w14:paraId="4EDE61DB" w14:textId="77777777" w:rsidTr="00FC1687">
        <w:trPr>
          <w:cantSplit/>
        </w:trPr>
        <w:tc>
          <w:tcPr>
            <w:tcW w:w="1059" w:type="dxa"/>
            <w:vMerge w:val="restart"/>
            <w:noWrap/>
            <w:hideMark/>
          </w:tcPr>
          <w:p w14:paraId="1624CAF2" w14:textId="77777777" w:rsidR="00CC703E" w:rsidRDefault="00E37FDB">
            <w:pPr>
              <w:pStyle w:val="Tabletext"/>
              <w:rPr>
                <w:szCs w:val="18"/>
                <w:lang w:eastAsia="ja-JP"/>
              </w:rPr>
            </w:pPr>
            <w:r>
              <w:rPr>
                <w:szCs w:val="18"/>
                <w:lang w:eastAsia="ja-JP"/>
              </w:rPr>
              <w:t>1997</w:t>
            </w:r>
          </w:p>
        </w:tc>
        <w:tc>
          <w:tcPr>
            <w:tcW w:w="2268" w:type="dxa"/>
          </w:tcPr>
          <w:p w14:paraId="1C8A5C17" w14:textId="77777777" w:rsidR="00CC703E" w:rsidRDefault="00E37FDB">
            <w:pPr>
              <w:pStyle w:val="Tabletext"/>
              <w:rPr>
                <w:szCs w:val="18"/>
                <w:lang w:eastAsia="ja-JP"/>
              </w:rPr>
            </w:pPr>
            <w:r>
              <w:rPr>
                <w:szCs w:val="18"/>
                <w:lang w:eastAsia="ja-JP"/>
              </w:rPr>
              <w:t>Tuna</w:t>
            </w:r>
          </w:p>
        </w:tc>
        <w:tc>
          <w:tcPr>
            <w:tcW w:w="3619" w:type="dxa"/>
            <w:noWrap/>
            <w:hideMark/>
          </w:tcPr>
          <w:p w14:paraId="02FB9E59" w14:textId="77777777" w:rsidR="00CC703E" w:rsidRDefault="00E37FDB">
            <w:pPr>
              <w:pStyle w:val="Tabletext"/>
              <w:rPr>
                <w:i/>
                <w:szCs w:val="18"/>
                <w:lang w:eastAsia="ja-JP"/>
              </w:rPr>
            </w:pPr>
            <w:r>
              <w:rPr>
                <w:i/>
                <w:szCs w:val="18"/>
                <w:lang w:eastAsia="ja-JP"/>
              </w:rPr>
              <w:t>Uronema nigricans</w:t>
            </w:r>
          </w:p>
        </w:tc>
        <w:tc>
          <w:tcPr>
            <w:tcW w:w="2334" w:type="dxa"/>
            <w:noWrap/>
            <w:hideMark/>
          </w:tcPr>
          <w:p w14:paraId="09F67475" w14:textId="77777777" w:rsidR="00CC703E" w:rsidRDefault="00E37FDB">
            <w:pPr>
              <w:pStyle w:val="Tabletext"/>
              <w:rPr>
                <w:szCs w:val="18"/>
                <w:lang w:eastAsia="ja-JP"/>
              </w:rPr>
            </w:pPr>
            <w:r>
              <w:rPr>
                <w:szCs w:val="18"/>
                <w:lang w:eastAsia="ja-JP"/>
              </w:rPr>
              <w:t>South Australia</w:t>
            </w:r>
          </w:p>
        </w:tc>
      </w:tr>
      <w:tr w:rsidR="00CC703E" w14:paraId="5A1F3A65" w14:textId="77777777" w:rsidTr="00FC1687">
        <w:trPr>
          <w:cantSplit/>
        </w:trPr>
        <w:tc>
          <w:tcPr>
            <w:tcW w:w="1059" w:type="dxa"/>
            <w:vMerge/>
            <w:noWrap/>
            <w:hideMark/>
          </w:tcPr>
          <w:p w14:paraId="445CE59E" w14:textId="77777777" w:rsidR="00CC703E" w:rsidRDefault="00CC703E">
            <w:pPr>
              <w:pStyle w:val="Tabletext"/>
              <w:rPr>
                <w:szCs w:val="18"/>
                <w:lang w:eastAsia="ja-JP"/>
              </w:rPr>
            </w:pPr>
          </w:p>
        </w:tc>
        <w:tc>
          <w:tcPr>
            <w:tcW w:w="2268" w:type="dxa"/>
          </w:tcPr>
          <w:p w14:paraId="3AE1AB80" w14:textId="77777777" w:rsidR="00CC703E" w:rsidRDefault="00E37FDB">
            <w:pPr>
              <w:pStyle w:val="Tabletext"/>
              <w:rPr>
                <w:szCs w:val="18"/>
                <w:lang w:eastAsia="ja-JP"/>
              </w:rPr>
            </w:pPr>
            <w:r>
              <w:rPr>
                <w:i/>
                <w:szCs w:val="18"/>
                <w:lang w:eastAsia="ja-JP"/>
              </w:rPr>
              <w:t>Penaeus japonicas</w:t>
            </w:r>
          </w:p>
        </w:tc>
        <w:tc>
          <w:tcPr>
            <w:tcW w:w="3619" w:type="dxa"/>
            <w:noWrap/>
            <w:hideMark/>
          </w:tcPr>
          <w:p w14:paraId="7E7D23D0" w14:textId="77777777" w:rsidR="00CC703E" w:rsidRDefault="00E37FDB">
            <w:pPr>
              <w:pStyle w:val="Tabletext"/>
              <w:rPr>
                <w:szCs w:val="18"/>
                <w:lang w:eastAsia="ja-JP"/>
              </w:rPr>
            </w:pPr>
            <w:r>
              <w:rPr>
                <w:szCs w:val="18"/>
                <w:lang w:eastAsia="ja-JP"/>
              </w:rPr>
              <w:t>Hepatopancreatic parvo-like virus</w:t>
            </w:r>
          </w:p>
        </w:tc>
        <w:tc>
          <w:tcPr>
            <w:tcW w:w="2334" w:type="dxa"/>
            <w:noWrap/>
            <w:hideMark/>
          </w:tcPr>
          <w:p w14:paraId="21D3EC5C" w14:textId="77777777" w:rsidR="00CC703E" w:rsidRDefault="00E37FDB">
            <w:pPr>
              <w:pStyle w:val="Tabletext"/>
              <w:rPr>
                <w:szCs w:val="18"/>
                <w:lang w:eastAsia="ja-JP"/>
              </w:rPr>
            </w:pPr>
            <w:r>
              <w:rPr>
                <w:szCs w:val="18"/>
                <w:lang w:eastAsia="ja-JP"/>
              </w:rPr>
              <w:t>Queensland</w:t>
            </w:r>
          </w:p>
        </w:tc>
      </w:tr>
      <w:tr w:rsidR="00CC703E" w14:paraId="62A42DF4" w14:textId="77777777" w:rsidTr="00FC1687">
        <w:trPr>
          <w:cantSplit/>
        </w:trPr>
        <w:tc>
          <w:tcPr>
            <w:tcW w:w="1059" w:type="dxa"/>
            <w:vMerge/>
            <w:noWrap/>
            <w:hideMark/>
          </w:tcPr>
          <w:p w14:paraId="7B101EA3" w14:textId="77777777" w:rsidR="00CC703E" w:rsidRDefault="00CC703E">
            <w:pPr>
              <w:pStyle w:val="Tabletext"/>
              <w:rPr>
                <w:szCs w:val="18"/>
                <w:lang w:eastAsia="ja-JP"/>
              </w:rPr>
            </w:pPr>
          </w:p>
        </w:tc>
        <w:tc>
          <w:tcPr>
            <w:tcW w:w="2268" w:type="dxa"/>
          </w:tcPr>
          <w:p w14:paraId="34744D46" w14:textId="77777777" w:rsidR="00CC703E" w:rsidRDefault="00E37FDB">
            <w:pPr>
              <w:pStyle w:val="Tabletext"/>
              <w:rPr>
                <w:szCs w:val="18"/>
                <w:lang w:eastAsia="ja-JP"/>
              </w:rPr>
            </w:pPr>
            <w:r>
              <w:rPr>
                <w:szCs w:val="18"/>
                <w:lang w:eastAsia="ja-JP"/>
              </w:rPr>
              <w:t>Pearl oysters</w:t>
            </w:r>
          </w:p>
        </w:tc>
        <w:tc>
          <w:tcPr>
            <w:tcW w:w="3619" w:type="dxa"/>
            <w:noWrap/>
            <w:hideMark/>
          </w:tcPr>
          <w:p w14:paraId="6CC54C38" w14:textId="77777777" w:rsidR="00CC703E" w:rsidRDefault="00E37FDB">
            <w:pPr>
              <w:pStyle w:val="Tabletext"/>
              <w:rPr>
                <w:szCs w:val="18"/>
                <w:lang w:eastAsia="ja-JP"/>
              </w:rPr>
            </w:pPr>
            <w:r>
              <w:rPr>
                <w:szCs w:val="18"/>
                <w:lang w:eastAsia="ja-JP"/>
              </w:rPr>
              <w:t>Ciliate infection/disease</w:t>
            </w:r>
          </w:p>
        </w:tc>
        <w:tc>
          <w:tcPr>
            <w:tcW w:w="2334" w:type="dxa"/>
            <w:noWrap/>
            <w:hideMark/>
          </w:tcPr>
          <w:p w14:paraId="6809FFB8" w14:textId="77777777" w:rsidR="00CC703E" w:rsidRDefault="00E37FDB">
            <w:pPr>
              <w:pStyle w:val="Tabletext"/>
              <w:rPr>
                <w:szCs w:val="18"/>
                <w:lang w:eastAsia="ja-JP"/>
              </w:rPr>
            </w:pPr>
            <w:r>
              <w:rPr>
                <w:szCs w:val="18"/>
                <w:lang w:eastAsia="ja-JP"/>
              </w:rPr>
              <w:t>Western Australia</w:t>
            </w:r>
          </w:p>
        </w:tc>
      </w:tr>
      <w:tr w:rsidR="00CC703E" w14:paraId="04169439" w14:textId="77777777" w:rsidTr="00FC1687">
        <w:trPr>
          <w:cantSplit/>
        </w:trPr>
        <w:tc>
          <w:tcPr>
            <w:tcW w:w="1059" w:type="dxa"/>
            <w:vMerge w:val="restart"/>
            <w:noWrap/>
            <w:hideMark/>
          </w:tcPr>
          <w:p w14:paraId="4F83C9FF" w14:textId="77777777" w:rsidR="00CC703E" w:rsidRDefault="00E37FDB">
            <w:pPr>
              <w:pStyle w:val="Tabletext"/>
              <w:rPr>
                <w:szCs w:val="18"/>
                <w:lang w:eastAsia="ja-JP"/>
              </w:rPr>
            </w:pPr>
            <w:r>
              <w:rPr>
                <w:szCs w:val="18"/>
                <w:lang w:eastAsia="ja-JP"/>
              </w:rPr>
              <w:t>1996</w:t>
            </w:r>
          </w:p>
        </w:tc>
        <w:tc>
          <w:tcPr>
            <w:tcW w:w="2268" w:type="dxa"/>
          </w:tcPr>
          <w:p w14:paraId="0DE92C1C" w14:textId="77777777" w:rsidR="00CC703E" w:rsidRDefault="00E37FDB">
            <w:pPr>
              <w:pStyle w:val="Tabletext"/>
              <w:rPr>
                <w:i/>
                <w:szCs w:val="18"/>
                <w:lang w:eastAsia="ja-JP"/>
              </w:rPr>
            </w:pPr>
            <w:r>
              <w:rPr>
                <w:i/>
                <w:szCs w:val="18"/>
                <w:lang w:eastAsia="ja-JP"/>
              </w:rPr>
              <w:t>Penaeus monodon</w:t>
            </w:r>
          </w:p>
        </w:tc>
        <w:tc>
          <w:tcPr>
            <w:tcW w:w="3619" w:type="dxa"/>
            <w:noWrap/>
            <w:hideMark/>
          </w:tcPr>
          <w:p w14:paraId="454DD3F0" w14:textId="77777777" w:rsidR="00CC703E" w:rsidRDefault="00E37FDB">
            <w:pPr>
              <w:pStyle w:val="Tabletext"/>
              <w:rPr>
                <w:szCs w:val="18"/>
                <w:lang w:eastAsia="ja-JP"/>
              </w:rPr>
            </w:pPr>
            <w:r>
              <w:rPr>
                <w:szCs w:val="18"/>
                <w:lang w:eastAsia="ja-JP"/>
              </w:rPr>
              <w:t>Gill-associated virus</w:t>
            </w:r>
          </w:p>
        </w:tc>
        <w:tc>
          <w:tcPr>
            <w:tcW w:w="2334" w:type="dxa"/>
            <w:noWrap/>
            <w:hideMark/>
          </w:tcPr>
          <w:p w14:paraId="55C866A4" w14:textId="77777777" w:rsidR="00CC703E" w:rsidRDefault="00E37FDB">
            <w:pPr>
              <w:pStyle w:val="Tabletext"/>
              <w:rPr>
                <w:szCs w:val="18"/>
                <w:lang w:eastAsia="ja-JP"/>
              </w:rPr>
            </w:pPr>
            <w:r>
              <w:rPr>
                <w:szCs w:val="18"/>
                <w:lang w:eastAsia="ja-JP"/>
              </w:rPr>
              <w:t>Queensland</w:t>
            </w:r>
          </w:p>
        </w:tc>
      </w:tr>
      <w:tr w:rsidR="00CC703E" w14:paraId="52C14D3F" w14:textId="77777777" w:rsidTr="00FC1687">
        <w:trPr>
          <w:cantSplit/>
        </w:trPr>
        <w:tc>
          <w:tcPr>
            <w:tcW w:w="1059" w:type="dxa"/>
            <w:vMerge/>
            <w:noWrap/>
            <w:hideMark/>
          </w:tcPr>
          <w:p w14:paraId="7140FEBC" w14:textId="77777777" w:rsidR="00CC703E" w:rsidRDefault="00CC703E">
            <w:pPr>
              <w:pStyle w:val="Tabletext"/>
              <w:rPr>
                <w:szCs w:val="18"/>
                <w:lang w:eastAsia="ja-JP"/>
              </w:rPr>
            </w:pPr>
          </w:p>
        </w:tc>
        <w:tc>
          <w:tcPr>
            <w:tcW w:w="2268" w:type="dxa"/>
          </w:tcPr>
          <w:p w14:paraId="65795CB1" w14:textId="77777777" w:rsidR="00CC703E" w:rsidRDefault="00E37FDB">
            <w:pPr>
              <w:pStyle w:val="Tabletext"/>
              <w:rPr>
                <w:szCs w:val="18"/>
                <w:lang w:eastAsia="ja-JP"/>
              </w:rPr>
            </w:pPr>
            <w:r>
              <w:rPr>
                <w:i/>
                <w:szCs w:val="18"/>
                <w:lang w:eastAsia="ja-JP"/>
              </w:rPr>
              <w:t>Penaeus monodon</w:t>
            </w:r>
          </w:p>
        </w:tc>
        <w:tc>
          <w:tcPr>
            <w:tcW w:w="3619" w:type="dxa"/>
            <w:noWrap/>
            <w:hideMark/>
          </w:tcPr>
          <w:p w14:paraId="7BE5EFCD" w14:textId="77777777" w:rsidR="00CC703E" w:rsidRDefault="00E37FDB">
            <w:pPr>
              <w:pStyle w:val="Tabletext"/>
              <w:rPr>
                <w:szCs w:val="18"/>
                <w:lang w:eastAsia="ja-JP"/>
              </w:rPr>
            </w:pPr>
            <w:r>
              <w:rPr>
                <w:szCs w:val="18"/>
                <w:lang w:eastAsia="ja-JP"/>
              </w:rPr>
              <w:t>Mourilyan virus</w:t>
            </w:r>
          </w:p>
        </w:tc>
        <w:tc>
          <w:tcPr>
            <w:tcW w:w="2334" w:type="dxa"/>
            <w:noWrap/>
            <w:hideMark/>
          </w:tcPr>
          <w:p w14:paraId="3F2D9531" w14:textId="77777777" w:rsidR="00CC703E" w:rsidRDefault="00E37FDB">
            <w:pPr>
              <w:pStyle w:val="Tabletext"/>
              <w:rPr>
                <w:szCs w:val="18"/>
                <w:lang w:eastAsia="ja-JP"/>
              </w:rPr>
            </w:pPr>
            <w:r>
              <w:rPr>
                <w:szCs w:val="18"/>
                <w:lang w:eastAsia="ja-JP"/>
              </w:rPr>
              <w:t>Queensland</w:t>
            </w:r>
          </w:p>
        </w:tc>
      </w:tr>
      <w:tr w:rsidR="00CC703E" w14:paraId="65BB1591" w14:textId="77777777" w:rsidTr="00FC1687">
        <w:trPr>
          <w:cantSplit/>
        </w:trPr>
        <w:tc>
          <w:tcPr>
            <w:tcW w:w="1059" w:type="dxa"/>
            <w:vMerge/>
            <w:noWrap/>
            <w:hideMark/>
          </w:tcPr>
          <w:p w14:paraId="5CBD388F" w14:textId="77777777" w:rsidR="00CC703E" w:rsidRDefault="00CC703E">
            <w:pPr>
              <w:pStyle w:val="Tabletext"/>
              <w:rPr>
                <w:szCs w:val="18"/>
                <w:lang w:eastAsia="ja-JP"/>
              </w:rPr>
            </w:pPr>
          </w:p>
        </w:tc>
        <w:tc>
          <w:tcPr>
            <w:tcW w:w="2268" w:type="dxa"/>
          </w:tcPr>
          <w:p w14:paraId="622FBB83" w14:textId="77777777" w:rsidR="00CC703E" w:rsidRDefault="00E37FDB">
            <w:pPr>
              <w:pStyle w:val="Tabletext"/>
              <w:rPr>
                <w:i/>
                <w:szCs w:val="18"/>
                <w:lang w:eastAsia="ja-JP"/>
              </w:rPr>
            </w:pPr>
            <w:r>
              <w:rPr>
                <w:i/>
                <w:szCs w:val="18"/>
                <w:lang w:eastAsia="ja-JP"/>
              </w:rPr>
              <w:t>Metapenaeus bennettae</w:t>
            </w:r>
          </w:p>
        </w:tc>
        <w:tc>
          <w:tcPr>
            <w:tcW w:w="3619" w:type="dxa"/>
            <w:noWrap/>
            <w:hideMark/>
          </w:tcPr>
          <w:p w14:paraId="5C396A34" w14:textId="77777777" w:rsidR="00CC703E" w:rsidRDefault="00E37FDB">
            <w:pPr>
              <w:pStyle w:val="Tabletext"/>
              <w:rPr>
                <w:szCs w:val="18"/>
                <w:lang w:eastAsia="ja-JP"/>
              </w:rPr>
            </w:pPr>
            <w:r>
              <w:rPr>
                <w:szCs w:val="18"/>
                <w:lang w:eastAsia="ja-JP"/>
              </w:rPr>
              <w:t>Bennettae baculovirus</w:t>
            </w:r>
          </w:p>
        </w:tc>
        <w:tc>
          <w:tcPr>
            <w:tcW w:w="2334" w:type="dxa"/>
            <w:noWrap/>
            <w:hideMark/>
          </w:tcPr>
          <w:p w14:paraId="21AC3006" w14:textId="77777777" w:rsidR="00CC703E" w:rsidRDefault="00E37FDB">
            <w:pPr>
              <w:pStyle w:val="Tabletext"/>
              <w:rPr>
                <w:szCs w:val="18"/>
                <w:lang w:eastAsia="ja-JP"/>
              </w:rPr>
            </w:pPr>
            <w:r>
              <w:rPr>
                <w:szCs w:val="18"/>
                <w:lang w:eastAsia="ja-JP"/>
              </w:rPr>
              <w:t>Queensland</w:t>
            </w:r>
          </w:p>
        </w:tc>
      </w:tr>
      <w:tr w:rsidR="00CC703E" w14:paraId="164ED3AA" w14:textId="77777777" w:rsidTr="00FC1687">
        <w:trPr>
          <w:cantSplit/>
        </w:trPr>
        <w:tc>
          <w:tcPr>
            <w:tcW w:w="1059" w:type="dxa"/>
            <w:vMerge w:val="restart"/>
            <w:noWrap/>
            <w:hideMark/>
          </w:tcPr>
          <w:p w14:paraId="55374F24" w14:textId="77777777" w:rsidR="00CC703E" w:rsidRDefault="00E37FDB">
            <w:pPr>
              <w:pStyle w:val="Tabletext"/>
              <w:rPr>
                <w:szCs w:val="18"/>
                <w:lang w:eastAsia="ja-JP"/>
              </w:rPr>
            </w:pPr>
            <w:r>
              <w:rPr>
                <w:szCs w:val="18"/>
                <w:lang w:eastAsia="ja-JP"/>
              </w:rPr>
              <w:t>1995</w:t>
            </w:r>
          </w:p>
        </w:tc>
        <w:tc>
          <w:tcPr>
            <w:tcW w:w="2268" w:type="dxa"/>
          </w:tcPr>
          <w:p w14:paraId="45E3EE65" w14:textId="0B1E73DE" w:rsidR="00CC703E" w:rsidRDefault="00E37FDB">
            <w:pPr>
              <w:pStyle w:val="Tabletext"/>
              <w:rPr>
                <w:szCs w:val="18"/>
                <w:lang w:eastAsia="ja-JP"/>
              </w:rPr>
            </w:pPr>
            <w:r>
              <w:rPr>
                <w:szCs w:val="18"/>
                <w:lang w:eastAsia="ja-JP"/>
              </w:rPr>
              <w:t>Pilchards</w:t>
            </w:r>
            <w:r w:rsidR="00E66255">
              <w:rPr>
                <w:szCs w:val="18"/>
                <w:lang w:eastAsia="ja-JP"/>
              </w:rPr>
              <w:t xml:space="preserve"> mass mortality</w:t>
            </w:r>
          </w:p>
        </w:tc>
        <w:tc>
          <w:tcPr>
            <w:tcW w:w="3619" w:type="dxa"/>
            <w:noWrap/>
            <w:hideMark/>
          </w:tcPr>
          <w:p w14:paraId="543D7C1F" w14:textId="39753FCD" w:rsidR="00CC703E" w:rsidRDefault="00E66255" w:rsidP="00E66255">
            <w:pPr>
              <w:pStyle w:val="Tabletext"/>
              <w:rPr>
                <w:szCs w:val="18"/>
                <w:lang w:eastAsia="ja-JP"/>
              </w:rPr>
            </w:pPr>
            <w:r>
              <w:rPr>
                <w:szCs w:val="18"/>
                <w:lang w:eastAsia="ja-JP"/>
              </w:rPr>
              <w:t>Herpesvirus</w:t>
            </w:r>
          </w:p>
        </w:tc>
        <w:tc>
          <w:tcPr>
            <w:tcW w:w="2334" w:type="dxa"/>
            <w:noWrap/>
            <w:hideMark/>
          </w:tcPr>
          <w:p w14:paraId="55CF8C86" w14:textId="77777777" w:rsidR="00CC703E" w:rsidRDefault="00E37FDB">
            <w:pPr>
              <w:pStyle w:val="Tabletext"/>
              <w:rPr>
                <w:szCs w:val="18"/>
                <w:lang w:eastAsia="ja-JP"/>
              </w:rPr>
            </w:pPr>
            <w:r>
              <w:rPr>
                <w:szCs w:val="18"/>
                <w:lang w:eastAsia="ja-JP"/>
              </w:rPr>
              <w:t>All southern states</w:t>
            </w:r>
          </w:p>
        </w:tc>
      </w:tr>
      <w:tr w:rsidR="00CC703E" w14:paraId="4D2900B8" w14:textId="77777777" w:rsidTr="00FC1687">
        <w:trPr>
          <w:cantSplit/>
        </w:trPr>
        <w:tc>
          <w:tcPr>
            <w:tcW w:w="1059" w:type="dxa"/>
            <w:vMerge/>
            <w:noWrap/>
            <w:hideMark/>
          </w:tcPr>
          <w:p w14:paraId="691AD235" w14:textId="77777777" w:rsidR="00CC703E" w:rsidRDefault="00CC703E">
            <w:pPr>
              <w:pStyle w:val="Tabletext"/>
              <w:rPr>
                <w:szCs w:val="18"/>
                <w:lang w:eastAsia="ja-JP"/>
              </w:rPr>
            </w:pPr>
          </w:p>
        </w:tc>
        <w:tc>
          <w:tcPr>
            <w:tcW w:w="2268" w:type="dxa"/>
          </w:tcPr>
          <w:p w14:paraId="44FF36F6" w14:textId="77777777" w:rsidR="00CC703E" w:rsidRDefault="00E37FDB">
            <w:pPr>
              <w:pStyle w:val="Tabletext"/>
              <w:rPr>
                <w:szCs w:val="18"/>
                <w:lang w:eastAsia="ja-JP"/>
              </w:rPr>
            </w:pPr>
            <w:r>
              <w:rPr>
                <w:szCs w:val="18"/>
                <w:lang w:eastAsia="ja-JP"/>
              </w:rPr>
              <w:t>Pearl oysters</w:t>
            </w:r>
          </w:p>
        </w:tc>
        <w:tc>
          <w:tcPr>
            <w:tcW w:w="3619" w:type="dxa"/>
            <w:noWrap/>
            <w:hideMark/>
          </w:tcPr>
          <w:p w14:paraId="0DEC50F0" w14:textId="2C0D3DE0" w:rsidR="00CC703E" w:rsidRDefault="00E37FDB">
            <w:pPr>
              <w:pStyle w:val="Tabletext"/>
              <w:rPr>
                <w:szCs w:val="18"/>
                <w:lang w:eastAsia="ja-JP"/>
              </w:rPr>
            </w:pPr>
            <w:r>
              <w:rPr>
                <w:szCs w:val="18"/>
                <w:lang w:eastAsia="ja-JP"/>
              </w:rPr>
              <w:t>Haplosporidiosis</w:t>
            </w:r>
          </w:p>
        </w:tc>
        <w:tc>
          <w:tcPr>
            <w:tcW w:w="2334" w:type="dxa"/>
            <w:noWrap/>
            <w:hideMark/>
          </w:tcPr>
          <w:p w14:paraId="3DE9CB4C" w14:textId="77777777" w:rsidR="00CC703E" w:rsidRDefault="00E37FDB">
            <w:pPr>
              <w:pStyle w:val="Tabletext"/>
              <w:rPr>
                <w:szCs w:val="18"/>
                <w:lang w:eastAsia="ja-JP"/>
              </w:rPr>
            </w:pPr>
            <w:r>
              <w:rPr>
                <w:szCs w:val="18"/>
                <w:lang w:eastAsia="ja-JP"/>
              </w:rPr>
              <w:t>Western Australia</w:t>
            </w:r>
          </w:p>
        </w:tc>
      </w:tr>
      <w:tr w:rsidR="00CC703E" w14:paraId="4DA10523" w14:textId="77777777" w:rsidTr="00FC1687">
        <w:trPr>
          <w:cantSplit/>
        </w:trPr>
        <w:tc>
          <w:tcPr>
            <w:tcW w:w="1059" w:type="dxa"/>
            <w:vMerge w:val="restart"/>
            <w:noWrap/>
            <w:hideMark/>
          </w:tcPr>
          <w:p w14:paraId="390D7214" w14:textId="77777777" w:rsidR="00CC703E" w:rsidRDefault="00E37FDB">
            <w:pPr>
              <w:pStyle w:val="Tabletext"/>
              <w:rPr>
                <w:szCs w:val="18"/>
                <w:lang w:eastAsia="ja-JP"/>
              </w:rPr>
            </w:pPr>
            <w:r>
              <w:rPr>
                <w:szCs w:val="18"/>
                <w:lang w:eastAsia="ja-JP"/>
              </w:rPr>
              <w:t>1994</w:t>
            </w:r>
          </w:p>
        </w:tc>
        <w:tc>
          <w:tcPr>
            <w:tcW w:w="2268" w:type="dxa"/>
          </w:tcPr>
          <w:p w14:paraId="53DE3DEF" w14:textId="77777777" w:rsidR="00CC703E" w:rsidRDefault="00E37FDB">
            <w:pPr>
              <w:pStyle w:val="Tabletext"/>
              <w:rPr>
                <w:szCs w:val="18"/>
                <w:lang w:eastAsia="ja-JP"/>
              </w:rPr>
            </w:pPr>
            <w:r>
              <w:rPr>
                <w:szCs w:val="18"/>
                <w:lang w:eastAsia="ja-JP"/>
              </w:rPr>
              <w:t>Salmonids</w:t>
            </w:r>
          </w:p>
        </w:tc>
        <w:tc>
          <w:tcPr>
            <w:tcW w:w="3619" w:type="dxa"/>
            <w:noWrap/>
            <w:hideMark/>
          </w:tcPr>
          <w:p w14:paraId="0FFADD68" w14:textId="77777777" w:rsidR="00CC703E" w:rsidRDefault="00E37FDB">
            <w:pPr>
              <w:pStyle w:val="Tabletext"/>
              <w:rPr>
                <w:szCs w:val="18"/>
                <w:lang w:eastAsia="ja-JP"/>
              </w:rPr>
            </w:pPr>
            <w:r>
              <w:rPr>
                <w:szCs w:val="18"/>
                <w:lang w:eastAsia="ja-JP"/>
              </w:rPr>
              <w:t xml:space="preserve">Atypical </w:t>
            </w:r>
            <w:r>
              <w:rPr>
                <w:i/>
                <w:szCs w:val="18"/>
                <w:lang w:eastAsia="ja-JP"/>
              </w:rPr>
              <w:t>Aeromonas salmonicida</w:t>
            </w:r>
          </w:p>
        </w:tc>
        <w:tc>
          <w:tcPr>
            <w:tcW w:w="2334" w:type="dxa"/>
            <w:noWrap/>
            <w:hideMark/>
          </w:tcPr>
          <w:p w14:paraId="260CA19F" w14:textId="77777777" w:rsidR="00CC703E" w:rsidRDefault="00E37FDB">
            <w:pPr>
              <w:pStyle w:val="Tabletext"/>
              <w:rPr>
                <w:szCs w:val="18"/>
                <w:lang w:eastAsia="ja-JP"/>
              </w:rPr>
            </w:pPr>
            <w:r>
              <w:rPr>
                <w:szCs w:val="18"/>
                <w:lang w:eastAsia="ja-JP"/>
              </w:rPr>
              <w:t>Tasmania</w:t>
            </w:r>
          </w:p>
        </w:tc>
      </w:tr>
      <w:tr w:rsidR="00CC703E" w14:paraId="3DCAD05B" w14:textId="77777777" w:rsidTr="00FC1687">
        <w:trPr>
          <w:cantSplit/>
        </w:trPr>
        <w:tc>
          <w:tcPr>
            <w:tcW w:w="1059" w:type="dxa"/>
            <w:vMerge/>
            <w:noWrap/>
            <w:hideMark/>
          </w:tcPr>
          <w:p w14:paraId="354EE848" w14:textId="77777777" w:rsidR="00CC703E" w:rsidRDefault="00CC703E">
            <w:pPr>
              <w:pStyle w:val="Tabletext"/>
              <w:rPr>
                <w:szCs w:val="18"/>
                <w:lang w:eastAsia="ja-JP"/>
              </w:rPr>
            </w:pPr>
          </w:p>
        </w:tc>
        <w:tc>
          <w:tcPr>
            <w:tcW w:w="2268" w:type="dxa"/>
          </w:tcPr>
          <w:p w14:paraId="2F31E075" w14:textId="77777777" w:rsidR="00CC703E" w:rsidRDefault="00E37FDB">
            <w:pPr>
              <w:pStyle w:val="Tabletext"/>
              <w:rPr>
                <w:szCs w:val="18"/>
                <w:lang w:eastAsia="ja-JP"/>
              </w:rPr>
            </w:pPr>
            <w:r>
              <w:rPr>
                <w:szCs w:val="18"/>
                <w:lang w:eastAsia="ja-JP"/>
              </w:rPr>
              <w:t>Prawns</w:t>
            </w:r>
          </w:p>
        </w:tc>
        <w:tc>
          <w:tcPr>
            <w:tcW w:w="3619" w:type="dxa"/>
            <w:noWrap/>
            <w:hideMark/>
          </w:tcPr>
          <w:p w14:paraId="277CBB3A" w14:textId="77777777" w:rsidR="00CC703E" w:rsidRDefault="00E37FDB">
            <w:pPr>
              <w:pStyle w:val="Tabletext"/>
              <w:rPr>
                <w:szCs w:val="18"/>
                <w:lang w:eastAsia="ja-JP"/>
              </w:rPr>
            </w:pPr>
            <w:r>
              <w:rPr>
                <w:szCs w:val="18"/>
                <w:lang w:eastAsia="ja-JP"/>
              </w:rPr>
              <w:t>Mid-crop mortality syndrome</w:t>
            </w:r>
          </w:p>
        </w:tc>
        <w:tc>
          <w:tcPr>
            <w:tcW w:w="2334" w:type="dxa"/>
            <w:noWrap/>
            <w:hideMark/>
          </w:tcPr>
          <w:p w14:paraId="772767EC" w14:textId="77777777" w:rsidR="00CC703E" w:rsidRDefault="00E37FDB">
            <w:pPr>
              <w:pStyle w:val="Tabletext"/>
              <w:rPr>
                <w:szCs w:val="18"/>
                <w:lang w:eastAsia="ja-JP"/>
              </w:rPr>
            </w:pPr>
            <w:r>
              <w:rPr>
                <w:szCs w:val="18"/>
                <w:lang w:eastAsia="ja-JP"/>
              </w:rPr>
              <w:t>Queensland</w:t>
            </w:r>
          </w:p>
        </w:tc>
      </w:tr>
      <w:tr w:rsidR="00CC703E" w14:paraId="0D95C9AC" w14:textId="77777777" w:rsidTr="00FC1687">
        <w:trPr>
          <w:cantSplit/>
        </w:trPr>
        <w:tc>
          <w:tcPr>
            <w:tcW w:w="1059" w:type="dxa"/>
            <w:vMerge w:val="restart"/>
            <w:noWrap/>
            <w:hideMark/>
          </w:tcPr>
          <w:p w14:paraId="28A80435" w14:textId="77777777" w:rsidR="00CC703E" w:rsidRDefault="00E37FDB">
            <w:pPr>
              <w:pStyle w:val="Tabletext"/>
              <w:rPr>
                <w:szCs w:val="18"/>
                <w:lang w:eastAsia="ja-JP"/>
              </w:rPr>
            </w:pPr>
            <w:r>
              <w:rPr>
                <w:szCs w:val="18"/>
                <w:lang w:val="en-US" w:eastAsia="ja-JP"/>
              </w:rPr>
              <w:t>1993</w:t>
            </w:r>
          </w:p>
        </w:tc>
        <w:tc>
          <w:tcPr>
            <w:tcW w:w="2268" w:type="dxa"/>
          </w:tcPr>
          <w:p w14:paraId="50B6343A" w14:textId="77777777" w:rsidR="00CC703E" w:rsidRDefault="00E37FDB">
            <w:pPr>
              <w:pStyle w:val="Tabletext"/>
              <w:rPr>
                <w:szCs w:val="18"/>
                <w:lang w:eastAsia="ja-JP"/>
              </w:rPr>
            </w:pPr>
            <w:r>
              <w:rPr>
                <w:szCs w:val="18"/>
                <w:lang w:eastAsia="ja-JP"/>
              </w:rPr>
              <w:t xml:space="preserve">Giant clam, </w:t>
            </w:r>
            <w:r>
              <w:rPr>
                <w:i/>
                <w:szCs w:val="18"/>
                <w:lang w:eastAsia="ja-JP"/>
              </w:rPr>
              <w:t>Tridacna gigas</w:t>
            </w:r>
          </w:p>
        </w:tc>
        <w:tc>
          <w:tcPr>
            <w:tcW w:w="3619" w:type="dxa"/>
            <w:noWrap/>
            <w:hideMark/>
          </w:tcPr>
          <w:p w14:paraId="78FE8024" w14:textId="0ADF1AA1" w:rsidR="00CC703E" w:rsidRDefault="00E66255">
            <w:pPr>
              <w:pStyle w:val="Tabletext"/>
              <w:rPr>
                <w:szCs w:val="18"/>
                <w:lang w:eastAsia="ja-JP"/>
              </w:rPr>
            </w:pPr>
            <w:r>
              <w:rPr>
                <w:szCs w:val="18"/>
                <w:lang w:eastAsia="ja-JP"/>
              </w:rPr>
              <w:t>Rickettsia-like organism</w:t>
            </w:r>
          </w:p>
        </w:tc>
        <w:tc>
          <w:tcPr>
            <w:tcW w:w="2334" w:type="dxa"/>
            <w:noWrap/>
            <w:hideMark/>
          </w:tcPr>
          <w:p w14:paraId="5686D492" w14:textId="77777777" w:rsidR="00CC703E" w:rsidRDefault="00E37FDB">
            <w:pPr>
              <w:pStyle w:val="Tabletext"/>
              <w:rPr>
                <w:szCs w:val="18"/>
                <w:lang w:eastAsia="ja-JP"/>
              </w:rPr>
            </w:pPr>
            <w:r>
              <w:rPr>
                <w:szCs w:val="18"/>
                <w:lang w:eastAsia="ja-JP"/>
              </w:rPr>
              <w:t>Queensland</w:t>
            </w:r>
          </w:p>
        </w:tc>
      </w:tr>
      <w:tr w:rsidR="00CC703E" w14:paraId="009E89D6" w14:textId="77777777" w:rsidTr="00FC1687">
        <w:trPr>
          <w:cantSplit/>
        </w:trPr>
        <w:tc>
          <w:tcPr>
            <w:tcW w:w="1059" w:type="dxa"/>
            <w:vMerge/>
            <w:noWrap/>
            <w:hideMark/>
          </w:tcPr>
          <w:p w14:paraId="46667CCA" w14:textId="77777777" w:rsidR="00CC703E" w:rsidRDefault="00CC703E">
            <w:pPr>
              <w:pStyle w:val="Tabletext"/>
              <w:rPr>
                <w:szCs w:val="18"/>
                <w:lang w:eastAsia="ja-JP"/>
              </w:rPr>
            </w:pPr>
          </w:p>
        </w:tc>
        <w:tc>
          <w:tcPr>
            <w:tcW w:w="2268" w:type="dxa"/>
          </w:tcPr>
          <w:p w14:paraId="64CE18CA" w14:textId="77777777" w:rsidR="00CC703E" w:rsidRDefault="00E37FDB">
            <w:pPr>
              <w:pStyle w:val="Tabletext"/>
              <w:rPr>
                <w:szCs w:val="18"/>
                <w:lang w:eastAsia="ja-JP"/>
              </w:rPr>
            </w:pPr>
            <w:r>
              <w:rPr>
                <w:szCs w:val="18"/>
                <w:lang w:eastAsia="ja-JP"/>
              </w:rPr>
              <w:t>Redfin perch</w:t>
            </w:r>
          </w:p>
        </w:tc>
        <w:tc>
          <w:tcPr>
            <w:tcW w:w="3619" w:type="dxa"/>
            <w:noWrap/>
            <w:hideMark/>
          </w:tcPr>
          <w:p w14:paraId="5199DB31" w14:textId="77777777" w:rsidR="00CC703E" w:rsidRDefault="00E37FDB">
            <w:pPr>
              <w:pStyle w:val="Tabletext"/>
              <w:rPr>
                <w:szCs w:val="18"/>
                <w:lang w:eastAsia="ja-JP"/>
              </w:rPr>
            </w:pPr>
            <w:r>
              <w:rPr>
                <w:szCs w:val="18"/>
                <w:lang w:eastAsia="ja-JP"/>
              </w:rPr>
              <w:t>Aquareovirus</w:t>
            </w:r>
          </w:p>
        </w:tc>
        <w:tc>
          <w:tcPr>
            <w:tcW w:w="2334" w:type="dxa"/>
            <w:noWrap/>
            <w:hideMark/>
          </w:tcPr>
          <w:p w14:paraId="167AD087" w14:textId="77777777" w:rsidR="00CC703E" w:rsidRDefault="00E37FDB">
            <w:pPr>
              <w:pStyle w:val="Tabletext"/>
              <w:rPr>
                <w:szCs w:val="18"/>
                <w:lang w:eastAsia="ja-JP"/>
              </w:rPr>
            </w:pPr>
            <w:r>
              <w:rPr>
                <w:szCs w:val="18"/>
                <w:lang w:eastAsia="ja-JP"/>
              </w:rPr>
              <w:t>Victoria</w:t>
            </w:r>
          </w:p>
        </w:tc>
      </w:tr>
      <w:tr w:rsidR="00CC703E" w14:paraId="34CD8247" w14:textId="77777777" w:rsidTr="00FC1687">
        <w:trPr>
          <w:cantSplit/>
        </w:trPr>
        <w:tc>
          <w:tcPr>
            <w:tcW w:w="1059" w:type="dxa"/>
            <w:vMerge/>
            <w:noWrap/>
            <w:hideMark/>
          </w:tcPr>
          <w:p w14:paraId="5D1A9275" w14:textId="77777777" w:rsidR="00CC703E" w:rsidRDefault="00CC703E">
            <w:pPr>
              <w:pStyle w:val="Tabletext"/>
              <w:rPr>
                <w:szCs w:val="18"/>
                <w:lang w:eastAsia="ja-JP"/>
              </w:rPr>
            </w:pPr>
          </w:p>
        </w:tc>
        <w:tc>
          <w:tcPr>
            <w:tcW w:w="2268" w:type="dxa"/>
          </w:tcPr>
          <w:p w14:paraId="5F7189CA" w14:textId="77777777" w:rsidR="00CC703E" w:rsidRDefault="00E37FDB">
            <w:pPr>
              <w:pStyle w:val="Tabletext"/>
              <w:rPr>
                <w:szCs w:val="18"/>
                <w:lang w:eastAsia="ja-JP"/>
              </w:rPr>
            </w:pPr>
            <w:r>
              <w:rPr>
                <w:szCs w:val="18"/>
                <w:lang w:eastAsia="ja-JP"/>
              </w:rPr>
              <w:t xml:space="preserve">Hybrid </w:t>
            </w:r>
            <w:r>
              <w:rPr>
                <w:i/>
                <w:szCs w:val="18"/>
                <w:lang w:eastAsia="ja-JP"/>
              </w:rPr>
              <w:t>Penaeid</w:t>
            </w:r>
            <w:r>
              <w:rPr>
                <w:szCs w:val="18"/>
                <w:lang w:eastAsia="ja-JP"/>
              </w:rPr>
              <w:t xml:space="preserve"> prawns</w:t>
            </w:r>
          </w:p>
        </w:tc>
        <w:tc>
          <w:tcPr>
            <w:tcW w:w="3619" w:type="dxa"/>
            <w:noWrap/>
            <w:hideMark/>
          </w:tcPr>
          <w:p w14:paraId="21BFF648" w14:textId="77777777" w:rsidR="00CC703E" w:rsidRDefault="00E37FDB">
            <w:pPr>
              <w:pStyle w:val="Tabletext"/>
              <w:rPr>
                <w:szCs w:val="18"/>
                <w:lang w:eastAsia="ja-JP"/>
              </w:rPr>
            </w:pPr>
            <w:r>
              <w:rPr>
                <w:szCs w:val="18"/>
                <w:lang w:eastAsia="ja-JP"/>
              </w:rPr>
              <w:t>Penaeid haemocytic rod-shaped virus</w:t>
            </w:r>
          </w:p>
        </w:tc>
        <w:tc>
          <w:tcPr>
            <w:tcW w:w="2334" w:type="dxa"/>
            <w:noWrap/>
            <w:hideMark/>
          </w:tcPr>
          <w:p w14:paraId="5C57F136" w14:textId="77777777" w:rsidR="00CC703E" w:rsidRDefault="00E37FDB">
            <w:pPr>
              <w:pStyle w:val="Tabletext"/>
              <w:rPr>
                <w:szCs w:val="18"/>
                <w:lang w:eastAsia="ja-JP"/>
              </w:rPr>
            </w:pPr>
            <w:r>
              <w:rPr>
                <w:szCs w:val="18"/>
                <w:lang w:eastAsia="ja-JP"/>
              </w:rPr>
              <w:t>Queensland</w:t>
            </w:r>
          </w:p>
        </w:tc>
      </w:tr>
      <w:tr w:rsidR="00CC703E" w14:paraId="3D5D478D" w14:textId="77777777" w:rsidTr="00FC1687">
        <w:trPr>
          <w:cantSplit/>
        </w:trPr>
        <w:tc>
          <w:tcPr>
            <w:tcW w:w="1059" w:type="dxa"/>
            <w:vMerge/>
            <w:noWrap/>
            <w:hideMark/>
          </w:tcPr>
          <w:p w14:paraId="4B0BB994" w14:textId="77777777" w:rsidR="00CC703E" w:rsidRDefault="00CC703E">
            <w:pPr>
              <w:pStyle w:val="Tabletext"/>
              <w:rPr>
                <w:szCs w:val="18"/>
                <w:lang w:eastAsia="ja-JP"/>
              </w:rPr>
            </w:pPr>
          </w:p>
        </w:tc>
        <w:tc>
          <w:tcPr>
            <w:tcW w:w="2268" w:type="dxa"/>
          </w:tcPr>
          <w:p w14:paraId="1BDB502A" w14:textId="77777777" w:rsidR="00CC703E" w:rsidRDefault="00E37FDB">
            <w:pPr>
              <w:pStyle w:val="Tabletext"/>
              <w:rPr>
                <w:szCs w:val="18"/>
                <w:lang w:eastAsia="ja-JP"/>
              </w:rPr>
            </w:pPr>
            <w:r>
              <w:rPr>
                <w:i/>
                <w:szCs w:val="18"/>
                <w:lang w:eastAsia="ja-JP"/>
              </w:rPr>
              <w:t>Penaeus monodon</w:t>
            </w:r>
          </w:p>
        </w:tc>
        <w:tc>
          <w:tcPr>
            <w:tcW w:w="3619" w:type="dxa"/>
            <w:noWrap/>
            <w:hideMark/>
          </w:tcPr>
          <w:p w14:paraId="479F163A" w14:textId="77777777" w:rsidR="00CC703E" w:rsidRDefault="00E37FDB">
            <w:pPr>
              <w:pStyle w:val="Tabletext"/>
              <w:rPr>
                <w:szCs w:val="18"/>
                <w:lang w:eastAsia="ja-JP"/>
              </w:rPr>
            </w:pPr>
            <w:r>
              <w:rPr>
                <w:szCs w:val="18"/>
                <w:lang w:eastAsia="ja-JP"/>
              </w:rPr>
              <w:t>Monodon baculovirus (</w:t>
            </w:r>
            <w:r>
              <w:rPr>
                <w:szCs w:val="24"/>
                <w:lang w:eastAsia="ja-JP"/>
              </w:rPr>
              <w:t xml:space="preserve">now known as </w:t>
            </w:r>
            <w:r>
              <w:rPr>
                <w:rStyle w:val="Strong"/>
                <w:b w:val="0"/>
              </w:rPr>
              <w:t>P. monodon nudivirus)</w:t>
            </w:r>
          </w:p>
        </w:tc>
        <w:tc>
          <w:tcPr>
            <w:tcW w:w="2334" w:type="dxa"/>
            <w:noWrap/>
            <w:hideMark/>
          </w:tcPr>
          <w:p w14:paraId="3D248709" w14:textId="77777777" w:rsidR="00CC703E" w:rsidRDefault="00E37FDB">
            <w:pPr>
              <w:pStyle w:val="Tabletext"/>
              <w:rPr>
                <w:szCs w:val="18"/>
                <w:lang w:eastAsia="ja-JP"/>
              </w:rPr>
            </w:pPr>
            <w:r>
              <w:rPr>
                <w:szCs w:val="18"/>
                <w:lang w:eastAsia="ja-JP"/>
              </w:rPr>
              <w:t>Queensland</w:t>
            </w:r>
          </w:p>
        </w:tc>
      </w:tr>
      <w:tr w:rsidR="00CC703E" w14:paraId="1BA7F325" w14:textId="77777777" w:rsidTr="00FC1687">
        <w:trPr>
          <w:cantSplit/>
        </w:trPr>
        <w:tc>
          <w:tcPr>
            <w:tcW w:w="1059" w:type="dxa"/>
            <w:vMerge/>
            <w:noWrap/>
            <w:hideMark/>
          </w:tcPr>
          <w:p w14:paraId="3E8EB98D" w14:textId="77777777" w:rsidR="00CC703E" w:rsidRDefault="00CC703E">
            <w:pPr>
              <w:pStyle w:val="Tabletext"/>
              <w:rPr>
                <w:szCs w:val="18"/>
                <w:lang w:eastAsia="ja-JP"/>
              </w:rPr>
            </w:pPr>
          </w:p>
        </w:tc>
        <w:tc>
          <w:tcPr>
            <w:tcW w:w="2268" w:type="dxa"/>
          </w:tcPr>
          <w:p w14:paraId="04711B16" w14:textId="77777777" w:rsidR="00CC703E" w:rsidRDefault="00E37FDB">
            <w:pPr>
              <w:pStyle w:val="Tabletext"/>
              <w:rPr>
                <w:szCs w:val="18"/>
                <w:lang w:eastAsia="ja-JP"/>
              </w:rPr>
            </w:pPr>
            <w:r>
              <w:rPr>
                <w:szCs w:val="18"/>
                <w:lang w:eastAsia="ja-JP"/>
              </w:rPr>
              <w:t>Pearl oysters</w:t>
            </w:r>
          </w:p>
        </w:tc>
        <w:tc>
          <w:tcPr>
            <w:tcW w:w="3619" w:type="dxa"/>
            <w:noWrap/>
            <w:hideMark/>
          </w:tcPr>
          <w:p w14:paraId="0228CBB3" w14:textId="130B745F" w:rsidR="00CC703E" w:rsidRDefault="00E37FDB">
            <w:pPr>
              <w:pStyle w:val="Tabletext"/>
              <w:rPr>
                <w:szCs w:val="18"/>
                <w:lang w:eastAsia="ja-JP"/>
              </w:rPr>
            </w:pPr>
            <w:r>
              <w:rPr>
                <w:szCs w:val="18"/>
                <w:lang w:eastAsia="ja-JP"/>
              </w:rPr>
              <w:t>Papova-like virus infection</w:t>
            </w:r>
          </w:p>
        </w:tc>
        <w:tc>
          <w:tcPr>
            <w:tcW w:w="2334" w:type="dxa"/>
            <w:noWrap/>
            <w:hideMark/>
          </w:tcPr>
          <w:p w14:paraId="721B480C" w14:textId="77777777" w:rsidR="00CC703E" w:rsidRDefault="00E37FDB">
            <w:pPr>
              <w:pStyle w:val="Tabletext"/>
              <w:rPr>
                <w:szCs w:val="18"/>
                <w:lang w:eastAsia="ja-JP"/>
              </w:rPr>
            </w:pPr>
            <w:r>
              <w:rPr>
                <w:szCs w:val="18"/>
                <w:lang w:eastAsia="ja-JP"/>
              </w:rPr>
              <w:t>Western Australia</w:t>
            </w:r>
          </w:p>
        </w:tc>
      </w:tr>
      <w:tr w:rsidR="00CC703E" w14:paraId="333F44BF" w14:textId="77777777" w:rsidTr="00FC1687">
        <w:trPr>
          <w:cantSplit/>
        </w:trPr>
        <w:tc>
          <w:tcPr>
            <w:tcW w:w="1059" w:type="dxa"/>
            <w:vMerge w:val="restart"/>
            <w:noWrap/>
            <w:hideMark/>
          </w:tcPr>
          <w:p w14:paraId="15278386" w14:textId="77777777" w:rsidR="00CC703E" w:rsidRDefault="00E37FDB">
            <w:pPr>
              <w:pStyle w:val="Tabletext"/>
              <w:rPr>
                <w:szCs w:val="18"/>
                <w:lang w:eastAsia="ja-JP"/>
              </w:rPr>
            </w:pPr>
            <w:r>
              <w:rPr>
                <w:szCs w:val="18"/>
                <w:lang w:eastAsia="ja-JP"/>
              </w:rPr>
              <w:t>1992</w:t>
            </w:r>
          </w:p>
        </w:tc>
        <w:tc>
          <w:tcPr>
            <w:tcW w:w="2268" w:type="dxa"/>
          </w:tcPr>
          <w:p w14:paraId="27ED5E2F" w14:textId="77777777" w:rsidR="00CC703E" w:rsidRDefault="00E37FDB">
            <w:pPr>
              <w:pStyle w:val="Tabletext"/>
              <w:rPr>
                <w:szCs w:val="18"/>
                <w:lang w:eastAsia="ja-JP"/>
              </w:rPr>
            </w:pPr>
            <w:r>
              <w:rPr>
                <w:szCs w:val="18"/>
                <w:lang w:eastAsia="ja-JP"/>
              </w:rPr>
              <w:t>Snapper</w:t>
            </w:r>
          </w:p>
        </w:tc>
        <w:tc>
          <w:tcPr>
            <w:tcW w:w="3619" w:type="dxa"/>
            <w:noWrap/>
            <w:hideMark/>
          </w:tcPr>
          <w:p w14:paraId="5842F4E2" w14:textId="77777777" w:rsidR="00CC703E" w:rsidRDefault="00E37FDB">
            <w:pPr>
              <w:pStyle w:val="Tabletext"/>
              <w:rPr>
                <w:szCs w:val="18"/>
                <w:lang w:eastAsia="ja-JP"/>
              </w:rPr>
            </w:pPr>
            <w:r>
              <w:rPr>
                <w:szCs w:val="18"/>
                <w:lang w:eastAsia="ja-JP"/>
              </w:rPr>
              <w:t>Lymphocystis</w:t>
            </w:r>
          </w:p>
        </w:tc>
        <w:tc>
          <w:tcPr>
            <w:tcW w:w="2334" w:type="dxa"/>
            <w:noWrap/>
            <w:hideMark/>
          </w:tcPr>
          <w:p w14:paraId="1BB96AB4" w14:textId="77777777" w:rsidR="00CC703E" w:rsidRDefault="00E37FDB">
            <w:pPr>
              <w:pStyle w:val="Tabletext"/>
              <w:rPr>
                <w:szCs w:val="18"/>
                <w:lang w:eastAsia="ja-JP"/>
              </w:rPr>
            </w:pPr>
            <w:r>
              <w:rPr>
                <w:szCs w:val="18"/>
                <w:lang w:eastAsia="ja-JP"/>
              </w:rPr>
              <w:t>South Australia</w:t>
            </w:r>
          </w:p>
        </w:tc>
      </w:tr>
      <w:tr w:rsidR="00CC703E" w14:paraId="02CDB14A" w14:textId="77777777" w:rsidTr="00FC1687">
        <w:trPr>
          <w:cantSplit/>
        </w:trPr>
        <w:tc>
          <w:tcPr>
            <w:tcW w:w="1059" w:type="dxa"/>
            <w:vMerge/>
            <w:noWrap/>
            <w:hideMark/>
          </w:tcPr>
          <w:p w14:paraId="1D3D268F" w14:textId="77777777" w:rsidR="00CC703E" w:rsidRDefault="00CC703E">
            <w:pPr>
              <w:pStyle w:val="Tabletext"/>
              <w:rPr>
                <w:szCs w:val="18"/>
                <w:lang w:eastAsia="ja-JP"/>
              </w:rPr>
            </w:pPr>
          </w:p>
        </w:tc>
        <w:tc>
          <w:tcPr>
            <w:tcW w:w="2268" w:type="dxa"/>
          </w:tcPr>
          <w:p w14:paraId="4DFD0740" w14:textId="77777777" w:rsidR="00CC703E" w:rsidRDefault="00E37FDB">
            <w:pPr>
              <w:pStyle w:val="Tabletext"/>
              <w:rPr>
                <w:szCs w:val="18"/>
                <w:lang w:eastAsia="ja-JP"/>
              </w:rPr>
            </w:pPr>
            <w:r>
              <w:rPr>
                <w:szCs w:val="18"/>
                <w:lang w:eastAsia="ja-JP"/>
              </w:rPr>
              <w:t xml:space="preserve">Hybrid </w:t>
            </w:r>
            <w:r>
              <w:rPr>
                <w:i/>
                <w:szCs w:val="18"/>
                <w:lang w:eastAsia="ja-JP"/>
              </w:rPr>
              <w:t>Penaeid</w:t>
            </w:r>
            <w:r>
              <w:rPr>
                <w:szCs w:val="18"/>
                <w:lang w:eastAsia="ja-JP"/>
              </w:rPr>
              <w:t xml:space="preserve"> prawns</w:t>
            </w:r>
          </w:p>
        </w:tc>
        <w:tc>
          <w:tcPr>
            <w:tcW w:w="3619" w:type="dxa"/>
            <w:noWrap/>
            <w:hideMark/>
          </w:tcPr>
          <w:p w14:paraId="7F0C1124" w14:textId="6B7BBB86" w:rsidR="00CC703E" w:rsidRDefault="00E37FDB">
            <w:pPr>
              <w:pStyle w:val="Tabletext"/>
              <w:rPr>
                <w:szCs w:val="18"/>
                <w:lang w:eastAsia="ja-JP"/>
              </w:rPr>
            </w:pPr>
            <w:r>
              <w:rPr>
                <w:szCs w:val="18"/>
                <w:lang w:eastAsia="ja-JP"/>
              </w:rPr>
              <w:t>infectious hypodermal and hematopoietic necrosis virus (IHHNV)</w:t>
            </w:r>
          </w:p>
        </w:tc>
        <w:tc>
          <w:tcPr>
            <w:tcW w:w="2334" w:type="dxa"/>
            <w:noWrap/>
            <w:hideMark/>
          </w:tcPr>
          <w:p w14:paraId="0CFA8BB1" w14:textId="77777777" w:rsidR="00CC703E" w:rsidRDefault="00E37FDB">
            <w:pPr>
              <w:pStyle w:val="Tabletext"/>
              <w:rPr>
                <w:szCs w:val="18"/>
                <w:lang w:eastAsia="ja-JP"/>
              </w:rPr>
            </w:pPr>
            <w:r>
              <w:rPr>
                <w:szCs w:val="18"/>
                <w:lang w:eastAsia="ja-JP"/>
              </w:rPr>
              <w:t>Queensland</w:t>
            </w:r>
          </w:p>
        </w:tc>
      </w:tr>
      <w:tr w:rsidR="00CC703E" w14:paraId="1E43032D" w14:textId="77777777" w:rsidTr="00FC1687">
        <w:trPr>
          <w:cantSplit/>
        </w:trPr>
        <w:tc>
          <w:tcPr>
            <w:tcW w:w="1059" w:type="dxa"/>
            <w:vMerge/>
            <w:noWrap/>
            <w:hideMark/>
          </w:tcPr>
          <w:p w14:paraId="281708E6" w14:textId="77777777" w:rsidR="00CC703E" w:rsidRDefault="00CC703E">
            <w:pPr>
              <w:pStyle w:val="Tabletext"/>
              <w:rPr>
                <w:szCs w:val="18"/>
                <w:lang w:eastAsia="ja-JP"/>
              </w:rPr>
            </w:pPr>
          </w:p>
        </w:tc>
        <w:tc>
          <w:tcPr>
            <w:tcW w:w="2268" w:type="dxa"/>
          </w:tcPr>
          <w:p w14:paraId="16BD2F0F" w14:textId="77777777" w:rsidR="00CC703E" w:rsidRDefault="00E37FDB">
            <w:pPr>
              <w:pStyle w:val="Tabletext"/>
              <w:rPr>
                <w:szCs w:val="18"/>
                <w:lang w:eastAsia="ja-JP"/>
              </w:rPr>
            </w:pPr>
            <w:r>
              <w:rPr>
                <w:szCs w:val="18"/>
                <w:lang w:eastAsia="ja-JP"/>
              </w:rPr>
              <w:t>Oysters (edible)</w:t>
            </w:r>
          </w:p>
        </w:tc>
        <w:tc>
          <w:tcPr>
            <w:tcW w:w="3619" w:type="dxa"/>
            <w:noWrap/>
            <w:hideMark/>
          </w:tcPr>
          <w:p w14:paraId="72C31236" w14:textId="77777777" w:rsidR="00CC703E" w:rsidRDefault="00E37FDB">
            <w:pPr>
              <w:pStyle w:val="Tabletext"/>
              <w:rPr>
                <w:szCs w:val="18"/>
                <w:lang w:eastAsia="ja-JP"/>
              </w:rPr>
            </w:pPr>
            <w:r>
              <w:rPr>
                <w:i/>
                <w:szCs w:val="18"/>
                <w:lang w:eastAsia="ja-JP"/>
              </w:rPr>
              <w:t>Bonamia</w:t>
            </w:r>
            <w:r>
              <w:rPr>
                <w:szCs w:val="18"/>
                <w:lang w:eastAsia="ja-JP"/>
              </w:rPr>
              <w:t xml:space="preserve"> sp.</w:t>
            </w:r>
          </w:p>
        </w:tc>
        <w:tc>
          <w:tcPr>
            <w:tcW w:w="2334" w:type="dxa"/>
            <w:noWrap/>
            <w:hideMark/>
          </w:tcPr>
          <w:p w14:paraId="409E918F" w14:textId="77777777" w:rsidR="00CC703E" w:rsidRDefault="00E37FDB">
            <w:pPr>
              <w:pStyle w:val="Tabletext"/>
              <w:rPr>
                <w:szCs w:val="18"/>
                <w:lang w:eastAsia="ja-JP"/>
              </w:rPr>
            </w:pPr>
            <w:r>
              <w:rPr>
                <w:szCs w:val="18"/>
                <w:lang w:eastAsia="ja-JP"/>
              </w:rPr>
              <w:t>Victoria</w:t>
            </w:r>
          </w:p>
        </w:tc>
      </w:tr>
      <w:tr w:rsidR="00CC703E" w14:paraId="051B1A21" w14:textId="77777777" w:rsidTr="00FC1687">
        <w:trPr>
          <w:cantSplit/>
        </w:trPr>
        <w:tc>
          <w:tcPr>
            <w:tcW w:w="1059" w:type="dxa"/>
            <w:noWrap/>
            <w:hideMark/>
          </w:tcPr>
          <w:p w14:paraId="0BDDA23A" w14:textId="77777777" w:rsidR="00CC703E" w:rsidRDefault="00E37FDB">
            <w:pPr>
              <w:pStyle w:val="Tabletext"/>
              <w:rPr>
                <w:szCs w:val="18"/>
                <w:lang w:eastAsia="ja-JP"/>
              </w:rPr>
            </w:pPr>
            <w:r>
              <w:rPr>
                <w:szCs w:val="18"/>
                <w:lang w:val="en-US" w:eastAsia="ja-JP"/>
              </w:rPr>
              <w:t>1991</w:t>
            </w:r>
          </w:p>
        </w:tc>
        <w:tc>
          <w:tcPr>
            <w:tcW w:w="2268" w:type="dxa"/>
          </w:tcPr>
          <w:p w14:paraId="50A54C7B" w14:textId="1EC4E4DB" w:rsidR="00CC703E" w:rsidRDefault="00E37FDB">
            <w:pPr>
              <w:pStyle w:val="Tabletext"/>
              <w:rPr>
                <w:szCs w:val="18"/>
                <w:lang w:eastAsia="ja-JP"/>
              </w:rPr>
            </w:pPr>
            <w:r>
              <w:rPr>
                <w:i/>
                <w:szCs w:val="18"/>
                <w:lang w:eastAsia="ja-JP"/>
              </w:rPr>
              <w:t>Penaeus monodon</w:t>
            </w:r>
            <w:r>
              <w:rPr>
                <w:szCs w:val="18"/>
                <w:lang w:eastAsia="ja-JP"/>
              </w:rPr>
              <w:t xml:space="preserve">, </w:t>
            </w:r>
            <w:r>
              <w:rPr>
                <w:i/>
                <w:szCs w:val="18"/>
                <w:lang w:eastAsia="ja-JP"/>
              </w:rPr>
              <w:t>P. merguiensis</w:t>
            </w:r>
            <w:r>
              <w:rPr>
                <w:szCs w:val="18"/>
                <w:lang w:eastAsia="ja-JP"/>
              </w:rPr>
              <w:t xml:space="preserve"> and </w:t>
            </w:r>
            <w:r>
              <w:rPr>
                <w:i/>
                <w:szCs w:val="18"/>
                <w:lang w:eastAsia="ja-JP"/>
              </w:rPr>
              <w:t>P. esculentus</w:t>
            </w:r>
          </w:p>
        </w:tc>
        <w:tc>
          <w:tcPr>
            <w:tcW w:w="3619" w:type="dxa"/>
            <w:noWrap/>
            <w:hideMark/>
          </w:tcPr>
          <w:p w14:paraId="7073FA79" w14:textId="77777777" w:rsidR="00CC703E" w:rsidRDefault="00E37FDB">
            <w:pPr>
              <w:pStyle w:val="Tabletext"/>
              <w:rPr>
                <w:szCs w:val="18"/>
                <w:lang w:eastAsia="ja-JP"/>
              </w:rPr>
            </w:pPr>
            <w:r>
              <w:rPr>
                <w:szCs w:val="18"/>
                <w:lang w:eastAsia="ja-JP"/>
              </w:rPr>
              <w:t>Lymphoidal parvovirus</w:t>
            </w:r>
          </w:p>
        </w:tc>
        <w:tc>
          <w:tcPr>
            <w:tcW w:w="2334" w:type="dxa"/>
            <w:noWrap/>
            <w:hideMark/>
          </w:tcPr>
          <w:p w14:paraId="2C5CF476" w14:textId="77777777" w:rsidR="00CC703E" w:rsidRDefault="00E37FDB">
            <w:pPr>
              <w:pStyle w:val="Tabletext"/>
              <w:rPr>
                <w:szCs w:val="18"/>
                <w:lang w:eastAsia="ja-JP"/>
              </w:rPr>
            </w:pPr>
            <w:r>
              <w:rPr>
                <w:szCs w:val="18"/>
                <w:lang w:eastAsia="ja-JP"/>
              </w:rPr>
              <w:t>Queensland</w:t>
            </w:r>
          </w:p>
        </w:tc>
      </w:tr>
      <w:tr w:rsidR="00CC703E" w14:paraId="2F97BD89" w14:textId="77777777" w:rsidTr="00FC1687">
        <w:trPr>
          <w:cantSplit/>
        </w:trPr>
        <w:tc>
          <w:tcPr>
            <w:tcW w:w="1059" w:type="dxa"/>
            <w:vMerge w:val="restart"/>
            <w:noWrap/>
            <w:hideMark/>
          </w:tcPr>
          <w:p w14:paraId="7BC60D7F" w14:textId="77777777" w:rsidR="00CC703E" w:rsidRDefault="00E37FDB">
            <w:pPr>
              <w:pStyle w:val="Tabletext"/>
              <w:rPr>
                <w:szCs w:val="18"/>
                <w:lang w:eastAsia="ja-JP"/>
              </w:rPr>
            </w:pPr>
            <w:r>
              <w:rPr>
                <w:szCs w:val="18"/>
                <w:lang w:eastAsia="ja-JP"/>
              </w:rPr>
              <w:t>1990</w:t>
            </w:r>
          </w:p>
        </w:tc>
        <w:tc>
          <w:tcPr>
            <w:tcW w:w="2268" w:type="dxa"/>
          </w:tcPr>
          <w:p w14:paraId="7800B319" w14:textId="77777777" w:rsidR="00CC703E" w:rsidRDefault="00E37FDB">
            <w:pPr>
              <w:pStyle w:val="Tabletext"/>
              <w:rPr>
                <w:szCs w:val="18"/>
                <w:lang w:eastAsia="ja-JP"/>
              </w:rPr>
            </w:pPr>
            <w:r>
              <w:rPr>
                <w:szCs w:val="18"/>
                <w:lang w:eastAsia="ja-JP"/>
              </w:rPr>
              <w:t>Barramundi</w:t>
            </w:r>
          </w:p>
        </w:tc>
        <w:tc>
          <w:tcPr>
            <w:tcW w:w="3619" w:type="dxa"/>
            <w:noWrap/>
            <w:hideMark/>
          </w:tcPr>
          <w:p w14:paraId="4DE3D0EC" w14:textId="77777777" w:rsidR="00CC703E" w:rsidRDefault="00E37FDB">
            <w:pPr>
              <w:pStyle w:val="Tabletext"/>
              <w:rPr>
                <w:szCs w:val="18"/>
                <w:lang w:eastAsia="ja-JP"/>
              </w:rPr>
            </w:pPr>
            <w:r>
              <w:rPr>
                <w:szCs w:val="18"/>
                <w:lang w:eastAsia="ja-JP"/>
              </w:rPr>
              <w:t>Lymphocystis</w:t>
            </w:r>
          </w:p>
        </w:tc>
        <w:tc>
          <w:tcPr>
            <w:tcW w:w="2334" w:type="dxa"/>
            <w:noWrap/>
            <w:hideMark/>
          </w:tcPr>
          <w:p w14:paraId="37D2DDE7" w14:textId="77777777" w:rsidR="00CC703E" w:rsidRDefault="00E37FDB">
            <w:pPr>
              <w:pStyle w:val="Tabletext"/>
              <w:rPr>
                <w:szCs w:val="18"/>
                <w:lang w:eastAsia="ja-JP"/>
              </w:rPr>
            </w:pPr>
            <w:r>
              <w:rPr>
                <w:szCs w:val="18"/>
                <w:lang w:eastAsia="ja-JP"/>
              </w:rPr>
              <w:t>All states and Northern Territory</w:t>
            </w:r>
          </w:p>
        </w:tc>
      </w:tr>
      <w:tr w:rsidR="00CC703E" w14:paraId="57A37769" w14:textId="77777777" w:rsidTr="00FC1687">
        <w:trPr>
          <w:cantSplit/>
        </w:trPr>
        <w:tc>
          <w:tcPr>
            <w:tcW w:w="1059" w:type="dxa"/>
            <w:vMerge/>
            <w:noWrap/>
            <w:hideMark/>
          </w:tcPr>
          <w:p w14:paraId="6B4F09B5" w14:textId="77777777" w:rsidR="00CC703E" w:rsidRDefault="00CC703E">
            <w:pPr>
              <w:pStyle w:val="Tabletext"/>
              <w:rPr>
                <w:szCs w:val="18"/>
                <w:lang w:eastAsia="ja-JP"/>
              </w:rPr>
            </w:pPr>
          </w:p>
        </w:tc>
        <w:tc>
          <w:tcPr>
            <w:tcW w:w="2268" w:type="dxa"/>
          </w:tcPr>
          <w:p w14:paraId="523455E5" w14:textId="77777777" w:rsidR="00CC703E" w:rsidRDefault="00E37FDB">
            <w:pPr>
              <w:pStyle w:val="Tabletext"/>
              <w:rPr>
                <w:i/>
                <w:szCs w:val="18"/>
                <w:lang w:eastAsia="ja-JP"/>
              </w:rPr>
            </w:pPr>
            <w:r>
              <w:rPr>
                <w:i/>
                <w:szCs w:val="18"/>
                <w:lang w:eastAsia="ja-JP"/>
              </w:rPr>
              <w:t>Macrobrachium rosenbergii</w:t>
            </w:r>
          </w:p>
        </w:tc>
        <w:tc>
          <w:tcPr>
            <w:tcW w:w="3619" w:type="dxa"/>
            <w:noWrap/>
            <w:hideMark/>
          </w:tcPr>
          <w:p w14:paraId="3CD016D2" w14:textId="77777777" w:rsidR="00CC703E" w:rsidRDefault="00E37FDB">
            <w:pPr>
              <w:pStyle w:val="Tabletext"/>
              <w:rPr>
                <w:szCs w:val="18"/>
                <w:lang w:eastAsia="ja-JP"/>
              </w:rPr>
            </w:pPr>
            <w:r>
              <w:rPr>
                <w:szCs w:val="18"/>
                <w:lang w:eastAsia="ja-JP"/>
              </w:rPr>
              <w:t>Parvo-like virus</w:t>
            </w:r>
          </w:p>
        </w:tc>
        <w:tc>
          <w:tcPr>
            <w:tcW w:w="2334" w:type="dxa"/>
            <w:noWrap/>
            <w:hideMark/>
          </w:tcPr>
          <w:p w14:paraId="16084DF5" w14:textId="77777777" w:rsidR="00CC703E" w:rsidRDefault="00E37FDB">
            <w:pPr>
              <w:pStyle w:val="Tabletext"/>
              <w:rPr>
                <w:szCs w:val="18"/>
                <w:lang w:eastAsia="ja-JP"/>
              </w:rPr>
            </w:pPr>
            <w:r>
              <w:rPr>
                <w:szCs w:val="18"/>
                <w:lang w:eastAsia="ja-JP"/>
              </w:rPr>
              <w:t>Queensland</w:t>
            </w:r>
          </w:p>
        </w:tc>
      </w:tr>
      <w:tr w:rsidR="00CC703E" w14:paraId="0F8EA6BC" w14:textId="77777777" w:rsidTr="00FC1687">
        <w:trPr>
          <w:cantSplit/>
        </w:trPr>
        <w:tc>
          <w:tcPr>
            <w:tcW w:w="1059" w:type="dxa"/>
            <w:vMerge w:val="restart"/>
            <w:noWrap/>
            <w:hideMark/>
          </w:tcPr>
          <w:p w14:paraId="3528D4F5" w14:textId="77777777" w:rsidR="00CC703E" w:rsidRDefault="00E37FDB">
            <w:pPr>
              <w:pStyle w:val="Tabletext"/>
              <w:rPr>
                <w:szCs w:val="18"/>
                <w:lang w:eastAsia="ja-JP"/>
              </w:rPr>
            </w:pPr>
            <w:r>
              <w:rPr>
                <w:szCs w:val="18"/>
                <w:lang w:eastAsia="ja-JP"/>
              </w:rPr>
              <w:t>1989</w:t>
            </w:r>
          </w:p>
        </w:tc>
        <w:tc>
          <w:tcPr>
            <w:tcW w:w="2268" w:type="dxa"/>
          </w:tcPr>
          <w:p w14:paraId="7A7E7E5C" w14:textId="77777777" w:rsidR="00CC703E" w:rsidRDefault="00E37FDB">
            <w:pPr>
              <w:pStyle w:val="Tabletext"/>
              <w:rPr>
                <w:szCs w:val="18"/>
                <w:lang w:eastAsia="ja-JP"/>
              </w:rPr>
            </w:pPr>
            <w:r>
              <w:rPr>
                <w:szCs w:val="18"/>
                <w:lang w:eastAsia="ja-JP"/>
              </w:rPr>
              <w:t>Barramundi</w:t>
            </w:r>
          </w:p>
        </w:tc>
        <w:tc>
          <w:tcPr>
            <w:tcW w:w="3619" w:type="dxa"/>
            <w:noWrap/>
            <w:hideMark/>
          </w:tcPr>
          <w:p w14:paraId="61C29AF0" w14:textId="77777777" w:rsidR="00CC703E" w:rsidRDefault="00E37FDB">
            <w:pPr>
              <w:pStyle w:val="Tabletext"/>
              <w:rPr>
                <w:szCs w:val="18"/>
                <w:lang w:eastAsia="ja-JP"/>
              </w:rPr>
            </w:pPr>
            <w:r>
              <w:rPr>
                <w:szCs w:val="18"/>
                <w:lang w:eastAsia="ja-JP"/>
              </w:rPr>
              <w:t>Nodavirus</w:t>
            </w:r>
          </w:p>
        </w:tc>
        <w:tc>
          <w:tcPr>
            <w:tcW w:w="2334" w:type="dxa"/>
            <w:noWrap/>
            <w:hideMark/>
          </w:tcPr>
          <w:p w14:paraId="01BECB6C" w14:textId="77777777" w:rsidR="00CC703E" w:rsidRDefault="00E37FDB">
            <w:pPr>
              <w:pStyle w:val="Tabletext"/>
              <w:rPr>
                <w:szCs w:val="18"/>
                <w:lang w:eastAsia="ja-JP"/>
              </w:rPr>
            </w:pPr>
            <w:r>
              <w:rPr>
                <w:szCs w:val="18"/>
                <w:lang w:eastAsia="ja-JP"/>
              </w:rPr>
              <w:t>Queensland</w:t>
            </w:r>
          </w:p>
        </w:tc>
      </w:tr>
      <w:tr w:rsidR="00CC703E" w14:paraId="786E4D3C" w14:textId="77777777" w:rsidTr="00FC1687">
        <w:trPr>
          <w:cantSplit/>
        </w:trPr>
        <w:tc>
          <w:tcPr>
            <w:tcW w:w="1059" w:type="dxa"/>
            <w:vMerge/>
            <w:noWrap/>
            <w:hideMark/>
          </w:tcPr>
          <w:p w14:paraId="6E9F2C20" w14:textId="77777777" w:rsidR="00CC703E" w:rsidRDefault="00CC703E">
            <w:pPr>
              <w:pStyle w:val="Tabletext"/>
              <w:rPr>
                <w:szCs w:val="18"/>
                <w:lang w:eastAsia="ja-JP"/>
              </w:rPr>
            </w:pPr>
          </w:p>
        </w:tc>
        <w:tc>
          <w:tcPr>
            <w:tcW w:w="2268" w:type="dxa"/>
          </w:tcPr>
          <w:p w14:paraId="6B6CB073" w14:textId="77777777" w:rsidR="00CC703E" w:rsidRDefault="00E37FDB">
            <w:pPr>
              <w:pStyle w:val="Tabletext"/>
              <w:rPr>
                <w:szCs w:val="18"/>
                <w:lang w:eastAsia="ja-JP"/>
              </w:rPr>
            </w:pPr>
            <w:r>
              <w:rPr>
                <w:szCs w:val="18"/>
                <w:lang w:eastAsia="ja-JP"/>
              </w:rPr>
              <w:t>Atlantic salmon</w:t>
            </w:r>
          </w:p>
        </w:tc>
        <w:tc>
          <w:tcPr>
            <w:tcW w:w="3619" w:type="dxa"/>
            <w:noWrap/>
            <w:hideMark/>
          </w:tcPr>
          <w:p w14:paraId="43BA0A1D" w14:textId="77777777" w:rsidR="00CC703E" w:rsidRDefault="00E37FDB">
            <w:pPr>
              <w:pStyle w:val="Tabletext"/>
              <w:rPr>
                <w:szCs w:val="18"/>
                <w:lang w:eastAsia="ja-JP"/>
              </w:rPr>
            </w:pPr>
            <w:r>
              <w:rPr>
                <w:szCs w:val="18"/>
                <w:lang w:eastAsia="ja-JP"/>
              </w:rPr>
              <w:t>Aquareovirus</w:t>
            </w:r>
          </w:p>
        </w:tc>
        <w:tc>
          <w:tcPr>
            <w:tcW w:w="2334" w:type="dxa"/>
            <w:noWrap/>
            <w:hideMark/>
          </w:tcPr>
          <w:p w14:paraId="5322C863" w14:textId="77777777" w:rsidR="00CC703E" w:rsidRDefault="00E37FDB">
            <w:pPr>
              <w:pStyle w:val="Tabletext"/>
              <w:rPr>
                <w:szCs w:val="18"/>
                <w:lang w:eastAsia="ja-JP"/>
              </w:rPr>
            </w:pPr>
            <w:r>
              <w:rPr>
                <w:szCs w:val="18"/>
                <w:lang w:eastAsia="ja-JP"/>
              </w:rPr>
              <w:t>Tasmania</w:t>
            </w:r>
          </w:p>
        </w:tc>
      </w:tr>
      <w:tr w:rsidR="00CC703E" w14:paraId="02FBFD1D" w14:textId="77777777" w:rsidTr="00FC1687">
        <w:trPr>
          <w:cantSplit/>
        </w:trPr>
        <w:tc>
          <w:tcPr>
            <w:tcW w:w="1059" w:type="dxa"/>
            <w:vMerge/>
            <w:noWrap/>
            <w:hideMark/>
          </w:tcPr>
          <w:p w14:paraId="3A95FDBE" w14:textId="77777777" w:rsidR="00CC703E" w:rsidRDefault="00CC703E">
            <w:pPr>
              <w:pStyle w:val="Tabletext"/>
              <w:rPr>
                <w:szCs w:val="18"/>
                <w:lang w:eastAsia="ja-JP"/>
              </w:rPr>
            </w:pPr>
          </w:p>
        </w:tc>
        <w:tc>
          <w:tcPr>
            <w:tcW w:w="2268" w:type="dxa"/>
          </w:tcPr>
          <w:p w14:paraId="2734411C" w14:textId="77777777" w:rsidR="00CC703E" w:rsidRDefault="00E37FDB">
            <w:pPr>
              <w:pStyle w:val="Tabletext"/>
              <w:rPr>
                <w:i/>
                <w:szCs w:val="18"/>
                <w:lang w:eastAsia="ja-JP"/>
              </w:rPr>
            </w:pPr>
            <w:r>
              <w:rPr>
                <w:i/>
                <w:szCs w:val="18"/>
                <w:lang w:eastAsia="ja-JP"/>
              </w:rPr>
              <w:t>Penaeus merguiensis</w:t>
            </w:r>
          </w:p>
        </w:tc>
        <w:tc>
          <w:tcPr>
            <w:tcW w:w="3619" w:type="dxa"/>
            <w:noWrap/>
            <w:hideMark/>
          </w:tcPr>
          <w:p w14:paraId="1AB295E8" w14:textId="77777777" w:rsidR="00CC703E" w:rsidRDefault="00E37FDB">
            <w:pPr>
              <w:pStyle w:val="Tabletext"/>
              <w:rPr>
                <w:szCs w:val="18"/>
                <w:lang w:eastAsia="ja-JP"/>
              </w:rPr>
            </w:pPr>
            <w:r>
              <w:rPr>
                <w:szCs w:val="18"/>
                <w:lang w:eastAsia="ja-JP"/>
              </w:rPr>
              <w:t>Hepatopancreatic parvovirus</w:t>
            </w:r>
          </w:p>
        </w:tc>
        <w:tc>
          <w:tcPr>
            <w:tcW w:w="2334" w:type="dxa"/>
            <w:noWrap/>
            <w:hideMark/>
          </w:tcPr>
          <w:p w14:paraId="502DAABD" w14:textId="77777777" w:rsidR="00CC703E" w:rsidRDefault="00E37FDB">
            <w:pPr>
              <w:pStyle w:val="Tabletext"/>
              <w:rPr>
                <w:szCs w:val="18"/>
                <w:lang w:eastAsia="ja-JP"/>
              </w:rPr>
            </w:pPr>
            <w:r>
              <w:rPr>
                <w:szCs w:val="18"/>
                <w:lang w:eastAsia="ja-JP"/>
              </w:rPr>
              <w:t>Queensland</w:t>
            </w:r>
          </w:p>
        </w:tc>
      </w:tr>
      <w:tr w:rsidR="00CC703E" w14:paraId="2313B4B2" w14:textId="77777777" w:rsidTr="00FC1687">
        <w:trPr>
          <w:cantSplit/>
        </w:trPr>
        <w:tc>
          <w:tcPr>
            <w:tcW w:w="1059" w:type="dxa"/>
            <w:noWrap/>
            <w:hideMark/>
          </w:tcPr>
          <w:p w14:paraId="1829FCF5" w14:textId="77777777" w:rsidR="00CC703E" w:rsidRDefault="00E37FDB">
            <w:pPr>
              <w:pStyle w:val="Tabletext"/>
              <w:rPr>
                <w:szCs w:val="18"/>
                <w:lang w:eastAsia="ja-JP"/>
              </w:rPr>
            </w:pPr>
            <w:r>
              <w:rPr>
                <w:szCs w:val="18"/>
                <w:lang w:eastAsia="ja-JP"/>
              </w:rPr>
              <w:t>1988</w:t>
            </w:r>
          </w:p>
        </w:tc>
        <w:tc>
          <w:tcPr>
            <w:tcW w:w="2268" w:type="dxa"/>
          </w:tcPr>
          <w:p w14:paraId="1DD9F80F" w14:textId="77777777" w:rsidR="00CC703E" w:rsidRDefault="00E37FDB">
            <w:pPr>
              <w:pStyle w:val="Tabletext"/>
              <w:rPr>
                <w:szCs w:val="18"/>
                <w:lang w:eastAsia="ja-JP"/>
              </w:rPr>
            </w:pPr>
            <w:r>
              <w:rPr>
                <w:szCs w:val="18"/>
                <w:lang w:eastAsia="ja-JP"/>
              </w:rPr>
              <w:t>Trout</w:t>
            </w:r>
          </w:p>
        </w:tc>
        <w:tc>
          <w:tcPr>
            <w:tcW w:w="3619" w:type="dxa"/>
            <w:noWrap/>
            <w:hideMark/>
          </w:tcPr>
          <w:p w14:paraId="4E0E12A4" w14:textId="77777777" w:rsidR="00CC703E" w:rsidRDefault="00E37FDB">
            <w:pPr>
              <w:pStyle w:val="Tabletext"/>
              <w:rPr>
                <w:szCs w:val="18"/>
                <w:lang w:eastAsia="ja-JP"/>
              </w:rPr>
            </w:pPr>
            <w:r>
              <w:rPr>
                <w:szCs w:val="18"/>
                <w:lang w:eastAsia="ja-JP"/>
              </w:rPr>
              <w:t>Mycobacteriosis</w:t>
            </w:r>
          </w:p>
        </w:tc>
        <w:tc>
          <w:tcPr>
            <w:tcW w:w="2334" w:type="dxa"/>
            <w:noWrap/>
            <w:hideMark/>
          </w:tcPr>
          <w:p w14:paraId="0CEE0A74" w14:textId="77777777" w:rsidR="00CC703E" w:rsidRDefault="00E37FDB">
            <w:pPr>
              <w:pStyle w:val="Tabletext"/>
              <w:rPr>
                <w:szCs w:val="18"/>
                <w:lang w:eastAsia="ja-JP"/>
              </w:rPr>
            </w:pPr>
            <w:r>
              <w:rPr>
                <w:szCs w:val="18"/>
                <w:lang w:eastAsia="ja-JP"/>
              </w:rPr>
              <w:t>Victoria</w:t>
            </w:r>
          </w:p>
        </w:tc>
      </w:tr>
      <w:tr w:rsidR="00CC703E" w14:paraId="3544C8EE" w14:textId="77777777" w:rsidTr="00FC1687">
        <w:trPr>
          <w:cantSplit/>
        </w:trPr>
        <w:tc>
          <w:tcPr>
            <w:tcW w:w="1059" w:type="dxa"/>
            <w:noWrap/>
            <w:hideMark/>
          </w:tcPr>
          <w:p w14:paraId="4607DF1D" w14:textId="77777777" w:rsidR="00CC703E" w:rsidRDefault="00E37FDB">
            <w:pPr>
              <w:pStyle w:val="Tabletext"/>
              <w:rPr>
                <w:szCs w:val="18"/>
                <w:lang w:eastAsia="ja-JP"/>
              </w:rPr>
            </w:pPr>
            <w:r>
              <w:rPr>
                <w:szCs w:val="18"/>
                <w:lang w:eastAsia="ja-JP"/>
              </w:rPr>
              <w:t>1987</w:t>
            </w:r>
          </w:p>
        </w:tc>
        <w:tc>
          <w:tcPr>
            <w:tcW w:w="2268" w:type="dxa"/>
          </w:tcPr>
          <w:p w14:paraId="37073C32" w14:textId="77777777" w:rsidR="00CC703E" w:rsidRDefault="00E37FDB">
            <w:pPr>
              <w:pStyle w:val="Tabletext"/>
              <w:rPr>
                <w:i/>
                <w:szCs w:val="18"/>
                <w:lang w:eastAsia="ja-JP"/>
              </w:rPr>
            </w:pPr>
            <w:r>
              <w:rPr>
                <w:i/>
                <w:szCs w:val="18"/>
                <w:lang w:eastAsia="ja-JP"/>
              </w:rPr>
              <w:t>Penaeus plebejus</w:t>
            </w:r>
          </w:p>
        </w:tc>
        <w:tc>
          <w:tcPr>
            <w:tcW w:w="3619" w:type="dxa"/>
            <w:noWrap/>
            <w:hideMark/>
          </w:tcPr>
          <w:p w14:paraId="2B9D09C8" w14:textId="77777777" w:rsidR="00CC703E" w:rsidRDefault="00E37FDB">
            <w:pPr>
              <w:pStyle w:val="Tabletext"/>
              <w:rPr>
                <w:szCs w:val="18"/>
                <w:lang w:eastAsia="ja-JP"/>
              </w:rPr>
            </w:pPr>
            <w:r>
              <w:rPr>
                <w:szCs w:val="18"/>
                <w:lang w:eastAsia="ja-JP"/>
              </w:rPr>
              <w:t>Penaeus baculovirus</w:t>
            </w:r>
          </w:p>
        </w:tc>
        <w:tc>
          <w:tcPr>
            <w:tcW w:w="2334" w:type="dxa"/>
            <w:noWrap/>
            <w:hideMark/>
          </w:tcPr>
          <w:p w14:paraId="428CF94D" w14:textId="77777777" w:rsidR="00CC703E" w:rsidRDefault="00E37FDB">
            <w:pPr>
              <w:pStyle w:val="Tabletext"/>
              <w:rPr>
                <w:szCs w:val="18"/>
                <w:lang w:eastAsia="ja-JP"/>
              </w:rPr>
            </w:pPr>
            <w:r>
              <w:rPr>
                <w:szCs w:val="18"/>
                <w:lang w:eastAsia="ja-JP"/>
              </w:rPr>
              <w:t>Queensland</w:t>
            </w:r>
          </w:p>
        </w:tc>
      </w:tr>
      <w:tr w:rsidR="00CC703E" w14:paraId="76020566" w14:textId="77777777" w:rsidTr="00FC1687">
        <w:trPr>
          <w:cantSplit/>
        </w:trPr>
        <w:tc>
          <w:tcPr>
            <w:tcW w:w="1059" w:type="dxa"/>
            <w:noWrap/>
            <w:hideMark/>
          </w:tcPr>
          <w:p w14:paraId="2ADD10A7" w14:textId="77777777" w:rsidR="00CC703E" w:rsidRDefault="00E37FDB">
            <w:pPr>
              <w:pStyle w:val="Tabletext"/>
              <w:rPr>
                <w:szCs w:val="18"/>
                <w:lang w:eastAsia="ja-JP"/>
              </w:rPr>
            </w:pPr>
            <w:r>
              <w:rPr>
                <w:szCs w:val="18"/>
                <w:lang w:eastAsia="ja-JP"/>
              </w:rPr>
              <w:t>1986</w:t>
            </w:r>
          </w:p>
        </w:tc>
        <w:tc>
          <w:tcPr>
            <w:tcW w:w="2268" w:type="dxa"/>
          </w:tcPr>
          <w:p w14:paraId="7DD4A75D" w14:textId="77777777" w:rsidR="00CC703E" w:rsidRDefault="00E37FDB">
            <w:pPr>
              <w:pStyle w:val="Tabletext"/>
              <w:rPr>
                <w:szCs w:val="18"/>
                <w:lang w:eastAsia="ja-JP"/>
              </w:rPr>
            </w:pPr>
            <w:r>
              <w:rPr>
                <w:szCs w:val="18"/>
                <w:lang w:eastAsia="ja-JP"/>
              </w:rPr>
              <w:t>Atlantic salmon</w:t>
            </w:r>
          </w:p>
        </w:tc>
        <w:tc>
          <w:tcPr>
            <w:tcW w:w="3619" w:type="dxa"/>
            <w:noWrap/>
            <w:hideMark/>
          </w:tcPr>
          <w:p w14:paraId="62258CAD" w14:textId="77777777" w:rsidR="00CC703E" w:rsidRDefault="00E37FDB">
            <w:pPr>
              <w:pStyle w:val="Tabletext"/>
              <w:rPr>
                <w:szCs w:val="18"/>
                <w:lang w:eastAsia="ja-JP"/>
              </w:rPr>
            </w:pPr>
            <w:r>
              <w:rPr>
                <w:szCs w:val="18"/>
                <w:lang w:eastAsia="ja-JP"/>
              </w:rPr>
              <w:t>Amoebic gill disease</w:t>
            </w:r>
          </w:p>
        </w:tc>
        <w:tc>
          <w:tcPr>
            <w:tcW w:w="2334" w:type="dxa"/>
            <w:noWrap/>
            <w:hideMark/>
          </w:tcPr>
          <w:p w14:paraId="5592A648" w14:textId="77777777" w:rsidR="00CC703E" w:rsidRDefault="00E37FDB">
            <w:pPr>
              <w:pStyle w:val="Tabletext"/>
              <w:rPr>
                <w:szCs w:val="18"/>
                <w:lang w:eastAsia="ja-JP"/>
              </w:rPr>
            </w:pPr>
            <w:r>
              <w:rPr>
                <w:szCs w:val="18"/>
                <w:lang w:eastAsia="ja-JP"/>
              </w:rPr>
              <w:t>Tasmania</w:t>
            </w:r>
          </w:p>
        </w:tc>
      </w:tr>
      <w:tr w:rsidR="00CC703E" w14:paraId="07F4430E" w14:textId="77777777" w:rsidTr="00FC1687">
        <w:trPr>
          <w:cantSplit/>
        </w:trPr>
        <w:tc>
          <w:tcPr>
            <w:tcW w:w="1059" w:type="dxa"/>
            <w:noWrap/>
            <w:hideMark/>
          </w:tcPr>
          <w:p w14:paraId="469613D0" w14:textId="77777777" w:rsidR="00CC703E" w:rsidRDefault="00E37FDB">
            <w:pPr>
              <w:pStyle w:val="Tabletext"/>
              <w:rPr>
                <w:szCs w:val="18"/>
                <w:lang w:eastAsia="ja-JP"/>
              </w:rPr>
            </w:pPr>
            <w:r>
              <w:rPr>
                <w:szCs w:val="18"/>
                <w:lang w:val="en-US" w:eastAsia="ja-JP"/>
              </w:rPr>
              <w:t>1984</w:t>
            </w:r>
          </w:p>
        </w:tc>
        <w:tc>
          <w:tcPr>
            <w:tcW w:w="2268" w:type="dxa"/>
          </w:tcPr>
          <w:p w14:paraId="0682F2D9" w14:textId="77777777" w:rsidR="00CC703E" w:rsidRDefault="00E37FDB">
            <w:pPr>
              <w:pStyle w:val="Tabletext"/>
              <w:rPr>
                <w:szCs w:val="18"/>
                <w:lang w:eastAsia="ja-JP"/>
              </w:rPr>
            </w:pPr>
            <w:r>
              <w:rPr>
                <w:szCs w:val="18"/>
                <w:lang w:eastAsia="ja-JP"/>
              </w:rPr>
              <w:t>Redfin and rainbow trout</w:t>
            </w:r>
          </w:p>
        </w:tc>
        <w:tc>
          <w:tcPr>
            <w:tcW w:w="3619" w:type="dxa"/>
            <w:noWrap/>
            <w:hideMark/>
          </w:tcPr>
          <w:p w14:paraId="68AB31F7" w14:textId="77777777" w:rsidR="00CC703E" w:rsidRDefault="00E37FDB">
            <w:pPr>
              <w:pStyle w:val="Tabletext"/>
              <w:rPr>
                <w:szCs w:val="18"/>
                <w:lang w:eastAsia="ja-JP"/>
              </w:rPr>
            </w:pPr>
            <w:r>
              <w:rPr>
                <w:szCs w:val="18"/>
                <w:lang w:eastAsia="ja-JP"/>
              </w:rPr>
              <w:t>Epizootic haematopoietic necrosis virus</w:t>
            </w:r>
          </w:p>
        </w:tc>
        <w:tc>
          <w:tcPr>
            <w:tcW w:w="2334" w:type="dxa"/>
            <w:noWrap/>
            <w:hideMark/>
          </w:tcPr>
          <w:p w14:paraId="0AA8C758" w14:textId="77777777" w:rsidR="00CC703E" w:rsidRDefault="00E37FDB">
            <w:pPr>
              <w:pStyle w:val="Tabletext"/>
              <w:rPr>
                <w:szCs w:val="18"/>
                <w:lang w:eastAsia="ja-JP"/>
              </w:rPr>
            </w:pPr>
            <w:r>
              <w:rPr>
                <w:szCs w:val="18"/>
                <w:lang w:eastAsia="ja-JP"/>
              </w:rPr>
              <w:t>Victoria</w:t>
            </w:r>
          </w:p>
        </w:tc>
      </w:tr>
      <w:tr w:rsidR="00CC703E" w14:paraId="55DC8BF7" w14:textId="77777777" w:rsidTr="00FC1687">
        <w:trPr>
          <w:cantSplit/>
        </w:trPr>
        <w:tc>
          <w:tcPr>
            <w:tcW w:w="1059" w:type="dxa"/>
            <w:vMerge w:val="restart"/>
            <w:noWrap/>
            <w:hideMark/>
          </w:tcPr>
          <w:p w14:paraId="40BD1986" w14:textId="77777777" w:rsidR="00CC703E" w:rsidRDefault="00E37FDB">
            <w:pPr>
              <w:pStyle w:val="Tabletext"/>
              <w:rPr>
                <w:szCs w:val="18"/>
                <w:lang w:eastAsia="ja-JP"/>
              </w:rPr>
            </w:pPr>
            <w:r>
              <w:rPr>
                <w:szCs w:val="18"/>
                <w:lang w:eastAsia="ja-JP"/>
              </w:rPr>
              <w:t>1980s</w:t>
            </w:r>
          </w:p>
        </w:tc>
        <w:tc>
          <w:tcPr>
            <w:tcW w:w="2268" w:type="dxa"/>
          </w:tcPr>
          <w:p w14:paraId="3188EE51" w14:textId="77777777" w:rsidR="00CC703E" w:rsidRDefault="00E37FDB">
            <w:pPr>
              <w:pStyle w:val="Tabletext"/>
              <w:rPr>
                <w:szCs w:val="18"/>
                <w:lang w:eastAsia="ja-JP"/>
              </w:rPr>
            </w:pPr>
            <w:r>
              <w:rPr>
                <w:szCs w:val="18"/>
                <w:lang w:eastAsia="ja-JP"/>
              </w:rPr>
              <w:t>Abalone</w:t>
            </w:r>
          </w:p>
        </w:tc>
        <w:tc>
          <w:tcPr>
            <w:tcW w:w="3619" w:type="dxa"/>
            <w:noWrap/>
            <w:hideMark/>
          </w:tcPr>
          <w:p w14:paraId="6D2B5B96" w14:textId="77777777" w:rsidR="00CC703E" w:rsidRDefault="00E37FDB">
            <w:pPr>
              <w:pStyle w:val="Tabletext"/>
              <w:rPr>
                <w:szCs w:val="18"/>
                <w:lang w:eastAsia="ja-JP"/>
              </w:rPr>
            </w:pPr>
            <w:r>
              <w:rPr>
                <w:i/>
                <w:szCs w:val="18"/>
                <w:lang w:eastAsia="ja-JP"/>
              </w:rPr>
              <w:t>Perkinsus</w:t>
            </w:r>
            <w:r>
              <w:rPr>
                <w:szCs w:val="18"/>
                <w:lang w:eastAsia="ja-JP"/>
              </w:rPr>
              <w:t xml:space="preserve"> sp.</w:t>
            </w:r>
          </w:p>
        </w:tc>
        <w:tc>
          <w:tcPr>
            <w:tcW w:w="2334" w:type="dxa"/>
            <w:noWrap/>
            <w:hideMark/>
          </w:tcPr>
          <w:p w14:paraId="3365723E" w14:textId="77777777" w:rsidR="00CC703E" w:rsidRDefault="00E37FDB">
            <w:pPr>
              <w:pStyle w:val="Tabletext"/>
              <w:rPr>
                <w:szCs w:val="18"/>
                <w:lang w:eastAsia="ja-JP"/>
              </w:rPr>
            </w:pPr>
            <w:r>
              <w:rPr>
                <w:szCs w:val="18"/>
                <w:lang w:eastAsia="ja-JP"/>
              </w:rPr>
              <w:t>New South Wales</w:t>
            </w:r>
          </w:p>
        </w:tc>
      </w:tr>
      <w:tr w:rsidR="00CC703E" w14:paraId="2685B019" w14:textId="77777777" w:rsidTr="00FC1687">
        <w:trPr>
          <w:cantSplit/>
        </w:trPr>
        <w:tc>
          <w:tcPr>
            <w:tcW w:w="1059" w:type="dxa"/>
            <w:vMerge/>
            <w:noWrap/>
            <w:hideMark/>
          </w:tcPr>
          <w:p w14:paraId="08F25B99" w14:textId="77777777" w:rsidR="00CC703E" w:rsidRDefault="00CC703E">
            <w:pPr>
              <w:pStyle w:val="Tabletext"/>
              <w:rPr>
                <w:szCs w:val="18"/>
                <w:lang w:eastAsia="ja-JP"/>
              </w:rPr>
            </w:pPr>
          </w:p>
        </w:tc>
        <w:tc>
          <w:tcPr>
            <w:tcW w:w="2268" w:type="dxa"/>
          </w:tcPr>
          <w:p w14:paraId="54B0C064" w14:textId="77777777" w:rsidR="00CC703E" w:rsidRDefault="00E37FDB">
            <w:pPr>
              <w:pStyle w:val="Tabletext"/>
              <w:rPr>
                <w:szCs w:val="18"/>
                <w:lang w:eastAsia="ja-JP"/>
              </w:rPr>
            </w:pPr>
            <w:r>
              <w:rPr>
                <w:szCs w:val="18"/>
                <w:lang w:eastAsia="ja-JP"/>
              </w:rPr>
              <w:t>Oysters</w:t>
            </w:r>
          </w:p>
        </w:tc>
        <w:tc>
          <w:tcPr>
            <w:tcW w:w="3619" w:type="dxa"/>
            <w:noWrap/>
            <w:hideMark/>
          </w:tcPr>
          <w:p w14:paraId="1BD1A4EE" w14:textId="77777777" w:rsidR="00CC703E" w:rsidRDefault="00E37FDB">
            <w:pPr>
              <w:pStyle w:val="Tabletext"/>
              <w:rPr>
                <w:szCs w:val="18"/>
                <w:lang w:eastAsia="ja-JP"/>
              </w:rPr>
            </w:pPr>
            <w:r>
              <w:rPr>
                <w:i/>
                <w:szCs w:val="18"/>
                <w:lang w:eastAsia="ja-JP"/>
              </w:rPr>
              <w:t>Marteilia sydneyi</w:t>
            </w:r>
          </w:p>
        </w:tc>
        <w:tc>
          <w:tcPr>
            <w:tcW w:w="2334" w:type="dxa"/>
            <w:noWrap/>
            <w:hideMark/>
          </w:tcPr>
          <w:p w14:paraId="54B107D1" w14:textId="77777777" w:rsidR="00CC703E" w:rsidRDefault="00E37FDB">
            <w:pPr>
              <w:pStyle w:val="Tabletext"/>
              <w:rPr>
                <w:szCs w:val="18"/>
                <w:lang w:eastAsia="ja-JP"/>
              </w:rPr>
            </w:pPr>
            <w:r>
              <w:rPr>
                <w:szCs w:val="18"/>
                <w:lang w:eastAsia="ja-JP"/>
              </w:rPr>
              <w:t>New South Wales</w:t>
            </w:r>
          </w:p>
        </w:tc>
      </w:tr>
      <w:tr w:rsidR="00CC703E" w14:paraId="0B08D5CA" w14:textId="77777777" w:rsidTr="00FC1687">
        <w:trPr>
          <w:cantSplit/>
        </w:trPr>
        <w:tc>
          <w:tcPr>
            <w:tcW w:w="1059" w:type="dxa"/>
            <w:vMerge/>
            <w:noWrap/>
            <w:hideMark/>
          </w:tcPr>
          <w:p w14:paraId="71C17A62" w14:textId="77777777" w:rsidR="00CC703E" w:rsidRDefault="00CC703E">
            <w:pPr>
              <w:pStyle w:val="Tabletext"/>
              <w:rPr>
                <w:szCs w:val="18"/>
                <w:lang w:eastAsia="ja-JP"/>
              </w:rPr>
            </w:pPr>
          </w:p>
        </w:tc>
        <w:tc>
          <w:tcPr>
            <w:tcW w:w="2268" w:type="dxa"/>
          </w:tcPr>
          <w:p w14:paraId="2680F07F" w14:textId="77777777" w:rsidR="00CC703E" w:rsidRDefault="00E37FDB">
            <w:pPr>
              <w:pStyle w:val="Tabletext"/>
              <w:rPr>
                <w:szCs w:val="18"/>
                <w:lang w:eastAsia="ja-JP"/>
              </w:rPr>
            </w:pPr>
            <w:r>
              <w:rPr>
                <w:szCs w:val="18"/>
                <w:lang w:eastAsia="ja-JP"/>
              </w:rPr>
              <w:t>Pearl oysters</w:t>
            </w:r>
          </w:p>
        </w:tc>
        <w:tc>
          <w:tcPr>
            <w:tcW w:w="3619" w:type="dxa"/>
            <w:noWrap/>
            <w:hideMark/>
          </w:tcPr>
          <w:p w14:paraId="3B970B62" w14:textId="77777777" w:rsidR="00CC703E" w:rsidRDefault="00E37FDB">
            <w:pPr>
              <w:pStyle w:val="Tabletext"/>
              <w:rPr>
                <w:szCs w:val="18"/>
                <w:lang w:eastAsia="ja-JP"/>
              </w:rPr>
            </w:pPr>
            <w:r>
              <w:rPr>
                <w:szCs w:val="18"/>
                <w:lang w:eastAsia="ja-JP"/>
              </w:rPr>
              <w:t>Vibriosis</w:t>
            </w:r>
          </w:p>
        </w:tc>
        <w:tc>
          <w:tcPr>
            <w:tcW w:w="2334" w:type="dxa"/>
            <w:noWrap/>
            <w:hideMark/>
          </w:tcPr>
          <w:p w14:paraId="2C9C80E0" w14:textId="77777777" w:rsidR="00CC703E" w:rsidRDefault="00E37FDB">
            <w:pPr>
              <w:pStyle w:val="Tabletext"/>
              <w:rPr>
                <w:szCs w:val="18"/>
                <w:lang w:eastAsia="ja-JP"/>
              </w:rPr>
            </w:pPr>
            <w:r>
              <w:rPr>
                <w:szCs w:val="18"/>
                <w:lang w:eastAsia="ja-JP"/>
              </w:rPr>
              <w:t>Western Australia</w:t>
            </w:r>
          </w:p>
        </w:tc>
      </w:tr>
      <w:tr w:rsidR="00CC703E" w14:paraId="03C6A572" w14:textId="77777777" w:rsidTr="00FC1687">
        <w:trPr>
          <w:cantSplit/>
        </w:trPr>
        <w:tc>
          <w:tcPr>
            <w:tcW w:w="1059" w:type="dxa"/>
            <w:vMerge/>
            <w:noWrap/>
            <w:hideMark/>
          </w:tcPr>
          <w:p w14:paraId="6CFE53A3" w14:textId="77777777" w:rsidR="00CC703E" w:rsidRDefault="00CC703E">
            <w:pPr>
              <w:pStyle w:val="Tabletext"/>
              <w:rPr>
                <w:szCs w:val="18"/>
                <w:lang w:eastAsia="ja-JP"/>
              </w:rPr>
            </w:pPr>
          </w:p>
        </w:tc>
        <w:tc>
          <w:tcPr>
            <w:tcW w:w="2268" w:type="dxa"/>
          </w:tcPr>
          <w:p w14:paraId="73DB8953" w14:textId="77777777" w:rsidR="00CC703E" w:rsidRDefault="00E37FDB">
            <w:pPr>
              <w:pStyle w:val="Tabletext"/>
              <w:rPr>
                <w:szCs w:val="18"/>
                <w:lang w:eastAsia="ja-JP"/>
              </w:rPr>
            </w:pPr>
            <w:r>
              <w:rPr>
                <w:szCs w:val="18"/>
                <w:lang w:eastAsia="ja-JP"/>
              </w:rPr>
              <w:t>Salmonids</w:t>
            </w:r>
          </w:p>
        </w:tc>
        <w:tc>
          <w:tcPr>
            <w:tcW w:w="3619" w:type="dxa"/>
            <w:noWrap/>
            <w:hideMark/>
          </w:tcPr>
          <w:p w14:paraId="483031C2" w14:textId="77777777" w:rsidR="00CC703E" w:rsidRDefault="00E37FDB">
            <w:pPr>
              <w:pStyle w:val="Tabletext"/>
              <w:rPr>
                <w:szCs w:val="18"/>
                <w:lang w:eastAsia="ja-JP"/>
              </w:rPr>
            </w:pPr>
            <w:r>
              <w:rPr>
                <w:i/>
                <w:szCs w:val="18"/>
                <w:lang w:eastAsia="ja-JP"/>
              </w:rPr>
              <w:t>Flexibacter</w:t>
            </w:r>
            <w:r>
              <w:rPr>
                <w:szCs w:val="18"/>
                <w:lang w:eastAsia="ja-JP"/>
              </w:rPr>
              <w:t xml:space="preserve">, </w:t>
            </w:r>
            <w:r>
              <w:rPr>
                <w:i/>
                <w:szCs w:val="18"/>
                <w:lang w:eastAsia="ja-JP"/>
              </w:rPr>
              <w:t>Yersinia ruckeri</w:t>
            </w:r>
            <w:r>
              <w:rPr>
                <w:szCs w:val="18"/>
                <w:lang w:eastAsia="ja-JP"/>
              </w:rPr>
              <w:t xml:space="preserve">, </w:t>
            </w:r>
            <w:r>
              <w:rPr>
                <w:i/>
                <w:szCs w:val="18"/>
                <w:lang w:eastAsia="ja-JP"/>
              </w:rPr>
              <w:t>Vibrio</w:t>
            </w:r>
          </w:p>
        </w:tc>
        <w:tc>
          <w:tcPr>
            <w:tcW w:w="2334" w:type="dxa"/>
            <w:noWrap/>
            <w:hideMark/>
          </w:tcPr>
          <w:p w14:paraId="7BF1BC02" w14:textId="77777777" w:rsidR="00CC703E" w:rsidRDefault="00E37FDB">
            <w:pPr>
              <w:pStyle w:val="Tabletext"/>
              <w:rPr>
                <w:szCs w:val="18"/>
                <w:lang w:eastAsia="ja-JP"/>
              </w:rPr>
            </w:pPr>
            <w:r>
              <w:rPr>
                <w:szCs w:val="18"/>
                <w:lang w:eastAsia="ja-JP"/>
              </w:rPr>
              <w:t>Tasmania</w:t>
            </w:r>
          </w:p>
        </w:tc>
      </w:tr>
      <w:tr w:rsidR="00CC703E" w14:paraId="38CE793C" w14:textId="77777777" w:rsidTr="00FC1687">
        <w:trPr>
          <w:cantSplit/>
        </w:trPr>
        <w:tc>
          <w:tcPr>
            <w:tcW w:w="1059" w:type="dxa"/>
            <w:noWrap/>
            <w:hideMark/>
          </w:tcPr>
          <w:p w14:paraId="76C5BEAF" w14:textId="77777777" w:rsidR="00CC703E" w:rsidRDefault="00E37FDB">
            <w:pPr>
              <w:pStyle w:val="Tabletext"/>
              <w:rPr>
                <w:szCs w:val="18"/>
                <w:lang w:eastAsia="ja-JP"/>
              </w:rPr>
            </w:pPr>
            <w:r>
              <w:rPr>
                <w:szCs w:val="18"/>
                <w:lang w:eastAsia="ja-JP"/>
              </w:rPr>
              <w:t>1980</w:t>
            </w:r>
          </w:p>
        </w:tc>
        <w:tc>
          <w:tcPr>
            <w:tcW w:w="2268" w:type="dxa"/>
          </w:tcPr>
          <w:p w14:paraId="1B31293A" w14:textId="77777777" w:rsidR="00CC703E" w:rsidRDefault="00E37FDB">
            <w:pPr>
              <w:pStyle w:val="Tabletext"/>
              <w:rPr>
                <w:szCs w:val="18"/>
                <w:lang w:eastAsia="ja-JP"/>
              </w:rPr>
            </w:pPr>
            <w:r>
              <w:rPr>
                <w:szCs w:val="18"/>
                <w:lang w:eastAsia="ja-JP"/>
              </w:rPr>
              <w:t>Goldfish</w:t>
            </w:r>
          </w:p>
        </w:tc>
        <w:tc>
          <w:tcPr>
            <w:tcW w:w="3619" w:type="dxa"/>
            <w:noWrap/>
            <w:hideMark/>
          </w:tcPr>
          <w:p w14:paraId="48074E0B" w14:textId="028C5C8F" w:rsidR="00CC703E" w:rsidRDefault="00E37FDB">
            <w:pPr>
              <w:pStyle w:val="Tabletext"/>
              <w:rPr>
                <w:szCs w:val="18"/>
                <w:lang w:eastAsia="ja-JP"/>
              </w:rPr>
            </w:pPr>
            <w:r>
              <w:rPr>
                <w:szCs w:val="18"/>
                <w:lang w:eastAsia="ja-JP"/>
              </w:rPr>
              <w:t xml:space="preserve">Goldfish ulcer disease (atypical </w:t>
            </w:r>
            <w:r>
              <w:rPr>
                <w:i/>
                <w:szCs w:val="18"/>
                <w:lang w:eastAsia="ja-JP"/>
              </w:rPr>
              <w:t>Aeromonas salmonicida</w:t>
            </w:r>
            <w:r>
              <w:rPr>
                <w:szCs w:val="18"/>
                <w:lang w:eastAsia="ja-JP"/>
              </w:rPr>
              <w:t>)</w:t>
            </w:r>
          </w:p>
        </w:tc>
        <w:tc>
          <w:tcPr>
            <w:tcW w:w="2334" w:type="dxa"/>
            <w:noWrap/>
            <w:hideMark/>
          </w:tcPr>
          <w:p w14:paraId="5B49C9C5" w14:textId="77777777" w:rsidR="00CC703E" w:rsidRDefault="00E37FDB">
            <w:pPr>
              <w:pStyle w:val="Tabletext"/>
              <w:rPr>
                <w:szCs w:val="18"/>
                <w:lang w:eastAsia="ja-JP"/>
              </w:rPr>
            </w:pPr>
            <w:r>
              <w:rPr>
                <w:szCs w:val="18"/>
                <w:lang w:eastAsia="ja-JP"/>
              </w:rPr>
              <w:t>Victoria</w:t>
            </w:r>
          </w:p>
        </w:tc>
      </w:tr>
      <w:tr w:rsidR="00CC703E" w14:paraId="4BE80847" w14:textId="77777777" w:rsidTr="00FC1687">
        <w:trPr>
          <w:cantSplit/>
        </w:trPr>
        <w:tc>
          <w:tcPr>
            <w:tcW w:w="1059" w:type="dxa"/>
            <w:noWrap/>
            <w:hideMark/>
          </w:tcPr>
          <w:p w14:paraId="640DD780" w14:textId="77777777" w:rsidR="00CC703E" w:rsidRDefault="00E37FDB">
            <w:pPr>
              <w:pStyle w:val="Tabletext"/>
              <w:rPr>
                <w:szCs w:val="18"/>
                <w:lang w:eastAsia="ja-JP"/>
              </w:rPr>
            </w:pPr>
            <w:r>
              <w:rPr>
                <w:szCs w:val="18"/>
                <w:lang w:eastAsia="ja-JP"/>
              </w:rPr>
              <w:t>1970</w:t>
            </w:r>
          </w:p>
        </w:tc>
        <w:tc>
          <w:tcPr>
            <w:tcW w:w="2268" w:type="dxa"/>
          </w:tcPr>
          <w:p w14:paraId="02112823" w14:textId="77777777" w:rsidR="00CC703E" w:rsidRDefault="00E37FDB">
            <w:pPr>
              <w:pStyle w:val="Tabletext"/>
              <w:rPr>
                <w:szCs w:val="18"/>
                <w:lang w:eastAsia="ja-JP"/>
              </w:rPr>
            </w:pPr>
            <w:r>
              <w:rPr>
                <w:szCs w:val="18"/>
                <w:lang w:eastAsia="ja-JP"/>
              </w:rPr>
              <w:t>Finfish</w:t>
            </w:r>
          </w:p>
        </w:tc>
        <w:tc>
          <w:tcPr>
            <w:tcW w:w="3619" w:type="dxa"/>
            <w:noWrap/>
            <w:hideMark/>
          </w:tcPr>
          <w:p w14:paraId="673D8A00" w14:textId="77777777" w:rsidR="00CC703E" w:rsidRDefault="00E37FDB">
            <w:pPr>
              <w:pStyle w:val="Tabletext"/>
              <w:rPr>
                <w:szCs w:val="18"/>
                <w:lang w:eastAsia="ja-JP"/>
              </w:rPr>
            </w:pPr>
            <w:r>
              <w:rPr>
                <w:szCs w:val="18"/>
                <w:lang w:eastAsia="ja-JP"/>
              </w:rPr>
              <w:t>Epizootic ulcerative syndrome (fungal infection)</w:t>
            </w:r>
          </w:p>
        </w:tc>
        <w:tc>
          <w:tcPr>
            <w:tcW w:w="2334" w:type="dxa"/>
            <w:noWrap/>
            <w:hideMark/>
          </w:tcPr>
          <w:p w14:paraId="3EE40030" w14:textId="5DC799DD" w:rsidR="00CC703E" w:rsidRDefault="00E37FDB">
            <w:pPr>
              <w:pStyle w:val="Tabletext"/>
              <w:rPr>
                <w:szCs w:val="18"/>
                <w:lang w:eastAsia="ja-JP"/>
              </w:rPr>
            </w:pPr>
            <w:r>
              <w:rPr>
                <w:szCs w:val="18"/>
                <w:lang w:eastAsia="ja-JP"/>
              </w:rPr>
              <w:t>New South Wales, Northern Territory, Queensland, Victoria, South Australia and Western Australia</w:t>
            </w:r>
          </w:p>
        </w:tc>
      </w:tr>
    </w:tbl>
    <w:p w14:paraId="1F9279A4" w14:textId="4D668ACE" w:rsidR="00CC703E" w:rsidRDefault="00E37FDB" w:rsidP="00E66255">
      <w:pPr>
        <w:pStyle w:val="FigureTableNoteSource"/>
        <w:rPr>
          <w:szCs w:val="18"/>
          <w:lang w:eastAsia="ja-JP"/>
        </w:rPr>
      </w:pPr>
      <w:r>
        <w:rPr>
          <w:szCs w:val="18"/>
          <w:lang w:eastAsia="ja-JP"/>
        </w:rPr>
        <w:t xml:space="preserve">Source: </w:t>
      </w:r>
      <w:r w:rsidRPr="00E66255">
        <w:t>University of Queensland Centre for Marine Science</w:t>
      </w:r>
    </w:p>
    <w:p w14:paraId="515146FE" w14:textId="1475F66F" w:rsidR="00CC703E" w:rsidRDefault="00E37FDB" w:rsidP="00FC1687">
      <w:pPr>
        <w:pStyle w:val="Heading2"/>
        <w:numPr>
          <w:ilvl w:val="0"/>
          <w:numId w:val="0"/>
        </w:numPr>
        <w:ind w:left="907" w:hanging="907"/>
        <w:rPr>
          <w:szCs w:val="24"/>
        </w:rPr>
      </w:pPr>
      <w:bookmarkStart w:id="363" w:name="_Toc500508459"/>
      <w:r>
        <w:lastRenderedPageBreak/>
        <w:t>Glossary</w:t>
      </w:r>
      <w:bookmarkEnd w:id="363"/>
    </w:p>
    <w:tbl>
      <w:tblPr>
        <w:tblW w:w="0" w:type="auto"/>
        <w:tblBorders>
          <w:top w:val="single" w:sz="4" w:space="0" w:color="auto"/>
          <w:bottom w:val="single" w:sz="4" w:space="0" w:color="auto"/>
        </w:tblBorders>
        <w:tblLayout w:type="fixed"/>
        <w:tblLook w:val="0000" w:firstRow="0" w:lastRow="0" w:firstColumn="0" w:lastColumn="0" w:noHBand="0" w:noVBand="0"/>
      </w:tblPr>
      <w:tblGrid>
        <w:gridCol w:w="2410"/>
        <w:gridCol w:w="6816"/>
      </w:tblGrid>
      <w:tr w:rsidR="00CC703E" w14:paraId="73DDDF20" w14:textId="77777777" w:rsidTr="00FC1687">
        <w:trPr>
          <w:cantSplit/>
          <w:tblHeader/>
        </w:trPr>
        <w:tc>
          <w:tcPr>
            <w:tcW w:w="2410" w:type="dxa"/>
            <w:tcBorders>
              <w:top w:val="single" w:sz="4" w:space="0" w:color="auto"/>
              <w:bottom w:val="single" w:sz="4" w:space="0" w:color="auto"/>
            </w:tcBorders>
          </w:tcPr>
          <w:p w14:paraId="45E3652D" w14:textId="77777777" w:rsidR="00CC703E" w:rsidRPr="00934A25" w:rsidRDefault="00E37FDB" w:rsidP="00934A25">
            <w:pPr>
              <w:pStyle w:val="Tableheading"/>
            </w:pPr>
            <w:r w:rsidRPr="00934A25">
              <w:t>Term</w:t>
            </w:r>
          </w:p>
        </w:tc>
        <w:tc>
          <w:tcPr>
            <w:tcW w:w="6816" w:type="dxa"/>
            <w:tcBorders>
              <w:top w:val="single" w:sz="4" w:space="0" w:color="auto"/>
              <w:bottom w:val="single" w:sz="4" w:space="0" w:color="auto"/>
            </w:tcBorders>
          </w:tcPr>
          <w:p w14:paraId="3FAD3BDA" w14:textId="77777777" w:rsidR="00CC703E" w:rsidRPr="00934A25" w:rsidRDefault="00E37FDB" w:rsidP="00934A25">
            <w:pPr>
              <w:pStyle w:val="Tableheading"/>
            </w:pPr>
            <w:r w:rsidRPr="00934A25">
              <w:t>Definition</w:t>
            </w:r>
          </w:p>
        </w:tc>
      </w:tr>
      <w:tr w:rsidR="00CC703E" w14:paraId="776C7F12" w14:textId="77777777" w:rsidTr="00FC1687">
        <w:trPr>
          <w:cantSplit/>
          <w:trHeight w:val="379"/>
        </w:trPr>
        <w:tc>
          <w:tcPr>
            <w:tcW w:w="2410" w:type="dxa"/>
            <w:tcBorders>
              <w:top w:val="single" w:sz="4" w:space="0" w:color="auto"/>
            </w:tcBorders>
          </w:tcPr>
          <w:p w14:paraId="21C5D307" w14:textId="77777777" w:rsidR="00CC703E" w:rsidRDefault="00E37FDB">
            <w:pPr>
              <w:pStyle w:val="Tabletext"/>
            </w:pPr>
            <w:r>
              <w:t>1IP</w:t>
            </w:r>
          </w:p>
        </w:tc>
        <w:tc>
          <w:tcPr>
            <w:tcW w:w="6816" w:type="dxa"/>
            <w:tcBorders>
              <w:top w:val="single" w:sz="4" w:space="0" w:color="auto"/>
            </w:tcBorders>
          </w:tcPr>
          <w:p w14:paraId="3D3D6585" w14:textId="300BADA3" w:rsidR="00CC703E" w:rsidRDefault="00E37FDB">
            <w:pPr>
              <w:pStyle w:val="Tabletext"/>
            </w:pPr>
            <w:r>
              <w:t>First infected premises on Logan River, Queensland (first signs of pra</w:t>
            </w:r>
            <w:r w:rsidR="005C1675">
              <w:t>wn mortality 22 November 2016).</w:t>
            </w:r>
          </w:p>
        </w:tc>
      </w:tr>
      <w:tr w:rsidR="00CC703E" w14:paraId="2A7A7946" w14:textId="77777777">
        <w:trPr>
          <w:cantSplit/>
          <w:trHeight w:val="379"/>
        </w:trPr>
        <w:tc>
          <w:tcPr>
            <w:tcW w:w="2410" w:type="dxa"/>
          </w:tcPr>
          <w:p w14:paraId="1853DAFD" w14:textId="77777777" w:rsidR="00CC703E" w:rsidRDefault="00E37FDB">
            <w:pPr>
              <w:pStyle w:val="Tabletext"/>
            </w:pPr>
            <w:r>
              <w:t>2IP</w:t>
            </w:r>
          </w:p>
        </w:tc>
        <w:tc>
          <w:tcPr>
            <w:tcW w:w="6816" w:type="dxa"/>
          </w:tcPr>
          <w:p w14:paraId="6404E2B7" w14:textId="1DC6665C" w:rsidR="00CC703E" w:rsidRDefault="00E37FDB" w:rsidP="005C1675">
            <w:pPr>
              <w:pStyle w:val="Tabletext"/>
            </w:pPr>
            <w:r>
              <w:t>Infected premises on Logan River, Queensland (tested positive for white spot syndrome virus 14 December 2016).</w:t>
            </w:r>
          </w:p>
        </w:tc>
      </w:tr>
      <w:tr w:rsidR="00CC703E" w14:paraId="4BAB80B9" w14:textId="77777777">
        <w:trPr>
          <w:cantSplit/>
          <w:trHeight w:val="379"/>
        </w:trPr>
        <w:tc>
          <w:tcPr>
            <w:tcW w:w="2410" w:type="dxa"/>
          </w:tcPr>
          <w:p w14:paraId="378B3065" w14:textId="77777777" w:rsidR="00CC703E" w:rsidRDefault="00E37FDB">
            <w:pPr>
              <w:pStyle w:val="Tabletext"/>
            </w:pPr>
            <w:r>
              <w:t>3IP</w:t>
            </w:r>
          </w:p>
        </w:tc>
        <w:tc>
          <w:tcPr>
            <w:tcW w:w="6816" w:type="dxa"/>
          </w:tcPr>
          <w:p w14:paraId="71CC74D8" w14:textId="5F519E74" w:rsidR="00CC703E" w:rsidRDefault="00E37FDB" w:rsidP="005C1675">
            <w:pPr>
              <w:pStyle w:val="Tabletext"/>
            </w:pPr>
            <w:r>
              <w:t xml:space="preserve">Infected premises on Logan River, Queensland (tested positive for white spot syndrome virus 6 December 2016). </w:t>
            </w:r>
          </w:p>
        </w:tc>
      </w:tr>
      <w:tr w:rsidR="00CC703E" w14:paraId="2AE76D94" w14:textId="77777777">
        <w:trPr>
          <w:cantSplit/>
          <w:trHeight w:val="379"/>
        </w:trPr>
        <w:tc>
          <w:tcPr>
            <w:tcW w:w="2410" w:type="dxa"/>
          </w:tcPr>
          <w:p w14:paraId="0D761599" w14:textId="77777777" w:rsidR="00CC703E" w:rsidRDefault="00E37FDB">
            <w:pPr>
              <w:pStyle w:val="Tabletext"/>
            </w:pPr>
            <w:r>
              <w:t>4IP</w:t>
            </w:r>
          </w:p>
        </w:tc>
        <w:tc>
          <w:tcPr>
            <w:tcW w:w="6816" w:type="dxa"/>
          </w:tcPr>
          <w:p w14:paraId="062740A3" w14:textId="5938A979" w:rsidR="00CC703E" w:rsidRDefault="00E37FDB">
            <w:pPr>
              <w:pStyle w:val="Tabletext"/>
            </w:pPr>
            <w:r>
              <w:t>Infected premises on Logan River, Queensland (tested positive for white spot syndrome virus 9 December 2016).</w:t>
            </w:r>
          </w:p>
        </w:tc>
      </w:tr>
      <w:tr w:rsidR="00CC703E" w14:paraId="256549EF" w14:textId="77777777">
        <w:trPr>
          <w:cantSplit/>
          <w:trHeight w:val="379"/>
        </w:trPr>
        <w:tc>
          <w:tcPr>
            <w:tcW w:w="2410" w:type="dxa"/>
          </w:tcPr>
          <w:p w14:paraId="0B63A1BB" w14:textId="77777777" w:rsidR="00CC703E" w:rsidRDefault="00E37FDB">
            <w:pPr>
              <w:pStyle w:val="Tabletext"/>
            </w:pPr>
            <w:r>
              <w:t>5IP</w:t>
            </w:r>
          </w:p>
        </w:tc>
        <w:tc>
          <w:tcPr>
            <w:tcW w:w="6816" w:type="dxa"/>
          </w:tcPr>
          <w:p w14:paraId="08404A0B" w14:textId="6284D1DA" w:rsidR="00CC703E" w:rsidRDefault="00E37FDB">
            <w:pPr>
              <w:pStyle w:val="Tabletext"/>
            </w:pPr>
            <w:r>
              <w:t>Infected premises on Logan River, Queensland (tested positive for white spot sy</w:t>
            </w:r>
            <w:r w:rsidR="005C1675">
              <w:t>ndrome virus 29 December 2016).</w:t>
            </w:r>
          </w:p>
        </w:tc>
      </w:tr>
      <w:tr w:rsidR="00CC703E" w14:paraId="54E16419" w14:textId="77777777">
        <w:trPr>
          <w:cantSplit/>
          <w:trHeight w:val="379"/>
        </w:trPr>
        <w:tc>
          <w:tcPr>
            <w:tcW w:w="2410" w:type="dxa"/>
          </w:tcPr>
          <w:p w14:paraId="39D229AB" w14:textId="77777777" w:rsidR="00CC703E" w:rsidRDefault="00E37FDB">
            <w:pPr>
              <w:pStyle w:val="Tabletext"/>
            </w:pPr>
            <w:r>
              <w:t>6ARP</w:t>
            </w:r>
          </w:p>
        </w:tc>
        <w:tc>
          <w:tcPr>
            <w:tcW w:w="6816" w:type="dxa"/>
          </w:tcPr>
          <w:p w14:paraId="4E9568C6" w14:textId="1C738A63" w:rsidR="00CC703E" w:rsidRDefault="00E37FDB">
            <w:pPr>
              <w:pStyle w:val="Tabletext"/>
            </w:pPr>
            <w:r>
              <w:t xml:space="preserve">Hatchery </w:t>
            </w:r>
            <w:r w:rsidR="00F9575C">
              <w:t>on Logan River, Queensland</w:t>
            </w:r>
            <w:r>
              <w:t>. Not in production at time of Logan River WSSV incursion. Not confirmed as infected with white spot syndrome virus (WSSV) but is an ‘at risk premises’.</w:t>
            </w:r>
          </w:p>
        </w:tc>
      </w:tr>
      <w:tr w:rsidR="00CC703E" w14:paraId="2F8A04E0" w14:textId="77777777">
        <w:trPr>
          <w:cantSplit/>
          <w:trHeight w:val="379"/>
        </w:trPr>
        <w:tc>
          <w:tcPr>
            <w:tcW w:w="2410" w:type="dxa"/>
          </w:tcPr>
          <w:p w14:paraId="65C9E9B2" w14:textId="77777777" w:rsidR="00CC703E" w:rsidRDefault="00E37FDB">
            <w:pPr>
              <w:pStyle w:val="Tabletext"/>
            </w:pPr>
            <w:r>
              <w:t>7IP</w:t>
            </w:r>
          </w:p>
        </w:tc>
        <w:tc>
          <w:tcPr>
            <w:tcW w:w="6816" w:type="dxa"/>
          </w:tcPr>
          <w:p w14:paraId="0E1750F8" w14:textId="2ED24FAD" w:rsidR="00CC703E" w:rsidRDefault="00E37FDB">
            <w:pPr>
              <w:pStyle w:val="Tabletext"/>
            </w:pPr>
            <w:r>
              <w:t>Infected premises on Logan River, Queensland (tested positive for white spot sy</w:t>
            </w:r>
            <w:r w:rsidR="005C1675">
              <w:t>ndrome virus 13 February 2017).</w:t>
            </w:r>
          </w:p>
        </w:tc>
      </w:tr>
      <w:tr w:rsidR="00CC703E" w14:paraId="2E845E83" w14:textId="77777777">
        <w:trPr>
          <w:cantSplit/>
          <w:trHeight w:val="379"/>
        </w:trPr>
        <w:tc>
          <w:tcPr>
            <w:tcW w:w="2410" w:type="dxa"/>
          </w:tcPr>
          <w:p w14:paraId="5CE9C37D" w14:textId="77777777" w:rsidR="00CC703E" w:rsidRDefault="00E37FDB">
            <w:pPr>
              <w:pStyle w:val="Tabletext"/>
            </w:pPr>
            <w:r>
              <w:t>8IP</w:t>
            </w:r>
          </w:p>
        </w:tc>
        <w:tc>
          <w:tcPr>
            <w:tcW w:w="6816" w:type="dxa"/>
          </w:tcPr>
          <w:p w14:paraId="0EFD8282" w14:textId="0FFFD728" w:rsidR="00CC703E" w:rsidRDefault="00E37FDB" w:rsidP="005C1675">
            <w:pPr>
              <w:pStyle w:val="Tabletext"/>
            </w:pPr>
            <w:r>
              <w:t>Infected premises on Logan River, Queensland (tested positive for white spot syndrome virus 27 January 2017).</w:t>
            </w:r>
          </w:p>
        </w:tc>
      </w:tr>
      <w:tr w:rsidR="00CC703E" w14:paraId="2C614B8B" w14:textId="77777777">
        <w:trPr>
          <w:cantSplit/>
          <w:trHeight w:val="379"/>
        </w:trPr>
        <w:tc>
          <w:tcPr>
            <w:tcW w:w="2410" w:type="dxa"/>
          </w:tcPr>
          <w:p w14:paraId="272AA4A7" w14:textId="77777777" w:rsidR="00CC703E" w:rsidRDefault="00E37FDB">
            <w:pPr>
              <w:pStyle w:val="Tabletext"/>
            </w:pPr>
            <w:r>
              <w:t>AAA</w:t>
            </w:r>
          </w:p>
        </w:tc>
        <w:tc>
          <w:tcPr>
            <w:tcW w:w="6816" w:type="dxa"/>
          </w:tcPr>
          <w:p w14:paraId="29FB6513" w14:textId="7359BEFB" w:rsidR="00CC703E" w:rsidRDefault="00E37FDB">
            <w:pPr>
              <w:pStyle w:val="Tabletext"/>
            </w:pPr>
            <w:r>
              <w:t>Advanced Analytical Australia, an independent laboratory accredited for WSSV testing.</w:t>
            </w:r>
          </w:p>
        </w:tc>
      </w:tr>
      <w:tr w:rsidR="00CC703E" w14:paraId="3E516CD1" w14:textId="77777777">
        <w:trPr>
          <w:cantSplit/>
          <w:trHeight w:val="379"/>
        </w:trPr>
        <w:tc>
          <w:tcPr>
            <w:tcW w:w="2410" w:type="dxa"/>
          </w:tcPr>
          <w:p w14:paraId="2B9BCB78" w14:textId="77777777" w:rsidR="00CC703E" w:rsidRDefault="00E37FDB">
            <w:pPr>
              <w:pStyle w:val="Tabletext"/>
            </w:pPr>
            <w:r>
              <w:t>AAHL</w:t>
            </w:r>
          </w:p>
        </w:tc>
        <w:tc>
          <w:tcPr>
            <w:tcW w:w="6816" w:type="dxa"/>
          </w:tcPr>
          <w:p w14:paraId="12D9885F" w14:textId="4644966C" w:rsidR="00CC703E" w:rsidRDefault="00E37FDB">
            <w:pPr>
              <w:pStyle w:val="Tabletext"/>
            </w:pPr>
            <w:r>
              <w:t>Australian Animal Health Laboratory, operated by CSIRO. Leading laboratory for animal health in Australia and accredited for WSSV testing.</w:t>
            </w:r>
          </w:p>
        </w:tc>
      </w:tr>
      <w:tr w:rsidR="00CC703E" w14:paraId="10E7B3EA" w14:textId="77777777">
        <w:trPr>
          <w:cantSplit/>
          <w:trHeight w:val="379"/>
        </w:trPr>
        <w:tc>
          <w:tcPr>
            <w:tcW w:w="2410" w:type="dxa"/>
          </w:tcPr>
          <w:p w14:paraId="54C872A1" w14:textId="77777777" w:rsidR="00CC703E" w:rsidRDefault="00E37FDB">
            <w:pPr>
              <w:pStyle w:val="Tabletext"/>
            </w:pPr>
            <w:r>
              <w:t>AgriGen Biotech</w:t>
            </w:r>
          </w:p>
        </w:tc>
        <w:tc>
          <w:tcPr>
            <w:tcW w:w="6816" w:type="dxa"/>
          </w:tcPr>
          <w:p w14:paraId="28E26920" w14:textId="504B776A" w:rsidR="00CC703E" w:rsidRDefault="00E37FDB">
            <w:pPr>
              <w:pStyle w:val="Tabletext"/>
            </w:pPr>
            <w:r>
              <w:t>Independent laboratory accredited for WSSV testing.</w:t>
            </w:r>
          </w:p>
        </w:tc>
      </w:tr>
      <w:tr w:rsidR="00CC703E" w14:paraId="543BDAE4" w14:textId="77777777">
        <w:trPr>
          <w:cantSplit/>
          <w:trHeight w:val="379"/>
        </w:trPr>
        <w:tc>
          <w:tcPr>
            <w:tcW w:w="2410" w:type="dxa"/>
          </w:tcPr>
          <w:p w14:paraId="23EDCFD5" w14:textId="77777777" w:rsidR="00CC703E" w:rsidRDefault="00E37FDB">
            <w:pPr>
              <w:pStyle w:val="Tabletext"/>
            </w:pPr>
            <w:r>
              <w:t>AHA</w:t>
            </w:r>
          </w:p>
        </w:tc>
        <w:tc>
          <w:tcPr>
            <w:tcW w:w="6816" w:type="dxa"/>
          </w:tcPr>
          <w:p w14:paraId="754ADE37" w14:textId="1BF32ADF" w:rsidR="00CC703E" w:rsidRDefault="00E37FDB" w:rsidP="000F4FE1">
            <w:pPr>
              <w:pStyle w:val="Tabletext"/>
            </w:pPr>
            <w:r w:rsidRPr="00E37FDB">
              <w:t>Animal Health Australia</w:t>
            </w:r>
            <w:r w:rsidR="000F4FE1">
              <w:t xml:space="preserve"> is </w:t>
            </w:r>
            <w:r w:rsidR="000F4FE1" w:rsidRPr="000F4FE1">
              <w:t>a not-for-profit public Company established by the Australian Government, state and territory governments and major national livestock industry organisations. The company manages national animal health programs on behalf of its members</w:t>
            </w:r>
            <w:r w:rsidR="000F4FE1">
              <w:t>.</w:t>
            </w:r>
          </w:p>
        </w:tc>
      </w:tr>
      <w:tr w:rsidR="00CC703E" w14:paraId="50CC8097" w14:textId="77777777">
        <w:trPr>
          <w:cantSplit/>
          <w:trHeight w:val="379"/>
        </w:trPr>
        <w:tc>
          <w:tcPr>
            <w:tcW w:w="2410" w:type="dxa"/>
          </w:tcPr>
          <w:p w14:paraId="174940DC" w14:textId="77777777" w:rsidR="00CC703E" w:rsidRDefault="00E37FDB">
            <w:pPr>
              <w:pStyle w:val="Tabletext"/>
            </w:pPr>
            <w:r>
              <w:t>AHC</w:t>
            </w:r>
          </w:p>
        </w:tc>
        <w:tc>
          <w:tcPr>
            <w:tcW w:w="6816" w:type="dxa"/>
          </w:tcPr>
          <w:p w14:paraId="61A9F944" w14:textId="383F6B40" w:rsidR="00CC703E" w:rsidRDefault="00E37FDB">
            <w:pPr>
              <w:pStyle w:val="Tabletext"/>
            </w:pPr>
            <w:r>
              <w:t>Animal Health Committee of the National Biosecurity Committee</w:t>
            </w:r>
            <w:r w:rsidRPr="00E37FDB">
              <w:t xml:space="preserve"> develops science-based and nationally consistent policy on animal health issues</w:t>
            </w:r>
            <w:r w:rsidRPr="00900EC0">
              <w:t xml:space="preserve"> and </w:t>
            </w:r>
            <w:r w:rsidRPr="00761F1A">
              <w:t>advises NBC on animal health</w:t>
            </w:r>
            <w:r w:rsidRPr="000A127D">
              <w:t>. C</w:t>
            </w:r>
            <w:r w:rsidRPr="005203CF">
              <w:t>ommittee members include</w:t>
            </w:r>
            <w:r w:rsidRPr="0050617D">
              <w:t xml:space="preserve"> chief veterinary officers </w:t>
            </w:r>
            <w:r w:rsidRPr="001F06E1">
              <w:t>of Australian, state and territory governments</w:t>
            </w:r>
            <w:r w:rsidRPr="003A70A8">
              <w:t>,</w:t>
            </w:r>
            <w:r w:rsidRPr="00B179DD">
              <w:t xml:space="preserve"> </w:t>
            </w:r>
            <w:r w:rsidRPr="00E66255">
              <w:t>representatives from AAHL (CSIRO), Department of Agriculture and Water Resources and Department of the Environment</w:t>
            </w:r>
            <w:r w:rsidR="00E66255" w:rsidRPr="00E66255">
              <w:t xml:space="preserve"> and Energy</w:t>
            </w:r>
            <w:r w:rsidRPr="00E66255">
              <w:t>, and observers</w:t>
            </w:r>
            <w:r w:rsidRPr="00E37FDB">
              <w:t xml:space="preserve"> from Animal Health Australia, Wildlife Health Australia</w:t>
            </w:r>
            <w:r w:rsidRPr="00900EC0">
              <w:t xml:space="preserve"> and the N</w:t>
            </w:r>
            <w:r w:rsidRPr="00A73371">
              <w:t>Z</w:t>
            </w:r>
            <w:r w:rsidRPr="00761F1A">
              <w:t xml:space="preserve"> Ministry for Primary Industries.</w:t>
            </w:r>
          </w:p>
        </w:tc>
      </w:tr>
      <w:tr w:rsidR="00CC703E" w14:paraId="7F8DB426" w14:textId="77777777">
        <w:trPr>
          <w:cantSplit/>
          <w:trHeight w:val="379"/>
        </w:trPr>
        <w:tc>
          <w:tcPr>
            <w:tcW w:w="2410" w:type="dxa"/>
          </w:tcPr>
          <w:p w14:paraId="506E075B" w14:textId="77777777" w:rsidR="00CC703E" w:rsidRDefault="00E37FDB">
            <w:pPr>
              <w:pStyle w:val="Tabletext"/>
            </w:pPr>
            <w:r>
              <w:t>AIMS</w:t>
            </w:r>
          </w:p>
        </w:tc>
        <w:tc>
          <w:tcPr>
            <w:tcW w:w="6816" w:type="dxa"/>
          </w:tcPr>
          <w:p w14:paraId="281D1A7B" w14:textId="506544C0" w:rsidR="00CC703E" w:rsidRDefault="00E37FDB">
            <w:pPr>
              <w:pStyle w:val="Tabletext"/>
            </w:pPr>
            <w:r>
              <w:t>Agriculture Import Management System, managed by Department of Agriculture and Water Resources.</w:t>
            </w:r>
          </w:p>
        </w:tc>
      </w:tr>
      <w:tr w:rsidR="00CC703E" w14:paraId="79C8CEED" w14:textId="77777777">
        <w:trPr>
          <w:cantSplit/>
          <w:trHeight w:val="379"/>
        </w:trPr>
        <w:tc>
          <w:tcPr>
            <w:tcW w:w="2410" w:type="dxa"/>
          </w:tcPr>
          <w:p w14:paraId="7A452357" w14:textId="77777777" w:rsidR="00CC703E" w:rsidRDefault="00E37FDB">
            <w:pPr>
              <w:pStyle w:val="Tabletext"/>
            </w:pPr>
            <w:r>
              <w:t>ALOP</w:t>
            </w:r>
          </w:p>
        </w:tc>
        <w:tc>
          <w:tcPr>
            <w:tcW w:w="6816" w:type="dxa"/>
          </w:tcPr>
          <w:p w14:paraId="4969C574" w14:textId="47E2BEE3" w:rsidR="00CC703E" w:rsidRDefault="00E37FDB">
            <w:pPr>
              <w:pStyle w:val="Tabletext"/>
            </w:pPr>
            <w:r>
              <w:t>Appropriate level of protection against biosecurity risks.</w:t>
            </w:r>
          </w:p>
        </w:tc>
      </w:tr>
      <w:tr w:rsidR="00CC703E" w14:paraId="23DE79C7" w14:textId="77777777">
        <w:trPr>
          <w:cantSplit/>
          <w:trHeight w:val="379"/>
        </w:trPr>
        <w:tc>
          <w:tcPr>
            <w:tcW w:w="2410" w:type="dxa"/>
          </w:tcPr>
          <w:p w14:paraId="27B7477F" w14:textId="77777777" w:rsidR="00CC703E" w:rsidRDefault="00E37FDB">
            <w:pPr>
              <w:pStyle w:val="Tabletext"/>
            </w:pPr>
            <w:r>
              <w:t>APFA</w:t>
            </w:r>
          </w:p>
        </w:tc>
        <w:tc>
          <w:tcPr>
            <w:tcW w:w="6816" w:type="dxa"/>
          </w:tcPr>
          <w:p w14:paraId="3D3E8E1B" w14:textId="77777777" w:rsidR="00CC703E" w:rsidRDefault="00E37FDB">
            <w:pPr>
              <w:pStyle w:val="Tabletext"/>
            </w:pPr>
            <w:r>
              <w:t>Australian Prawn Farmers Association</w:t>
            </w:r>
          </w:p>
        </w:tc>
      </w:tr>
      <w:tr w:rsidR="00CC703E" w14:paraId="397D80C6" w14:textId="77777777">
        <w:trPr>
          <w:cantSplit/>
          <w:trHeight w:val="379"/>
        </w:trPr>
        <w:tc>
          <w:tcPr>
            <w:tcW w:w="2410" w:type="dxa"/>
          </w:tcPr>
          <w:p w14:paraId="28F28436" w14:textId="77777777" w:rsidR="00CC703E" w:rsidRPr="00E37FDB" w:rsidRDefault="00E37FDB" w:rsidP="00934A25">
            <w:pPr>
              <w:pStyle w:val="Tabletext"/>
            </w:pPr>
            <w:r w:rsidRPr="00E37FDB">
              <w:t>AqCCEAD (or Aquatic CCEAD)</w:t>
            </w:r>
          </w:p>
        </w:tc>
        <w:tc>
          <w:tcPr>
            <w:tcW w:w="6816" w:type="dxa"/>
          </w:tcPr>
          <w:p w14:paraId="7AC6D8F1" w14:textId="4CA8066C" w:rsidR="00CC703E" w:rsidRPr="00761F1A" w:rsidRDefault="00E37FDB">
            <w:pPr>
              <w:pStyle w:val="Tabletext"/>
            </w:pPr>
            <w:r w:rsidRPr="00E37FDB">
              <w:t>Aquatic Consultative Committee on Emergency Animal Diseases is a n</w:t>
            </w:r>
            <w:r w:rsidRPr="00900EC0">
              <w:t>ational committee compris</w:t>
            </w:r>
            <w:r w:rsidRPr="00A73371">
              <w:t>ing</w:t>
            </w:r>
            <w:r w:rsidRPr="00761F1A">
              <w:t xml:space="preserve"> state and territory directors of fisheries or chief veterinary officers</w:t>
            </w:r>
            <w:r w:rsidRPr="00E37FDB">
              <w:t xml:space="preserve">, Department of Agriculture and Water Resources </w:t>
            </w:r>
            <w:r w:rsidRPr="00900EC0">
              <w:t>and CSIRO representatives and industry bodies. C</w:t>
            </w:r>
            <w:r w:rsidRPr="00761F1A">
              <w:t>haired by Australian Chief Veterinary Officer.</w:t>
            </w:r>
          </w:p>
        </w:tc>
      </w:tr>
      <w:tr w:rsidR="00CC703E" w14:paraId="5F81A17C" w14:textId="77777777">
        <w:trPr>
          <w:cantSplit/>
          <w:trHeight w:val="379"/>
        </w:trPr>
        <w:tc>
          <w:tcPr>
            <w:tcW w:w="2410" w:type="dxa"/>
          </w:tcPr>
          <w:p w14:paraId="1EC20313" w14:textId="77777777" w:rsidR="00CC703E" w:rsidRDefault="00E37FDB">
            <w:pPr>
              <w:pStyle w:val="Tabletext"/>
            </w:pPr>
            <w:r>
              <w:t>AQIS</w:t>
            </w:r>
          </w:p>
        </w:tc>
        <w:tc>
          <w:tcPr>
            <w:tcW w:w="6816" w:type="dxa"/>
          </w:tcPr>
          <w:p w14:paraId="13FCACE6" w14:textId="24AC45C5" w:rsidR="00CC703E" w:rsidRDefault="000F4FE1" w:rsidP="00455CF2">
            <w:pPr>
              <w:pStyle w:val="Tabletext"/>
            </w:pPr>
            <w:r>
              <w:t>T</w:t>
            </w:r>
            <w:r w:rsidRPr="000F4FE1">
              <w:t xml:space="preserve">he Australian Quarantine and Inspection Service was the Australian government agency responsible for enforcing Australian quarantine laws, as part of the </w:t>
            </w:r>
            <w:r>
              <w:t xml:space="preserve">Australian Government </w:t>
            </w:r>
            <w:r w:rsidRPr="000F4FE1">
              <w:t>Department of Agriculture</w:t>
            </w:r>
            <w:r>
              <w:t>. AQIS was dissolved in 2012.</w:t>
            </w:r>
          </w:p>
        </w:tc>
      </w:tr>
      <w:tr w:rsidR="00CC703E" w14:paraId="15BC8FC1" w14:textId="77777777">
        <w:trPr>
          <w:cantSplit/>
          <w:trHeight w:val="379"/>
        </w:trPr>
        <w:tc>
          <w:tcPr>
            <w:tcW w:w="2410" w:type="dxa"/>
          </w:tcPr>
          <w:p w14:paraId="0B1CF927" w14:textId="7BB9B525" w:rsidR="00CC703E" w:rsidRDefault="00E37FDB">
            <w:pPr>
              <w:pStyle w:val="Tabletext"/>
            </w:pPr>
            <w:r>
              <w:t>aquaculture</w:t>
            </w:r>
          </w:p>
        </w:tc>
        <w:tc>
          <w:tcPr>
            <w:tcW w:w="6816" w:type="dxa"/>
          </w:tcPr>
          <w:p w14:paraId="718EFE3E" w14:textId="1E6759E9" w:rsidR="00CC703E" w:rsidRDefault="00E37FDB">
            <w:pPr>
              <w:pStyle w:val="Tabletext"/>
            </w:pPr>
            <w:r>
              <w:t>Farming of aquatic organisms, including prawns.</w:t>
            </w:r>
          </w:p>
        </w:tc>
      </w:tr>
      <w:tr w:rsidR="00CC703E" w14:paraId="46E82087" w14:textId="77777777">
        <w:trPr>
          <w:cantSplit/>
          <w:trHeight w:val="379"/>
        </w:trPr>
        <w:tc>
          <w:tcPr>
            <w:tcW w:w="2410" w:type="dxa"/>
          </w:tcPr>
          <w:p w14:paraId="7DE3A312" w14:textId="77777777" w:rsidR="00CC703E" w:rsidRDefault="00E37FDB">
            <w:pPr>
              <w:pStyle w:val="Tabletext"/>
            </w:pPr>
            <w:r>
              <w:t>AQUAVETPLAN</w:t>
            </w:r>
          </w:p>
        </w:tc>
        <w:tc>
          <w:tcPr>
            <w:tcW w:w="6816" w:type="dxa"/>
          </w:tcPr>
          <w:p w14:paraId="20F3E014" w14:textId="6BAB7FF0" w:rsidR="00CC703E" w:rsidRDefault="00E37FDB">
            <w:pPr>
              <w:pStyle w:val="Tabletext"/>
            </w:pPr>
            <w:r>
              <w:t>Australian Aquatic Veterinary Emergency Plan is a series of manuals outlining Australia’s approach to national disease preparedness. It details technical response and control strategies to be activated in a national aquatic animal disease emergency.</w:t>
            </w:r>
          </w:p>
        </w:tc>
      </w:tr>
      <w:tr w:rsidR="00CC703E" w14:paraId="40CDAE9F" w14:textId="77777777">
        <w:trPr>
          <w:cantSplit/>
          <w:trHeight w:val="379"/>
        </w:trPr>
        <w:tc>
          <w:tcPr>
            <w:tcW w:w="2410" w:type="dxa"/>
          </w:tcPr>
          <w:p w14:paraId="5234BCE6" w14:textId="77777777" w:rsidR="00CC703E" w:rsidRDefault="00E37FDB">
            <w:pPr>
              <w:pStyle w:val="Tabletext"/>
            </w:pPr>
            <w:r>
              <w:t>Aquatic Animal Health Code</w:t>
            </w:r>
          </w:p>
        </w:tc>
        <w:tc>
          <w:tcPr>
            <w:tcW w:w="6816" w:type="dxa"/>
          </w:tcPr>
          <w:p w14:paraId="4C3FA5EF" w14:textId="4479FD44" w:rsidR="00CC703E" w:rsidRDefault="00E37FDB">
            <w:pPr>
              <w:pStyle w:val="Tabletext"/>
            </w:pPr>
            <w:r>
              <w:t>World Organisation for Animal Health</w:t>
            </w:r>
            <w:r w:rsidRPr="00934A25">
              <w:t>’s</w:t>
            </w:r>
            <w:r>
              <w:t xml:space="preserve"> code sets out standards for improving health and welfare of farmed fish worldwide, and for safe international trade in aquatic animals and their products.</w:t>
            </w:r>
          </w:p>
        </w:tc>
      </w:tr>
      <w:tr w:rsidR="00CC703E" w14:paraId="777BACD0" w14:textId="77777777">
        <w:trPr>
          <w:cantSplit/>
          <w:trHeight w:val="379"/>
        </w:trPr>
        <w:tc>
          <w:tcPr>
            <w:tcW w:w="2410" w:type="dxa"/>
          </w:tcPr>
          <w:p w14:paraId="0906A2EC" w14:textId="77777777" w:rsidR="00CC703E" w:rsidRDefault="00E37FDB">
            <w:pPr>
              <w:pStyle w:val="Tabletext"/>
            </w:pPr>
            <w:r>
              <w:lastRenderedPageBreak/>
              <w:t>Beale review</w:t>
            </w:r>
          </w:p>
        </w:tc>
        <w:tc>
          <w:tcPr>
            <w:tcW w:w="6816" w:type="dxa"/>
          </w:tcPr>
          <w:p w14:paraId="5EA4E896" w14:textId="1251EEA8" w:rsidR="00CC703E" w:rsidRDefault="00E37FDB">
            <w:pPr>
              <w:pStyle w:val="Tabletext"/>
            </w:pPr>
            <w:r w:rsidRPr="00934A25">
              <w:rPr>
                <w:rStyle w:val="Emphasis"/>
              </w:rPr>
              <w:t>One biosecurity: a working partnership.</w:t>
            </w:r>
            <w:r>
              <w:t xml:space="preserve"> The </w:t>
            </w:r>
            <w:r w:rsidRPr="00934A25">
              <w:t>i</w:t>
            </w:r>
            <w:r>
              <w:t xml:space="preserve">ndependent </w:t>
            </w:r>
            <w:r w:rsidRPr="00934A25">
              <w:t>r</w:t>
            </w:r>
            <w:r>
              <w:t>eview of Australia</w:t>
            </w:r>
            <w:r w:rsidRPr="00934A25">
              <w:t>’</w:t>
            </w:r>
            <w:r>
              <w:t xml:space="preserve">s </w:t>
            </w:r>
            <w:r w:rsidRPr="00934A25">
              <w:t xml:space="preserve">quarantine and biosecurity arrangements </w:t>
            </w:r>
            <w:r>
              <w:t>(published September 2008).</w:t>
            </w:r>
          </w:p>
        </w:tc>
      </w:tr>
      <w:tr w:rsidR="00CC703E" w14:paraId="69635D9C" w14:textId="77777777">
        <w:trPr>
          <w:cantSplit/>
          <w:trHeight w:val="379"/>
        </w:trPr>
        <w:tc>
          <w:tcPr>
            <w:tcW w:w="2410" w:type="dxa"/>
          </w:tcPr>
          <w:p w14:paraId="5EA19E19" w14:textId="77777777" w:rsidR="00CC703E" w:rsidRDefault="00E37FDB">
            <w:pPr>
              <w:pStyle w:val="Tabletext"/>
            </w:pPr>
            <w:r>
              <w:t>BICON</w:t>
            </w:r>
          </w:p>
        </w:tc>
        <w:tc>
          <w:tcPr>
            <w:tcW w:w="6816" w:type="dxa"/>
          </w:tcPr>
          <w:p w14:paraId="793B0CB4" w14:textId="6C3D52D5" w:rsidR="00CC703E" w:rsidRDefault="00E37FDB">
            <w:pPr>
              <w:pStyle w:val="Tabletext"/>
            </w:pPr>
            <w:r>
              <w:t>Biosecurity Import Conditions system, managed by Department of Agriculture and Water Resources.</w:t>
            </w:r>
          </w:p>
        </w:tc>
      </w:tr>
      <w:tr w:rsidR="00CC703E" w14:paraId="69B7010B" w14:textId="77777777">
        <w:trPr>
          <w:cantSplit/>
          <w:trHeight w:val="379"/>
        </w:trPr>
        <w:tc>
          <w:tcPr>
            <w:tcW w:w="2410" w:type="dxa"/>
          </w:tcPr>
          <w:p w14:paraId="240B0C34" w14:textId="77777777" w:rsidR="00CC703E" w:rsidRDefault="00E37FDB">
            <w:pPr>
              <w:pStyle w:val="Tabletext"/>
            </w:pPr>
            <w:r>
              <w:t>BIMS</w:t>
            </w:r>
          </w:p>
        </w:tc>
        <w:tc>
          <w:tcPr>
            <w:tcW w:w="6816" w:type="dxa"/>
          </w:tcPr>
          <w:p w14:paraId="56DFFB42" w14:textId="76086DA9" w:rsidR="00CC703E" w:rsidRDefault="00E37FDB" w:rsidP="00CF67AC">
            <w:pPr>
              <w:pStyle w:val="Tabletext"/>
            </w:pPr>
            <w:r>
              <w:t>Biosecurity Incident Management System, managed by Department of Agriculture and Water Resources.</w:t>
            </w:r>
            <w:r w:rsidR="00CF67AC">
              <w:t xml:space="preserve"> BIMS </w:t>
            </w:r>
            <w:r w:rsidR="00CF67AC" w:rsidRPr="00CF67AC">
              <w:t>has been developed to provide guidance on contemporary practices for the management of biosecurity incident response and initial recovery operations in Australia</w:t>
            </w:r>
            <w:r w:rsidR="00CF67AC">
              <w:t>.</w:t>
            </w:r>
          </w:p>
        </w:tc>
      </w:tr>
      <w:tr w:rsidR="00CC703E" w14:paraId="4682BA6E" w14:textId="77777777">
        <w:trPr>
          <w:cantSplit/>
          <w:trHeight w:val="379"/>
        </w:trPr>
        <w:tc>
          <w:tcPr>
            <w:tcW w:w="2410" w:type="dxa"/>
          </w:tcPr>
          <w:p w14:paraId="2CAFFCAE" w14:textId="77777777" w:rsidR="00CC703E" w:rsidRDefault="00E37FDB">
            <w:pPr>
              <w:pStyle w:val="Tabletext"/>
            </w:pPr>
            <w:r>
              <w:t>biosecurity</w:t>
            </w:r>
          </w:p>
        </w:tc>
        <w:tc>
          <w:tcPr>
            <w:tcW w:w="6816" w:type="dxa"/>
          </w:tcPr>
          <w:p w14:paraId="767D7873" w14:textId="13C20525" w:rsidR="00CC703E" w:rsidRDefault="00E37FDB">
            <w:pPr>
              <w:pStyle w:val="Tabletext"/>
            </w:pPr>
            <w:r>
              <w:t>Management of risks to the economy, environment and community posed by pests and diseases entering, emerging, establishing or spreading.</w:t>
            </w:r>
          </w:p>
        </w:tc>
      </w:tr>
      <w:tr w:rsidR="00CC703E" w14:paraId="601E7624" w14:textId="77777777">
        <w:trPr>
          <w:cantSplit/>
          <w:trHeight w:val="379"/>
        </w:trPr>
        <w:tc>
          <w:tcPr>
            <w:tcW w:w="2410" w:type="dxa"/>
          </w:tcPr>
          <w:p w14:paraId="2036E21C" w14:textId="77777777" w:rsidR="00CC703E" w:rsidRDefault="00E37FDB">
            <w:pPr>
              <w:pStyle w:val="Tabletext"/>
            </w:pPr>
            <w:r>
              <w:t>Biosecurity Act</w:t>
            </w:r>
          </w:p>
        </w:tc>
        <w:tc>
          <w:tcPr>
            <w:tcW w:w="6816" w:type="dxa"/>
          </w:tcPr>
          <w:p w14:paraId="748CFEF8" w14:textId="26108DBF" w:rsidR="00CC703E" w:rsidRDefault="00E37FDB">
            <w:pPr>
              <w:pStyle w:val="Tabletext"/>
            </w:pPr>
            <w:r w:rsidRPr="00934A25">
              <w:rPr>
                <w:rStyle w:val="Emphasis"/>
              </w:rPr>
              <w:t>Biosecurity Act 2015</w:t>
            </w:r>
            <w:r>
              <w:t xml:space="preserve"> (Cth). Commenced 16 June 2016 and replaced </w:t>
            </w:r>
            <w:r w:rsidRPr="00934A25">
              <w:rPr>
                <w:rStyle w:val="Emphasis"/>
              </w:rPr>
              <w:t>Quarantine Act 1908</w:t>
            </w:r>
            <w:r w:rsidRPr="00934A25">
              <w:t xml:space="preserve"> </w:t>
            </w:r>
            <w:r>
              <w:t>(Cth).</w:t>
            </w:r>
          </w:p>
        </w:tc>
      </w:tr>
      <w:tr w:rsidR="00CC703E" w14:paraId="0CABA6CB" w14:textId="77777777">
        <w:trPr>
          <w:cantSplit/>
          <w:trHeight w:val="379"/>
        </w:trPr>
        <w:tc>
          <w:tcPr>
            <w:tcW w:w="2410" w:type="dxa"/>
          </w:tcPr>
          <w:p w14:paraId="0BA71B46" w14:textId="77777777" w:rsidR="00CC703E" w:rsidRDefault="00E37FDB">
            <w:pPr>
              <w:pStyle w:val="Tabletext"/>
            </w:pPr>
            <w:r>
              <w:t>Biosecurity Australia</w:t>
            </w:r>
          </w:p>
        </w:tc>
        <w:tc>
          <w:tcPr>
            <w:tcW w:w="6816" w:type="dxa"/>
          </w:tcPr>
          <w:p w14:paraId="24CDF7E4" w14:textId="34F703AF" w:rsidR="00CC703E" w:rsidRDefault="00CF67AC" w:rsidP="00455CF2">
            <w:pPr>
              <w:pStyle w:val="Tabletext"/>
            </w:pPr>
            <w:r w:rsidRPr="00CF67AC">
              <w:t xml:space="preserve">Biosecurity Australia </w:t>
            </w:r>
            <w:r>
              <w:t>wa</w:t>
            </w:r>
            <w:r w:rsidRPr="00CF67AC">
              <w:t>s an arm of the Australian Government Department of Agriculture, Fisheries and Forestry. It provide</w:t>
            </w:r>
            <w:r>
              <w:t>d</w:t>
            </w:r>
            <w:r w:rsidRPr="00CF67AC">
              <w:t xml:space="preserve"> science-based quarantine assessments and policy advice to protect Australian agricultural industry, and to enhance Australia's access to international animal and plant related markets. Biosecurity Australia also provides policy advice to AQIS concerning the importation of quarantine risk material to Australia.</w:t>
            </w:r>
            <w:r w:rsidR="00455CF2">
              <w:t xml:space="preserve"> Biosecurity Australia </w:t>
            </w:r>
            <w:r w:rsidR="00455CF2" w:rsidRPr="00455CF2">
              <w:t xml:space="preserve">was </w:t>
            </w:r>
            <w:r w:rsidR="00455CF2">
              <w:t>abolished</w:t>
            </w:r>
            <w:r w:rsidR="00455CF2" w:rsidRPr="00455CF2">
              <w:t xml:space="preserve"> in 2012.</w:t>
            </w:r>
          </w:p>
        </w:tc>
      </w:tr>
      <w:tr w:rsidR="00CC703E" w14:paraId="7A3E8E9E" w14:textId="77777777">
        <w:trPr>
          <w:cantSplit/>
          <w:trHeight w:val="379"/>
        </w:trPr>
        <w:tc>
          <w:tcPr>
            <w:tcW w:w="2410" w:type="dxa"/>
          </w:tcPr>
          <w:p w14:paraId="302A7FBB" w14:textId="77777777" w:rsidR="00CC703E" w:rsidRDefault="00E37FDB">
            <w:pPr>
              <w:pStyle w:val="Tabletext"/>
            </w:pPr>
            <w:r>
              <w:t>biosecurity continuum</w:t>
            </w:r>
          </w:p>
        </w:tc>
        <w:tc>
          <w:tcPr>
            <w:tcW w:w="6816" w:type="dxa"/>
          </w:tcPr>
          <w:p w14:paraId="6972F56F" w14:textId="5DA208A7" w:rsidR="00CC703E" w:rsidRDefault="00E37FDB">
            <w:pPr>
              <w:pStyle w:val="Tabletext"/>
            </w:pPr>
            <w:r>
              <w:t>Series of locations where biosecurity risks may arise and where biosecurity activities take place pre-border, at the border and within Australia.</w:t>
            </w:r>
          </w:p>
        </w:tc>
      </w:tr>
      <w:tr w:rsidR="00CC703E" w14:paraId="2D445C8A" w14:textId="77777777">
        <w:trPr>
          <w:cantSplit/>
          <w:trHeight w:val="379"/>
        </w:trPr>
        <w:tc>
          <w:tcPr>
            <w:tcW w:w="2410" w:type="dxa"/>
          </w:tcPr>
          <w:p w14:paraId="4CF247CC" w14:textId="77777777" w:rsidR="00CC703E" w:rsidRDefault="00E37FDB">
            <w:pPr>
              <w:pStyle w:val="Tabletext"/>
            </w:pPr>
            <w:r>
              <w:t>Biosecurity Queensland</w:t>
            </w:r>
          </w:p>
        </w:tc>
        <w:tc>
          <w:tcPr>
            <w:tcW w:w="6816" w:type="dxa"/>
          </w:tcPr>
          <w:p w14:paraId="05B93574" w14:textId="0288291B" w:rsidR="00CC703E" w:rsidRDefault="00E37FDB">
            <w:pPr>
              <w:pStyle w:val="Tabletext"/>
            </w:pPr>
            <w:r>
              <w:t>Service area of Queensland Department of Agriculture and Fisheries. Leads Queensland Government efforts to prevent, respond to and recover from pests and diseases threatening agricultural prosperity, the environment, social amenity and human health. Aims to maintain access to markets, protect animal welfare and reduce risk of contamination from agricultural chemicals.</w:t>
            </w:r>
          </w:p>
        </w:tc>
      </w:tr>
      <w:tr w:rsidR="00CC703E" w14:paraId="6CF51CB4" w14:textId="77777777">
        <w:trPr>
          <w:cantSplit/>
          <w:trHeight w:val="379"/>
        </w:trPr>
        <w:tc>
          <w:tcPr>
            <w:tcW w:w="2410" w:type="dxa"/>
          </w:tcPr>
          <w:p w14:paraId="329ED2DB" w14:textId="77777777" w:rsidR="00CC703E" w:rsidRDefault="00E37FDB">
            <w:pPr>
              <w:pStyle w:val="Tabletext"/>
            </w:pPr>
            <w:r>
              <w:t>biosecurity risk</w:t>
            </w:r>
          </w:p>
        </w:tc>
        <w:tc>
          <w:tcPr>
            <w:tcW w:w="6816" w:type="dxa"/>
          </w:tcPr>
          <w:p w14:paraId="120BE24B" w14:textId="07EAC83B" w:rsidR="00CC703E" w:rsidRDefault="00E37FDB">
            <w:pPr>
              <w:pStyle w:val="Tabletext"/>
            </w:pPr>
            <w:r>
              <w:t>Potential for disease or pest to enter, emerge, establish or spread in Australia.</w:t>
            </w:r>
          </w:p>
        </w:tc>
      </w:tr>
      <w:tr w:rsidR="00CC703E" w14:paraId="574A4395" w14:textId="77777777">
        <w:trPr>
          <w:cantSplit/>
          <w:trHeight w:val="379"/>
        </w:trPr>
        <w:tc>
          <w:tcPr>
            <w:tcW w:w="2410" w:type="dxa"/>
          </w:tcPr>
          <w:p w14:paraId="4AA93B13" w14:textId="77777777" w:rsidR="00CC703E" w:rsidRDefault="00E37FDB">
            <w:pPr>
              <w:pStyle w:val="Tabletext"/>
            </w:pPr>
            <w:r>
              <w:t>CCEAD</w:t>
            </w:r>
          </w:p>
        </w:tc>
        <w:tc>
          <w:tcPr>
            <w:tcW w:w="6816" w:type="dxa"/>
          </w:tcPr>
          <w:p w14:paraId="594C183A" w14:textId="77777777" w:rsidR="00CC703E" w:rsidRDefault="00E37FDB">
            <w:pPr>
              <w:pStyle w:val="Tabletext"/>
            </w:pPr>
            <w:r>
              <w:t>Consultative Committee for Emergency Animal Diseases</w:t>
            </w:r>
          </w:p>
        </w:tc>
      </w:tr>
      <w:tr w:rsidR="00CC703E" w14:paraId="179888BA" w14:textId="77777777">
        <w:trPr>
          <w:cantSplit/>
          <w:trHeight w:val="379"/>
        </w:trPr>
        <w:tc>
          <w:tcPr>
            <w:tcW w:w="2410" w:type="dxa"/>
          </w:tcPr>
          <w:p w14:paraId="56BAA5D3" w14:textId="77777777" w:rsidR="00CC703E" w:rsidRDefault="00E37FDB">
            <w:pPr>
              <w:pStyle w:val="Tabletext"/>
            </w:pPr>
            <w:r>
              <w:t>competent authority</w:t>
            </w:r>
          </w:p>
        </w:tc>
        <w:tc>
          <w:tcPr>
            <w:tcW w:w="6816" w:type="dxa"/>
          </w:tcPr>
          <w:p w14:paraId="51788524" w14:textId="1243BA57" w:rsidR="00CC703E" w:rsidRDefault="00E37FDB">
            <w:pPr>
              <w:pStyle w:val="Tabletext"/>
            </w:pPr>
            <w:r>
              <w:t>Official service or authority established by government of exporting state. Has responsibility and competence to ensure or supervise implementation of animal, plant or public health standards.</w:t>
            </w:r>
          </w:p>
        </w:tc>
      </w:tr>
      <w:tr w:rsidR="00CC703E" w14:paraId="4FF6F75E" w14:textId="77777777">
        <w:trPr>
          <w:cantSplit/>
          <w:trHeight w:val="379"/>
        </w:trPr>
        <w:tc>
          <w:tcPr>
            <w:tcW w:w="2410" w:type="dxa"/>
          </w:tcPr>
          <w:p w14:paraId="44589721" w14:textId="77777777" w:rsidR="00CC703E" w:rsidRDefault="00E37FDB">
            <w:pPr>
              <w:pStyle w:val="Tabletext"/>
            </w:pPr>
            <w:r>
              <w:t>decontamination</w:t>
            </w:r>
          </w:p>
        </w:tc>
        <w:tc>
          <w:tcPr>
            <w:tcW w:w="6816" w:type="dxa"/>
          </w:tcPr>
          <w:p w14:paraId="15AAAE8C" w14:textId="4B505E5E" w:rsidR="00CC703E" w:rsidRDefault="00E37FDB">
            <w:pPr>
              <w:pStyle w:val="Tabletext"/>
            </w:pPr>
            <w:r>
              <w:t>Cleaning and disinfection to remove contamination from an area, object or person.</w:t>
            </w:r>
          </w:p>
        </w:tc>
      </w:tr>
      <w:tr w:rsidR="00CC703E" w14:paraId="043504EF" w14:textId="77777777">
        <w:trPr>
          <w:cantSplit/>
          <w:trHeight w:val="379"/>
        </w:trPr>
        <w:tc>
          <w:tcPr>
            <w:tcW w:w="2410" w:type="dxa"/>
          </w:tcPr>
          <w:p w14:paraId="507CA811" w14:textId="65410FEB" w:rsidR="00CC703E" w:rsidRDefault="00E37FDB">
            <w:pPr>
              <w:pStyle w:val="Tabletext"/>
            </w:pPr>
            <w:r>
              <w:t>department</w:t>
            </w:r>
          </w:p>
        </w:tc>
        <w:tc>
          <w:tcPr>
            <w:tcW w:w="6816" w:type="dxa"/>
          </w:tcPr>
          <w:p w14:paraId="594862A0" w14:textId="77777777" w:rsidR="00CC703E" w:rsidRDefault="00E37FDB">
            <w:pPr>
              <w:pStyle w:val="Tabletext"/>
            </w:pPr>
            <w:r>
              <w:t>Australian Government Department of Agriculture and Water Resources</w:t>
            </w:r>
          </w:p>
          <w:p w14:paraId="48FC74C8" w14:textId="0C0C8710" w:rsidR="00CC703E" w:rsidRDefault="00E37FDB">
            <w:pPr>
              <w:pStyle w:val="Tabletext"/>
            </w:pPr>
            <w:r>
              <w:t>Former portfolio names:</w:t>
            </w:r>
          </w:p>
          <w:p w14:paraId="181902A3" w14:textId="77777777" w:rsidR="00CC703E" w:rsidRDefault="00E37FDB">
            <w:pPr>
              <w:pStyle w:val="Tabletext"/>
            </w:pPr>
            <w:r>
              <w:t>1987 to 1998—Department of Primary Industries and Energy</w:t>
            </w:r>
          </w:p>
          <w:p w14:paraId="1286E2DC" w14:textId="77777777" w:rsidR="00CC703E" w:rsidRDefault="00E37FDB">
            <w:pPr>
              <w:pStyle w:val="Tabletext"/>
            </w:pPr>
            <w:r>
              <w:t>1998 to 2013—Department of Agriculture, Fisheries and Forestry</w:t>
            </w:r>
          </w:p>
          <w:p w14:paraId="5BB9DBE0" w14:textId="77777777" w:rsidR="00CC703E" w:rsidRDefault="00E37FDB">
            <w:pPr>
              <w:pStyle w:val="Tabletext"/>
            </w:pPr>
            <w:r>
              <w:t>2013 to 2015—Department of Agriculture</w:t>
            </w:r>
          </w:p>
        </w:tc>
      </w:tr>
      <w:tr w:rsidR="00CC703E" w14:paraId="75A6E3AB" w14:textId="77777777">
        <w:trPr>
          <w:cantSplit/>
          <w:trHeight w:val="379"/>
        </w:trPr>
        <w:tc>
          <w:tcPr>
            <w:tcW w:w="2410" w:type="dxa"/>
          </w:tcPr>
          <w:p w14:paraId="010AEF2A" w14:textId="77777777" w:rsidR="00CC703E" w:rsidRDefault="00E37FDB">
            <w:pPr>
              <w:pStyle w:val="Tabletext"/>
            </w:pPr>
            <w:r>
              <w:t>Director of Biosecurity</w:t>
            </w:r>
          </w:p>
        </w:tc>
        <w:tc>
          <w:tcPr>
            <w:tcW w:w="6816" w:type="dxa"/>
          </w:tcPr>
          <w:p w14:paraId="1B85C36D" w14:textId="07EBF172" w:rsidR="00CC703E" w:rsidRDefault="00E37FDB">
            <w:pPr>
              <w:pStyle w:val="Tabletext"/>
            </w:pPr>
            <w:r>
              <w:t>Secretary of the Australian Government Department of Agriculture and Water Resources, responsible for managing biosecurity risks and ensuring Australia’s international rights and obligations are met.</w:t>
            </w:r>
          </w:p>
        </w:tc>
      </w:tr>
      <w:tr w:rsidR="00CC703E" w14:paraId="4D92EB56" w14:textId="77777777">
        <w:trPr>
          <w:cantSplit/>
          <w:trHeight w:val="379"/>
        </w:trPr>
        <w:tc>
          <w:tcPr>
            <w:tcW w:w="2410" w:type="dxa"/>
          </w:tcPr>
          <w:p w14:paraId="552690FE" w14:textId="77777777" w:rsidR="00CC703E" w:rsidRDefault="00E37FDB">
            <w:pPr>
              <w:pStyle w:val="Tabletext"/>
            </w:pPr>
            <w:r>
              <w:t>EMAI</w:t>
            </w:r>
          </w:p>
        </w:tc>
        <w:tc>
          <w:tcPr>
            <w:tcW w:w="6816" w:type="dxa"/>
          </w:tcPr>
          <w:p w14:paraId="43953159" w14:textId="019A5764" w:rsidR="00CC703E" w:rsidRDefault="00E37FDB">
            <w:pPr>
              <w:pStyle w:val="Tabletext"/>
            </w:pPr>
            <w:r>
              <w:t>Elizabeth Macarthur Agricultural Institute, the NSW Department of Primary Industry’s Centre of Excellence for Plant and Animal Health. Accredited for WSSV testing.</w:t>
            </w:r>
          </w:p>
        </w:tc>
      </w:tr>
      <w:tr w:rsidR="00CC703E" w14:paraId="5A27FD33" w14:textId="77777777">
        <w:trPr>
          <w:cantSplit/>
          <w:trHeight w:val="379"/>
        </w:trPr>
        <w:tc>
          <w:tcPr>
            <w:tcW w:w="2410" w:type="dxa"/>
          </w:tcPr>
          <w:p w14:paraId="185B3170" w14:textId="77777777" w:rsidR="00CC703E" w:rsidRDefault="00E37FDB">
            <w:pPr>
              <w:pStyle w:val="Tabletext"/>
            </w:pPr>
            <w:r>
              <w:t>exotic</w:t>
            </w:r>
          </w:p>
        </w:tc>
        <w:tc>
          <w:tcPr>
            <w:tcW w:w="6816" w:type="dxa"/>
          </w:tcPr>
          <w:p w14:paraId="7D845E70" w14:textId="19175AEB" w:rsidR="00CC703E" w:rsidRDefault="00E37FDB">
            <w:pPr>
              <w:pStyle w:val="Tabletext"/>
            </w:pPr>
            <w:r>
              <w:t>Disease that does not normally occur in Australia.</w:t>
            </w:r>
          </w:p>
        </w:tc>
      </w:tr>
      <w:tr w:rsidR="00CC703E" w14:paraId="33FFB090" w14:textId="77777777">
        <w:trPr>
          <w:cantSplit/>
          <w:trHeight w:val="379"/>
        </w:trPr>
        <w:tc>
          <w:tcPr>
            <w:tcW w:w="2410" w:type="dxa"/>
          </w:tcPr>
          <w:p w14:paraId="4B2979F3" w14:textId="77777777" w:rsidR="00CC703E" w:rsidRDefault="00E37FDB">
            <w:pPr>
              <w:pStyle w:val="Tabletext"/>
            </w:pPr>
            <w:r>
              <w:t>FRDC</w:t>
            </w:r>
          </w:p>
        </w:tc>
        <w:tc>
          <w:tcPr>
            <w:tcW w:w="6816" w:type="dxa"/>
          </w:tcPr>
          <w:p w14:paraId="113832C0" w14:textId="77777777" w:rsidR="00CC703E" w:rsidRDefault="00E37FDB">
            <w:pPr>
              <w:pStyle w:val="Tabletext"/>
            </w:pPr>
            <w:r>
              <w:t>Fisheries Research and Development Corporation</w:t>
            </w:r>
          </w:p>
        </w:tc>
      </w:tr>
      <w:tr w:rsidR="00CC703E" w14:paraId="1D8E7FE7" w14:textId="77777777">
        <w:trPr>
          <w:cantSplit/>
          <w:trHeight w:val="379"/>
        </w:trPr>
        <w:tc>
          <w:tcPr>
            <w:tcW w:w="2410" w:type="dxa"/>
          </w:tcPr>
          <w:p w14:paraId="732562B8" w14:textId="77777777" w:rsidR="00CC703E" w:rsidRDefault="00E37FDB">
            <w:pPr>
              <w:pStyle w:val="Tabletext"/>
            </w:pPr>
            <w:r>
              <w:t>ICS</w:t>
            </w:r>
          </w:p>
        </w:tc>
        <w:tc>
          <w:tcPr>
            <w:tcW w:w="6816" w:type="dxa"/>
          </w:tcPr>
          <w:p w14:paraId="7C4927F3" w14:textId="77777777" w:rsidR="00CC703E" w:rsidRDefault="00E37FDB">
            <w:pPr>
              <w:pStyle w:val="Tabletext"/>
            </w:pPr>
            <w:r>
              <w:t>Integrated Cargo System, managed by the Australian Government Department of Immigration and Border Protection</w:t>
            </w:r>
          </w:p>
        </w:tc>
      </w:tr>
      <w:tr w:rsidR="00CC703E" w14:paraId="758C4587" w14:textId="77777777">
        <w:trPr>
          <w:cantSplit/>
          <w:trHeight w:val="379"/>
        </w:trPr>
        <w:tc>
          <w:tcPr>
            <w:tcW w:w="2410" w:type="dxa"/>
          </w:tcPr>
          <w:p w14:paraId="2A841E51" w14:textId="300796B5" w:rsidR="00CC703E" w:rsidRDefault="00E37FDB">
            <w:pPr>
              <w:pStyle w:val="Tabletext"/>
            </w:pPr>
            <w:r>
              <w:t>infected premises</w:t>
            </w:r>
          </w:p>
        </w:tc>
        <w:tc>
          <w:tcPr>
            <w:tcW w:w="6816" w:type="dxa"/>
          </w:tcPr>
          <w:p w14:paraId="298BDC39" w14:textId="1CAD395F" w:rsidR="00CC703E" w:rsidRDefault="00E37FDB">
            <w:pPr>
              <w:pStyle w:val="Tabletext"/>
            </w:pPr>
            <w:r>
              <w:t>Defined area (all or part of a property) in which a disease exists or is believed to exist, or in which the causative agent of that disease exists or is believed to exist.</w:t>
            </w:r>
          </w:p>
        </w:tc>
      </w:tr>
      <w:tr w:rsidR="00CC703E" w14:paraId="6A6B2694" w14:textId="77777777">
        <w:trPr>
          <w:cantSplit/>
          <w:trHeight w:val="379"/>
        </w:trPr>
        <w:tc>
          <w:tcPr>
            <w:tcW w:w="2410" w:type="dxa"/>
          </w:tcPr>
          <w:p w14:paraId="23B523A5" w14:textId="77777777" w:rsidR="00CC703E" w:rsidRDefault="00E37FDB">
            <w:pPr>
              <w:pStyle w:val="Tabletext"/>
            </w:pPr>
            <w:r>
              <w:t>IRA</w:t>
            </w:r>
          </w:p>
        </w:tc>
        <w:tc>
          <w:tcPr>
            <w:tcW w:w="6816" w:type="dxa"/>
          </w:tcPr>
          <w:p w14:paraId="77253B91" w14:textId="11CC61F7" w:rsidR="00CC703E" w:rsidRDefault="00E37FDB">
            <w:pPr>
              <w:pStyle w:val="Tabletext"/>
            </w:pPr>
            <w:r>
              <w:t>Import risk analysis is a highly formal process that involves analysing the biosecurity risk of certain goods. Used to develop policy to ensure level of biosecurity risk in the goods achieves the ALOP for Australia. See s</w:t>
            </w:r>
            <w:r w:rsidRPr="00934A25">
              <w:t>ection </w:t>
            </w:r>
            <w:r>
              <w:t xml:space="preserve">166 of the </w:t>
            </w:r>
            <w:r w:rsidRPr="00934A25">
              <w:rPr>
                <w:rStyle w:val="Emphasis"/>
              </w:rPr>
              <w:t>Biosecurity Act 2015</w:t>
            </w:r>
            <w:r>
              <w:t xml:space="preserve"> (Cth).</w:t>
            </w:r>
          </w:p>
        </w:tc>
      </w:tr>
      <w:tr w:rsidR="00CC703E" w14:paraId="109875F8" w14:textId="77777777">
        <w:trPr>
          <w:cantSplit/>
          <w:trHeight w:val="379"/>
        </w:trPr>
        <w:tc>
          <w:tcPr>
            <w:tcW w:w="2410" w:type="dxa"/>
          </w:tcPr>
          <w:p w14:paraId="2BB3F42D" w14:textId="77777777" w:rsidR="00CC703E" w:rsidRDefault="00E37FDB">
            <w:pPr>
              <w:pStyle w:val="Tabletext"/>
            </w:pPr>
            <w:r>
              <w:t>movement control</w:t>
            </w:r>
          </w:p>
        </w:tc>
        <w:tc>
          <w:tcPr>
            <w:tcW w:w="6816" w:type="dxa"/>
          </w:tcPr>
          <w:p w14:paraId="31AB3837" w14:textId="68D6F69A" w:rsidR="00CC703E" w:rsidRDefault="00E37FDB">
            <w:pPr>
              <w:pStyle w:val="Tabletext"/>
            </w:pPr>
            <w:r>
              <w:t>Restrictions placed on the movement of fish, people and other objects or materials likely to transmit disease in order to prevent spread of disease.</w:t>
            </w:r>
          </w:p>
        </w:tc>
      </w:tr>
      <w:tr w:rsidR="00CC703E" w14:paraId="510B2B54" w14:textId="77777777">
        <w:trPr>
          <w:cantSplit/>
          <w:trHeight w:val="379"/>
        </w:trPr>
        <w:tc>
          <w:tcPr>
            <w:tcW w:w="2410" w:type="dxa"/>
          </w:tcPr>
          <w:p w14:paraId="43F2525B" w14:textId="77777777" w:rsidR="00CC703E" w:rsidRDefault="00E37FDB">
            <w:pPr>
              <w:pStyle w:val="Tabletext"/>
            </w:pPr>
            <w:r>
              <w:lastRenderedPageBreak/>
              <w:t>NHPB</w:t>
            </w:r>
          </w:p>
        </w:tc>
        <w:tc>
          <w:tcPr>
            <w:tcW w:w="6816" w:type="dxa"/>
          </w:tcPr>
          <w:p w14:paraId="424E4DCB" w14:textId="19BF62CA" w:rsidR="00CC703E" w:rsidRDefault="00E37FDB">
            <w:pPr>
              <w:pStyle w:val="Tabletext"/>
            </w:pPr>
            <w:r>
              <w:t>necrotising hepatopancreatitis bacterium</w:t>
            </w:r>
          </w:p>
        </w:tc>
      </w:tr>
      <w:tr w:rsidR="00CC703E" w14:paraId="0250206C" w14:textId="77777777">
        <w:trPr>
          <w:cantSplit/>
          <w:trHeight w:val="379"/>
        </w:trPr>
        <w:tc>
          <w:tcPr>
            <w:tcW w:w="2410" w:type="dxa"/>
          </w:tcPr>
          <w:p w14:paraId="348A1367" w14:textId="77777777" w:rsidR="00CC703E" w:rsidRDefault="00E37FDB">
            <w:pPr>
              <w:pStyle w:val="Tabletext"/>
            </w:pPr>
            <w:r>
              <w:t>OIE</w:t>
            </w:r>
          </w:p>
        </w:tc>
        <w:tc>
          <w:tcPr>
            <w:tcW w:w="6816" w:type="dxa"/>
          </w:tcPr>
          <w:p w14:paraId="301720C0" w14:textId="7E626F1F" w:rsidR="00CC703E" w:rsidRDefault="00E37FDB">
            <w:pPr>
              <w:pStyle w:val="Tabletext"/>
            </w:pPr>
            <w:r>
              <w:t>World Organisation for Animal Health (also known as Office International des Epizooties)</w:t>
            </w:r>
          </w:p>
        </w:tc>
      </w:tr>
      <w:tr w:rsidR="00CC703E" w14:paraId="34DF3434" w14:textId="77777777">
        <w:trPr>
          <w:cantSplit/>
          <w:trHeight w:val="379"/>
        </w:trPr>
        <w:tc>
          <w:tcPr>
            <w:tcW w:w="2410" w:type="dxa"/>
          </w:tcPr>
          <w:p w14:paraId="56F88B53" w14:textId="77777777" w:rsidR="00CC703E" w:rsidRDefault="00E37FDB">
            <w:pPr>
              <w:pStyle w:val="Tabletext"/>
            </w:pPr>
            <w:r>
              <w:t>PCR</w:t>
            </w:r>
          </w:p>
        </w:tc>
        <w:tc>
          <w:tcPr>
            <w:tcW w:w="6816" w:type="dxa"/>
          </w:tcPr>
          <w:p w14:paraId="1805E2EC" w14:textId="77E526AD" w:rsidR="00CC703E" w:rsidRDefault="00E37FDB">
            <w:pPr>
              <w:pStyle w:val="Tabletext"/>
            </w:pPr>
            <w:r>
              <w:t>Polymerase chain reaction is a method of amplifying targeted DNA sequences to detectable levels. Can be used to confirm presence of disease-causing DNA, such as WSSV DNA.</w:t>
            </w:r>
          </w:p>
        </w:tc>
      </w:tr>
      <w:tr w:rsidR="00CC703E" w14:paraId="6992DC0F" w14:textId="77777777">
        <w:trPr>
          <w:cantSplit/>
          <w:trHeight w:val="379"/>
        </w:trPr>
        <w:tc>
          <w:tcPr>
            <w:tcW w:w="2410" w:type="dxa"/>
          </w:tcPr>
          <w:p w14:paraId="71E278C4" w14:textId="77777777" w:rsidR="00CC703E" w:rsidRDefault="00E37FDB">
            <w:pPr>
              <w:pStyle w:val="Tabletext"/>
            </w:pPr>
            <w:r>
              <w:t>prawn products</w:t>
            </w:r>
          </w:p>
        </w:tc>
        <w:tc>
          <w:tcPr>
            <w:tcW w:w="6816" w:type="dxa"/>
          </w:tcPr>
          <w:p w14:paraId="183FFB28" w14:textId="2D09A878" w:rsidR="00CC703E" w:rsidRDefault="00E37FDB">
            <w:pPr>
              <w:pStyle w:val="Tabletext"/>
            </w:pPr>
            <w:r>
              <w:t>Prawn meat products and products of prawn origin (for example, prawn eggs) for human consumption or use in animal feeding.</w:t>
            </w:r>
          </w:p>
        </w:tc>
      </w:tr>
      <w:tr w:rsidR="00CC703E" w14:paraId="58CE8341" w14:textId="77777777">
        <w:trPr>
          <w:cantSplit/>
          <w:trHeight w:val="379"/>
        </w:trPr>
        <w:tc>
          <w:tcPr>
            <w:tcW w:w="2410" w:type="dxa"/>
          </w:tcPr>
          <w:p w14:paraId="421123EF" w14:textId="77777777" w:rsidR="00CC703E" w:rsidRDefault="00E37FDB">
            <w:pPr>
              <w:pStyle w:val="Tabletext"/>
            </w:pPr>
            <w:r>
              <w:t>QAP</w:t>
            </w:r>
          </w:p>
        </w:tc>
        <w:tc>
          <w:tcPr>
            <w:tcW w:w="6816" w:type="dxa"/>
          </w:tcPr>
          <w:p w14:paraId="269C64AA" w14:textId="0CBDEB75" w:rsidR="00CC703E" w:rsidRDefault="00E37FDB">
            <w:pPr>
              <w:pStyle w:val="Tabletext"/>
            </w:pPr>
            <w:r>
              <w:t xml:space="preserve">A quarantine approved premises is a place approved, under section 46A of the repealed </w:t>
            </w:r>
            <w:r w:rsidRPr="00761F1A">
              <w:rPr>
                <w:i/>
              </w:rPr>
              <w:t>Quarantine Act 1908</w:t>
            </w:r>
            <w:r w:rsidR="00761F1A">
              <w:t xml:space="preserve"> </w:t>
            </w:r>
            <w:r w:rsidR="00761F1A" w:rsidRPr="00761F1A">
              <w:t>(Cth)</w:t>
            </w:r>
            <w:r>
              <w:t>, as a place where goods of a specified class that are subject to quarantine may be treated or otherwise dealt with.</w:t>
            </w:r>
          </w:p>
        </w:tc>
      </w:tr>
      <w:tr w:rsidR="00CC703E" w14:paraId="14AD1740" w14:textId="77777777">
        <w:trPr>
          <w:cantSplit/>
          <w:trHeight w:val="379"/>
        </w:trPr>
        <w:tc>
          <w:tcPr>
            <w:tcW w:w="2410" w:type="dxa"/>
          </w:tcPr>
          <w:p w14:paraId="058E48FB" w14:textId="77777777" w:rsidR="00CC703E" w:rsidRDefault="00E37FDB">
            <w:pPr>
              <w:pStyle w:val="Tabletext"/>
            </w:pPr>
            <w:r>
              <w:t>QDAF</w:t>
            </w:r>
          </w:p>
        </w:tc>
        <w:tc>
          <w:tcPr>
            <w:tcW w:w="6816" w:type="dxa"/>
          </w:tcPr>
          <w:p w14:paraId="3E927C08" w14:textId="77777777" w:rsidR="00CC703E" w:rsidRDefault="00E37FDB">
            <w:pPr>
              <w:pStyle w:val="Tabletext"/>
            </w:pPr>
            <w:r>
              <w:t>Queensland Department of Agriculture and Fisheries</w:t>
            </w:r>
          </w:p>
        </w:tc>
      </w:tr>
      <w:tr w:rsidR="00CC703E" w14:paraId="46719FCF" w14:textId="77777777">
        <w:trPr>
          <w:cantSplit/>
          <w:trHeight w:val="379"/>
        </w:trPr>
        <w:tc>
          <w:tcPr>
            <w:tcW w:w="2410" w:type="dxa"/>
          </w:tcPr>
          <w:p w14:paraId="01698841" w14:textId="77777777" w:rsidR="00CC703E" w:rsidRDefault="00E37FDB">
            <w:pPr>
              <w:pStyle w:val="Tabletext"/>
            </w:pPr>
            <w:r>
              <w:t>Quarantine Act</w:t>
            </w:r>
          </w:p>
        </w:tc>
        <w:tc>
          <w:tcPr>
            <w:tcW w:w="6816" w:type="dxa"/>
          </w:tcPr>
          <w:p w14:paraId="489CE7B3" w14:textId="77777777" w:rsidR="00CC703E" w:rsidRDefault="00E37FDB">
            <w:pPr>
              <w:pStyle w:val="Tabletext"/>
            </w:pPr>
            <w:r w:rsidRPr="00934A25">
              <w:rPr>
                <w:rStyle w:val="Emphasis"/>
              </w:rPr>
              <w:t>Quarantine Act 1908</w:t>
            </w:r>
            <w:r>
              <w:t xml:space="preserve"> (Cth). Repealed 1 May 2016 and replaced by </w:t>
            </w:r>
            <w:r w:rsidRPr="00934A25">
              <w:rPr>
                <w:rStyle w:val="Emphasis"/>
              </w:rPr>
              <w:t>Biosecurity Act 2015</w:t>
            </w:r>
            <w:r w:rsidRPr="00934A25">
              <w:t xml:space="preserve"> </w:t>
            </w:r>
            <w:r>
              <w:t>(Cth).</w:t>
            </w:r>
          </w:p>
        </w:tc>
      </w:tr>
      <w:tr w:rsidR="00CC703E" w14:paraId="4EB321B3" w14:textId="77777777">
        <w:trPr>
          <w:cantSplit/>
          <w:trHeight w:val="379"/>
        </w:trPr>
        <w:tc>
          <w:tcPr>
            <w:tcW w:w="2410" w:type="dxa"/>
          </w:tcPr>
          <w:p w14:paraId="100CAF14" w14:textId="77777777" w:rsidR="00CC703E" w:rsidRDefault="00E37FDB">
            <w:pPr>
              <w:pStyle w:val="Tabletext"/>
            </w:pPr>
            <w:r>
              <w:t>SCAHLS</w:t>
            </w:r>
          </w:p>
        </w:tc>
        <w:tc>
          <w:tcPr>
            <w:tcW w:w="6816" w:type="dxa"/>
          </w:tcPr>
          <w:p w14:paraId="51A554CD" w14:textId="558FC275" w:rsidR="00CC703E" w:rsidRDefault="00E37FDB">
            <w:pPr>
              <w:pStyle w:val="Tabletext"/>
            </w:pPr>
            <w:r>
              <w:t>Sub-committee on Animal Health Laboratory Standards (active 1990 to 2014)</w:t>
            </w:r>
          </w:p>
        </w:tc>
      </w:tr>
      <w:tr w:rsidR="00CC703E" w14:paraId="625AC9FB" w14:textId="77777777" w:rsidTr="00934A25">
        <w:trPr>
          <w:cantSplit/>
          <w:trHeight w:val="559"/>
        </w:trPr>
        <w:tc>
          <w:tcPr>
            <w:tcW w:w="2410" w:type="dxa"/>
          </w:tcPr>
          <w:p w14:paraId="4920B914" w14:textId="0723EC02" w:rsidR="00CC703E" w:rsidRPr="00900EC0" w:rsidRDefault="00E37FDB" w:rsidP="00934A25">
            <w:pPr>
              <w:pStyle w:val="Tabletext"/>
            </w:pPr>
            <w:r w:rsidRPr="00E37FDB">
              <w:t>SPS agreement</w:t>
            </w:r>
            <w:r w:rsidRPr="00900EC0">
              <w:t xml:space="preserve"> (WTO SPS agreement)</w:t>
            </w:r>
          </w:p>
        </w:tc>
        <w:tc>
          <w:tcPr>
            <w:tcW w:w="6816" w:type="dxa"/>
          </w:tcPr>
          <w:p w14:paraId="07690112" w14:textId="0821B29D" w:rsidR="00CC703E" w:rsidRPr="00761F1A" w:rsidRDefault="00E37FDB" w:rsidP="00934A25">
            <w:pPr>
              <w:pStyle w:val="Tabletext"/>
            </w:pPr>
            <w:r w:rsidRPr="00A73371">
              <w:t xml:space="preserve">World Trade Organization’s </w:t>
            </w:r>
            <w:r w:rsidRPr="00761F1A">
              <w:t>Agreement on the Application of Sanitary and Phytosanitary Measures (entered into force 1995)</w:t>
            </w:r>
          </w:p>
        </w:tc>
      </w:tr>
      <w:tr w:rsidR="00CC703E" w14:paraId="49534D89" w14:textId="77777777">
        <w:trPr>
          <w:cantSplit/>
          <w:trHeight w:val="379"/>
        </w:trPr>
        <w:tc>
          <w:tcPr>
            <w:tcW w:w="2410" w:type="dxa"/>
          </w:tcPr>
          <w:p w14:paraId="50039619" w14:textId="77777777" w:rsidR="00CC703E" w:rsidRPr="00E37FDB" w:rsidRDefault="00E37FDB" w:rsidP="00934A25">
            <w:pPr>
              <w:pStyle w:val="Tabletext"/>
            </w:pPr>
            <w:r w:rsidRPr="00E37FDB">
              <w:t>TSV</w:t>
            </w:r>
          </w:p>
        </w:tc>
        <w:tc>
          <w:tcPr>
            <w:tcW w:w="6816" w:type="dxa"/>
          </w:tcPr>
          <w:p w14:paraId="34A216D9" w14:textId="77777777" w:rsidR="00CC703E" w:rsidRDefault="00E37FDB">
            <w:pPr>
              <w:pStyle w:val="Tabletext"/>
            </w:pPr>
            <w:r>
              <w:t>taura syndrome virus</w:t>
            </w:r>
          </w:p>
        </w:tc>
      </w:tr>
      <w:tr w:rsidR="00CC703E" w14:paraId="3CC12200" w14:textId="77777777">
        <w:trPr>
          <w:cantSplit/>
          <w:trHeight w:val="379"/>
        </w:trPr>
        <w:tc>
          <w:tcPr>
            <w:tcW w:w="2410" w:type="dxa"/>
          </w:tcPr>
          <w:p w14:paraId="1BD25E48" w14:textId="77777777" w:rsidR="00CC703E" w:rsidRPr="00E37FDB" w:rsidRDefault="00E37FDB" w:rsidP="00934A25">
            <w:pPr>
              <w:pStyle w:val="Tabletext"/>
            </w:pPr>
            <w:r w:rsidRPr="00E37FDB">
              <w:t>WSD</w:t>
            </w:r>
          </w:p>
        </w:tc>
        <w:tc>
          <w:tcPr>
            <w:tcW w:w="6816" w:type="dxa"/>
          </w:tcPr>
          <w:p w14:paraId="7077BE01" w14:textId="77777777" w:rsidR="00CC703E" w:rsidRDefault="00E37FDB">
            <w:pPr>
              <w:pStyle w:val="Tabletext"/>
            </w:pPr>
            <w:r>
              <w:t>white spot disease</w:t>
            </w:r>
          </w:p>
        </w:tc>
      </w:tr>
      <w:tr w:rsidR="00CC703E" w14:paraId="03CC09A1" w14:textId="77777777">
        <w:trPr>
          <w:cantSplit/>
          <w:trHeight w:val="379"/>
        </w:trPr>
        <w:tc>
          <w:tcPr>
            <w:tcW w:w="2410" w:type="dxa"/>
          </w:tcPr>
          <w:p w14:paraId="58423ABB" w14:textId="77777777" w:rsidR="00CC703E" w:rsidRPr="00E37FDB" w:rsidRDefault="00E37FDB" w:rsidP="00934A25">
            <w:pPr>
              <w:pStyle w:val="Tabletext"/>
            </w:pPr>
            <w:r w:rsidRPr="00E37FDB">
              <w:t>WSSV</w:t>
            </w:r>
          </w:p>
        </w:tc>
        <w:tc>
          <w:tcPr>
            <w:tcW w:w="6816" w:type="dxa"/>
          </w:tcPr>
          <w:p w14:paraId="7FD404E0" w14:textId="77777777" w:rsidR="00CC703E" w:rsidRDefault="00E37FDB">
            <w:pPr>
              <w:pStyle w:val="Tabletext"/>
            </w:pPr>
            <w:r>
              <w:t>white spot syndrome virus</w:t>
            </w:r>
          </w:p>
        </w:tc>
      </w:tr>
      <w:tr w:rsidR="00CC703E" w14:paraId="76E04C54" w14:textId="77777777">
        <w:trPr>
          <w:cantSplit/>
          <w:trHeight w:val="379"/>
        </w:trPr>
        <w:tc>
          <w:tcPr>
            <w:tcW w:w="2410" w:type="dxa"/>
          </w:tcPr>
          <w:p w14:paraId="459A0987" w14:textId="77777777" w:rsidR="00CC703E" w:rsidRPr="00E37FDB" w:rsidRDefault="00E37FDB" w:rsidP="00934A25">
            <w:pPr>
              <w:pStyle w:val="Tabletext"/>
            </w:pPr>
            <w:r w:rsidRPr="00E37FDB">
              <w:t>WTO</w:t>
            </w:r>
          </w:p>
        </w:tc>
        <w:tc>
          <w:tcPr>
            <w:tcW w:w="6816" w:type="dxa"/>
          </w:tcPr>
          <w:p w14:paraId="416C680B" w14:textId="77777777" w:rsidR="00CC703E" w:rsidRDefault="00E37FDB">
            <w:pPr>
              <w:pStyle w:val="Tabletext"/>
            </w:pPr>
            <w:r>
              <w:t>World Trade Organization</w:t>
            </w:r>
          </w:p>
        </w:tc>
      </w:tr>
      <w:tr w:rsidR="00CC703E" w14:paraId="63F85EAF" w14:textId="77777777">
        <w:trPr>
          <w:cantSplit/>
          <w:trHeight w:val="379"/>
        </w:trPr>
        <w:tc>
          <w:tcPr>
            <w:tcW w:w="2410" w:type="dxa"/>
            <w:tcBorders>
              <w:bottom w:val="single" w:sz="4" w:space="0" w:color="auto"/>
            </w:tcBorders>
          </w:tcPr>
          <w:p w14:paraId="15DD26A8" w14:textId="77777777" w:rsidR="00CC703E" w:rsidRPr="00E37FDB" w:rsidRDefault="00E37FDB" w:rsidP="00934A25">
            <w:pPr>
              <w:pStyle w:val="Tabletext"/>
            </w:pPr>
            <w:r w:rsidRPr="00E37FDB">
              <w:t>YHV</w:t>
            </w:r>
          </w:p>
        </w:tc>
        <w:tc>
          <w:tcPr>
            <w:tcW w:w="6816" w:type="dxa"/>
            <w:tcBorders>
              <w:bottom w:val="single" w:sz="4" w:space="0" w:color="auto"/>
            </w:tcBorders>
          </w:tcPr>
          <w:p w14:paraId="6020C37C" w14:textId="0FCDF91F" w:rsidR="00CC703E" w:rsidRDefault="00E37FDB">
            <w:pPr>
              <w:pStyle w:val="Tabletext"/>
            </w:pPr>
            <w:r>
              <w:t>yellow head virus</w:t>
            </w:r>
          </w:p>
        </w:tc>
      </w:tr>
    </w:tbl>
    <w:p w14:paraId="4A555C54" w14:textId="7FB0B7BF" w:rsidR="008078E0" w:rsidRDefault="008078E0">
      <w:pPr>
        <w:tabs>
          <w:tab w:val="clear" w:pos="567"/>
        </w:tabs>
        <w:spacing w:before="0" w:after="0"/>
      </w:pPr>
    </w:p>
    <w:p w14:paraId="398611C0" w14:textId="77777777" w:rsidR="008078E0" w:rsidRDefault="008078E0">
      <w:pPr>
        <w:tabs>
          <w:tab w:val="clear" w:pos="567"/>
        </w:tabs>
        <w:spacing w:before="0" w:after="0"/>
      </w:pPr>
      <w:r>
        <w:br w:type="page"/>
      </w:r>
    </w:p>
    <w:p w14:paraId="602E7D89" w14:textId="7BB0D707" w:rsidR="008078E0" w:rsidRPr="008078E0" w:rsidRDefault="008078E0" w:rsidP="00FC1687">
      <w:pPr>
        <w:pStyle w:val="Heading2"/>
        <w:numPr>
          <w:ilvl w:val="0"/>
          <w:numId w:val="0"/>
        </w:numPr>
        <w:ind w:left="907" w:hanging="907"/>
      </w:pPr>
      <w:bookmarkStart w:id="364" w:name="_Toc500508460"/>
      <w:r>
        <w:lastRenderedPageBreak/>
        <w:t>References</w:t>
      </w:r>
      <w:bookmarkEnd w:id="364"/>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
        <w:gridCol w:w="8539"/>
      </w:tblGrid>
      <w:tr w:rsidR="004B3A66" w:rsidRPr="00F647D7" w14:paraId="6D450EBC" w14:textId="77777777" w:rsidTr="00573539">
        <w:tc>
          <w:tcPr>
            <w:tcW w:w="812" w:type="dxa"/>
            <w:hideMark/>
          </w:tcPr>
          <w:p w14:paraId="2FF33031" w14:textId="77777777" w:rsidR="004B3A66" w:rsidRPr="00F647D7" w:rsidRDefault="004B3A66" w:rsidP="00573539">
            <w:pPr>
              <w:tabs>
                <w:tab w:val="clear" w:pos="567"/>
              </w:tabs>
              <w:spacing w:before="40" w:after="40"/>
              <w:rPr>
                <w:sz w:val="22"/>
              </w:rPr>
            </w:pPr>
            <w:r w:rsidRPr="00F647D7">
              <w:rPr>
                <w:sz w:val="22"/>
              </w:rPr>
              <w:t>1</w:t>
            </w:r>
          </w:p>
        </w:tc>
        <w:tc>
          <w:tcPr>
            <w:tcW w:w="8539" w:type="dxa"/>
            <w:hideMark/>
          </w:tcPr>
          <w:p w14:paraId="1F8C87DE" w14:textId="77777777" w:rsidR="004B3A66" w:rsidRPr="00F647D7" w:rsidRDefault="004B3A66" w:rsidP="00573539">
            <w:pPr>
              <w:tabs>
                <w:tab w:val="clear" w:pos="567"/>
              </w:tabs>
              <w:spacing w:before="40" w:after="40"/>
              <w:rPr>
                <w:sz w:val="22"/>
              </w:rPr>
            </w:pPr>
            <w:r w:rsidRPr="00F647D7">
              <w:rPr>
                <w:sz w:val="22"/>
              </w:rPr>
              <w:t xml:space="preserve">Senate Rural and Regional Affairs and Transport References Committee 2017, </w:t>
            </w:r>
            <w:hyperlink r:id="rId46" w:history="1">
              <w:r w:rsidRPr="00F647D7">
                <w:rPr>
                  <w:rStyle w:val="Hyperlink"/>
                  <w:sz w:val="22"/>
                </w:rPr>
                <w:t>Report on the inquiries into the importation of seafood and seafood products (pdf 47.5kb)</w:t>
              </w:r>
            </w:hyperlink>
            <w:r w:rsidRPr="00F647D7">
              <w:rPr>
                <w:sz w:val="22"/>
              </w:rPr>
              <w:t>, Commonwealth of Australia, Canberra.</w:t>
            </w:r>
          </w:p>
        </w:tc>
      </w:tr>
      <w:tr w:rsidR="004B3A66" w:rsidRPr="00F647D7" w14:paraId="758EBA86" w14:textId="77777777" w:rsidTr="00573539">
        <w:tc>
          <w:tcPr>
            <w:tcW w:w="812" w:type="dxa"/>
            <w:hideMark/>
          </w:tcPr>
          <w:p w14:paraId="0D534041" w14:textId="77777777" w:rsidR="004B3A66" w:rsidRPr="00F647D7" w:rsidRDefault="004B3A66" w:rsidP="00573539">
            <w:pPr>
              <w:tabs>
                <w:tab w:val="clear" w:pos="567"/>
              </w:tabs>
              <w:spacing w:before="40" w:after="40"/>
              <w:rPr>
                <w:sz w:val="22"/>
              </w:rPr>
            </w:pPr>
            <w:r w:rsidRPr="00F647D7">
              <w:rPr>
                <w:sz w:val="22"/>
              </w:rPr>
              <w:t>2</w:t>
            </w:r>
          </w:p>
        </w:tc>
        <w:tc>
          <w:tcPr>
            <w:tcW w:w="8539" w:type="dxa"/>
            <w:hideMark/>
          </w:tcPr>
          <w:p w14:paraId="4DD4BE20" w14:textId="77777777" w:rsidR="004B3A66" w:rsidRPr="00F647D7" w:rsidRDefault="004B3A66" w:rsidP="00573539">
            <w:pPr>
              <w:tabs>
                <w:tab w:val="clear" w:pos="567"/>
              </w:tabs>
              <w:spacing w:before="40" w:after="40"/>
              <w:rPr>
                <w:sz w:val="22"/>
              </w:rPr>
            </w:pPr>
            <w:r w:rsidRPr="00F647D7">
              <w:rPr>
                <w:sz w:val="22"/>
              </w:rPr>
              <w:t xml:space="preserve">Senate Rural and Regional Affairs and Transport References Committee 2017, </w:t>
            </w:r>
            <w:hyperlink r:id="rId47" w:history="1">
              <w:r w:rsidRPr="00F647D7">
                <w:rPr>
                  <w:rStyle w:val="Hyperlink"/>
                  <w:sz w:val="22"/>
                </w:rPr>
                <w:t>Inquiries into the importation of seafood and seafood products</w:t>
              </w:r>
            </w:hyperlink>
            <w:r w:rsidRPr="00F647D7">
              <w:rPr>
                <w:sz w:val="22"/>
              </w:rPr>
              <w:t>, Canberra, accessed 4 August 2017.</w:t>
            </w:r>
          </w:p>
        </w:tc>
      </w:tr>
      <w:tr w:rsidR="004B3A66" w:rsidRPr="00F647D7" w14:paraId="15EE65A1" w14:textId="77777777" w:rsidTr="00573539">
        <w:tc>
          <w:tcPr>
            <w:tcW w:w="812" w:type="dxa"/>
            <w:hideMark/>
          </w:tcPr>
          <w:p w14:paraId="7F968BE7" w14:textId="77777777" w:rsidR="004B3A66" w:rsidRPr="00F647D7" w:rsidRDefault="004B3A66" w:rsidP="00573539">
            <w:pPr>
              <w:tabs>
                <w:tab w:val="clear" w:pos="567"/>
              </w:tabs>
              <w:spacing w:before="40" w:after="40"/>
              <w:rPr>
                <w:sz w:val="22"/>
              </w:rPr>
            </w:pPr>
            <w:r w:rsidRPr="00F647D7">
              <w:rPr>
                <w:sz w:val="22"/>
              </w:rPr>
              <w:t>3</w:t>
            </w:r>
          </w:p>
        </w:tc>
        <w:tc>
          <w:tcPr>
            <w:tcW w:w="8539" w:type="dxa"/>
            <w:hideMark/>
          </w:tcPr>
          <w:p w14:paraId="4D822C68" w14:textId="77777777" w:rsidR="004B3A66" w:rsidRPr="00F647D7" w:rsidRDefault="004B3A66" w:rsidP="00573539">
            <w:pPr>
              <w:tabs>
                <w:tab w:val="clear" w:pos="567"/>
              </w:tabs>
              <w:spacing w:before="40" w:after="40"/>
              <w:rPr>
                <w:sz w:val="22"/>
              </w:rPr>
            </w:pPr>
            <w:r w:rsidRPr="00F647D7">
              <w:rPr>
                <w:sz w:val="22"/>
              </w:rPr>
              <w:t xml:space="preserve">Department of Agriculture and Water Resources 2017, </w:t>
            </w:r>
            <w:hyperlink r:id="rId48" w:history="1">
              <w:r w:rsidRPr="00F647D7">
                <w:rPr>
                  <w:rStyle w:val="Hyperlink"/>
                  <w:sz w:val="22"/>
                </w:rPr>
                <w:t>Response to questions on notice from Senate Rural and Regional Affairs and Transport Legislation Committee in relation to outbreak of white spot disease in the Logan River, Operation Cattai and suspension of the importation of uncooked prawns (pdf 199kb)</w:t>
              </w:r>
            </w:hyperlink>
            <w:r w:rsidRPr="00F647D7">
              <w:rPr>
                <w:sz w:val="22"/>
              </w:rPr>
              <w:t>, Canberra, 5 April.</w:t>
            </w:r>
          </w:p>
        </w:tc>
      </w:tr>
      <w:tr w:rsidR="004B3A66" w:rsidRPr="00F647D7" w14:paraId="281D7D90" w14:textId="77777777" w:rsidTr="00573539">
        <w:tc>
          <w:tcPr>
            <w:tcW w:w="812" w:type="dxa"/>
            <w:hideMark/>
          </w:tcPr>
          <w:p w14:paraId="75BD8EC7" w14:textId="77777777" w:rsidR="004B3A66" w:rsidRPr="00F647D7" w:rsidRDefault="004B3A66" w:rsidP="00573539">
            <w:pPr>
              <w:tabs>
                <w:tab w:val="clear" w:pos="567"/>
              </w:tabs>
              <w:spacing w:before="40" w:after="40"/>
              <w:rPr>
                <w:sz w:val="22"/>
              </w:rPr>
            </w:pPr>
            <w:r w:rsidRPr="00F647D7">
              <w:rPr>
                <w:sz w:val="22"/>
              </w:rPr>
              <w:t>4</w:t>
            </w:r>
          </w:p>
        </w:tc>
        <w:tc>
          <w:tcPr>
            <w:tcW w:w="8539" w:type="dxa"/>
            <w:hideMark/>
          </w:tcPr>
          <w:p w14:paraId="041B5877" w14:textId="77777777" w:rsidR="004B3A66" w:rsidRPr="00F647D7" w:rsidRDefault="004B3A66" w:rsidP="00573539">
            <w:pPr>
              <w:tabs>
                <w:tab w:val="clear" w:pos="567"/>
              </w:tabs>
              <w:spacing w:before="40" w:after="40"/>
              <w:rPr>
                <w:sz w:val="22"/>
              </w:rPr>
            </w:pPr>
            <w:r w:rsidRPr="00F647D7">
              <w:rPr>
                <w:sz w:val="22"/>
              </w:rPr>
              <w:t xml:space="preserve">Senate Rural and Regional Affairs and Transport References Committee 2017, </w:t>
            </w:r>
            <w:hyperlink r:id="rId49" w:history="1">
              <w:r w:rsidRPr="00F647D7">
                <w:rPr>
                  <w:rStyle w:val="Hyperlink"/>
                  <w:sz w:val="22"/>
                </w:rPr>
                <w:t>Inquiries into the importation of seafood and seafood products</w:t>
              </w:r>
            </w:hyperlink>
            <w:r w:rsidRPr="00F647D7">
              <w:rPr>
                <w:sz w:val="22"/>
              </w:rPr>
              <w:t>, Canberra, accessed 4 August 2017.</w:t>
            </w:r>
          </w:p>
        </w:tc>
      </w:tr>
      <w:tr w:rsidR="004B3A66" w:rsidRPr="00F647D7" w14:paraId="31F7FE9F" w14:textId="77777777" w:rsidTr="00573539">
        <w:tc>
          <w:tcPr>
            <w:tcW w:w="812" w:type="dxa"/>
            <w:hideMark/>
          </w:tcPr>
          <w:p w14:paraId="0E66B6DC" w14:textId="77777777" w:rsidR="004B3A66" w:rsidRPr="00F647D7" w:rsidRDefault="004B3A66" w:rsidP="00573539">
            <w:pPr>
              <w:tabs>
                <w:tab w:val="clear" w:pos="567"/>
              </w:tabs>
              <w:spacing w:before="40" w:after="40"/>
              <w:rPr>
                <w:sz w:val="22"/>
              </w:rPr>
            </w:pPr>
            <w:r w:rsidRPr="00F647D7">
              <w:rPr>
                <w:sz w:val="22"/>
              </w:rPr>
              <w:t>5</w:t>
            </w:r>
          </w:p>
        </w:tc>
        <w:tc>
          <w:tcPr>
            <w:tcW w:w="8539" w:type="dxa"/>
            <w:hideMark/>
          </w:tcPr>
          <w:p w14:paraId="1581DC95" w14:textId="77777777" w:rsidR="004B3A66" w:rsidRPr="00F647D7" w:rsidRDefault="004B3A66" w:rsidP="00573539">
            <w:pPr>
              <w:tabs>
                <w:tab w:val="clear" w:pos="567"/>
              </w:tabs>
              <w:spacing w:before="40" w:after="40"/>
              <w:rPr>
                <w:sz w:val="22"/>
              </w:rPr>
            </w:pPr>
            <w:r w:rsidRPr="00F647D7">
              <w:rPr>
                <w:sz w:val="22"/>
              </w:rPr>
              <w:t xml:space="preserve">Senate Rural and Regional Affairs and Transport References Committee 2017, </w:t>
            </w:r>
            <w:hyperlink r:id="rId50" w:history="1">
              <w:r w:rsidRPr="00F647D7">
                <w:rPr>
                  <w:rStyle w:val="Hyperlink"/>
                  <w:sz w:val="22"/>
                </w:rPr>
                <w:t>Inquiries into the importation of seafood and seafood products</w:t>
              </w:r>
            </w:hyperlink>
            <w:r w:rsidRPr="00F647D7">
              <w:rPr>
                <w:sz w:val="22"/>
              </w:rPr>
              <w:t>, Canberra, accessed 4 August 2017.</w:t>
            </w:r>
          </w:p>
        </w:tc>
      </w:tr>
      <w:tr w:rsidR="004B3A66" w:rsidRPr="00F647D7" w14:paraId="77E9236E" w14:textId="77777777" w:rsidTr="00573539">
        <w:tc>
          <w:tcPr>
            <w:tcW w:w="812" w:type="dxa"/>
            <w:hideMark/>
          </w:tcPr>
          <w:p w14:paraId="11EFDFF9" w14:textId="77777777" w:rsidR="004B3A66" w:rsidRPr="00F647D7" w:rsidRDefault="004B3A66" w:rsidP="00573539">
            <w:pPr>
              <w:tabs>
                <w:tab w:val="clear" w:pos="567"/>
              </w:tabs>
              <w:spacing w:before="40" w:after="40"/>
              <w:rPr>
                <w:sz w:val="22"/>
              </w:rPr>
            </w:pPr>
            <w:r w:rsidRPr="00F647D7">
              <w:rPr>
                <w:sz w:val="22"/>
              </w:rPr>
              <w:t>6</w:t>
            </w:r>
          </w:p>
        </w:tc>
        <w:tc>
          <w:tcPr>
            <w:tcW w:w="8539" w:type="dxa"/>
            <w:hideMark/>
          </w:tcPr>
          <w:p w14:paraId="3A700E80" w14:textId="77777777" w:rsidR="004B3A66" w:rsidRPr="00F647D7" w:rsidRDefault="004B3A66" w:rsidP="00573539">
            <w:pPr>
              <w:tabs>
                <w:tab w:val="clear" w:pos="567"/>
              </w:tabs>
              <w:spacing w:before="40" w:after="40"/>
              <w:rPr>
                <w:sz w:val="22"/>
              </w:rPr>
            </w:pPr>
            <w:r w:rsidRPr="00F647D7">
              <w:rPr>
                <w:sz w:val="22"/>
              </w:rPr>
              <w:t xml:space="preserve">Senate Rural and Regional Affairs and Transport References Committee 2017, </w:t>
            </w:r>
            <w:hyperlink r:id="rId51" w:history="1">
              <w:r w:rsidRPr="00F647D7">
                <w:rPr>
                  <w:rStyle w:val="Hyperlink"/>
                  <w:sz w:val="22"/>
                </w:rPr>
                <w:t>Interim report—biosecurity risks associated with the importation of seafood and seafood products (including uncooked prawns and uncooked prawn meat) into Australia</w:t>
              </w:r>
            </w:hyperlink>
            <w:r w:rsidRPr="00F647D7">
              <w:rPr>
                <w:sz w:val="22"/>
              </w:rPr>
              <w:t>, Commonwealth of Australia, Canberra, 22 June, accessed 4 August 2017.</w:t>
            </w:r>
          </w:p>
        </w:tc>
      </w:tr>
      <w:tr w:rsidR="004B3A66" w:rsidRPr="00F647D7" w14:paraId="436ED8D4" w14:textId="77777777" w:rsidTr="00573539">
        <w:tc>
          <w:tcPr>
            <w:tcW w:w="812" w:type="dxa"/>
            <w:hideMark/>
          </w:tcPr>
          <w:p w14:paraId="4601387C" w14:textId="77777777" w:rsidR="004B3A66" w:rsidRPr="00F647D7" w:rsidRDefault="004B3A66" w:rsidP="00573539">
            <w:pPr>
              <w:tabs>
                <w:tab w:val="clear" w:pos="567"/>
              </w:tabs>
              <w:spacing w:before="40" w:after="40"/>
              <w:rPr>
                <w:sz w:val="22"/>
              </w:rPr>
            </w:pPr>
            <w:r w:rsidRPr="00F647D7">
              <w:rPr>
                <w:sz w:val="22"/>
              </w:rPr>
              <w:t>7</w:t>
            </w:r>
          </w:p>
        </w:tc>
        <w:tc>
          <w:tcPr>
            <w:tcW w:w="8539" w:type="dxa"/>
            <w:hideMark/>
          </w:tcPr>
          <w:p w14:paraId="37E0BAE6" w14:textId="77777777" w:rsidR="004B3A66" w:rsidRPr="00F647D7" w:rsidRDefault="004B3A66" w:rsidP="00573539">
            <w:pPr>
              <w:tabs>
                <w:tab w:val="clear" w:pos="567"/>
              </w:tabs>
              <w:spacing w:before="40" w:after="40"/>
              <w:rPr>
                <w:sz w:val="22"/>
              </w:rPr>
            </w:pPr>
            <w:r w:rsidRPr="00F647D7">
              <w:rPr>
                <w:sz w:val="22"/>
              </w:rPr>
              <w:t xml:space="preserve">Senate Rural and Regional Affairs and Transport References Committee 2017, </w:t>
            </w:r>
            <w:hyperlink r:id="rId52" w:history="1">
              <w:r w:rsidRPr="00F647D7">
                <w:rPr>
                  <w:rStyle w:val="Hyperlink"/>
                  <w:sz w:val="22"/>
                </w:rPr>
                <w:t>Final report—biosecurity risks associated with the importation of seafood and seafood products (including uncooked prawns and uncooked prawn meat) into Australia</w:t>
              </w:r>
            </w:hyperlink>
            <w:r w:rsidRPr="00F647D7">
              <w:rPr>
                <w:sz w:val="22"/>
              </w:rPr>
              <w:t>, Commonwealth of Australia, Canberra, 31 October, accessed 31 October 2017.</w:t>
            </w:r>
          </w:p>
        </w:tc>
      </w:tr>
      <w:tr w:rsidR="004B3A66" w:rsidRPr="00F647D7" w14:paraId="203567FC" w14:textId="77777777" w:rsidTr="00573539">
        <w:tc>
          <w:tcPr>
            <w:tcW w:w="812" w:type="dxa"/>
            <w:hideMark/>
          </w:tcPr>
          <w:p w14:paraId="0E811D9A" w14:textId="77777777" w:rsidR="004B3A66" w:rsidRPr="00F647D7" w:rsidRDefault="004B3A66" w:rsidP="00573539">
            <w:pPr>
              <w:tabs>
                <w:tab w:val="clear" w:pos="567"/>
              </w:tabs>
              <w:spacing w:before="40" w:after="40"/>
              <w:rPr>
                <w:sz w:val="22"/>
              </w:rPr>
            </w:pPr>
            <w:r w:rsidRPr="00F647D7">
              <w:rPr>
                <w:sz w:val="22"/>
              </w:rPr>
              <w:t>8</w:t>
            </w:r>
          </w:p>
        </w:tc>
        <w:tc>
          <w:tcPr>
            <w:tcW w:w="8539" w:type="dxa"/>
            <w:hideMark/>
          </w:tcPr>
          <w:p w14:paraId="0A595598" w14:textId="77777777" w:rsidR="004B3A66" w:rsidRPr="00F647D7" w:rsidRDefault="004B3A66" w:rsidP="00573539">
            <w:pPr>
              <w:tabs>
                <w:tab w:val="clear" w:pos="567"/>
              </w:tabs>
              <w:spacing w:before="40" w:after="40"/>
              <w:rPr>
                <w:sz w:val="22"/>
              </w:rPr>
            </w:pPr>
            <w:r w:rsidRPr="00F647D7">
              <w:rPr>
                <w:sz w:val="22"/>
              </w:rPr>
              <w:t xml:space="preserve">Diggles, BK 2017, </w:t>
            </w:r>
            <w:hyperlink r:id="rId53" w:history="1">
              <w:r w:rsidRPr="00F647D7">
                <w:rPr>
                  <w:rStyle w:val="Hyperlink"/>
                  <w:sz w:val="22"/>
                </w:rPr>
                <w:t>Field observations and assessment of the response to an outbreak of white spot disease (WSD) in black tiger prawns (Penaeus monodon) farmed on the Logan River in November 2016 (pdf 6.63mb)</w:t>
              </w:r>
            </w:hyperlink>
            <w:r w:rsidRPr="00F647D7">
              <w:rPr>
                <w:sz w:val="22"/>
              </w:rPr>
              <w:t>, FRDC project no. 2016-064, Fisheries Research and Development Corporation, Canberra, February 2017, accessed 4 August 2017.</w:t>
            </w:r>
          </w:p>
        </w:tc>
      </w:tr>
      <w:tr w:rsidR="004B3A66" w:rsidRPr="00F647D7" w14:paraId="2F747755" w14:textId="77777777" w:rsidTr="00573539">
        <w:tc>
          <w:tcPr>
            <w:tcW w:w="812" w:type="dxa"/>
            <w:hideMark/>
          </w:tcPr>
          <w:p w14:paraId="3BE2F821" w14:textId="77777777" w:rsidR="004B3A66" w:rsidRPr="00F647D7" w:rsidRDefault="004B3A66" w:rsidP="00573539">
            <w:pPr>
              <w:tabs>
                <w:tab w:val="clear" w:pos="567"/>
              </w:tabs>
              <w:spacing w:before="40" w:after="40"/>
              <w:rPr>
                <w:sz w:val="22"/>
              </w:rPr>
            </w:pPr>
            <w:r w:rsidRPr="00F647D7">
              <w:rPr>
                <w:sz w:val="22"/>
              </w:rPr>
              <w:t>9</w:t>
            </w:r>
          </w:p>
        </w:tc>
        <w:tc>
          <w:tcPr>
            <w:tcW w:w="8539" w:type="dxa"/>
            <w:hideMark/>
          </w:tcPr>
          <w:p w14:paraId="0D55CBB4" w14:textId="77777777" w:rsidR="004B3A66" w:rsidRPr="00F647D7" w:rsidRDefault="004B3A66" w:rsidP="00573539">
            <w:pPr>
              <w:tabs>
                <w:tab w:val="clear" w:pos="567"/>
              </w:tabs>
              <w:spacing w:before="40" w:after="40"/>
              <w:rPr>
                <w:sz w:val="22"/>
              </w:rPr>
            </w:pPr>
            <w:r w:rsidRPr="00F647D7">
              <w:rPr>
                <w:sz w:val="22"/>
              </w:rPr>
              <w:t xml:space="preserve">Department of Agriculture 2013, </w:t>
            </w:r>
            <w:hyperlink r:id="rId54" w:history="1">
              <w:r w:rsidRPr="00F647D7">
                <w:rPr>
                  <w:rStyle w:val="Hyperlink"/>
                  <w:sz w:val="22"/>
                </w:rPr>
                <w:t>Disease strategy: white spot disease (version 2.0)</w:t>
              </w:r>
            </w:hyperlink>
            <w:r w:rsidRPr="00F647D7">
              <w:rPr>
                <w:sz w:val="22"/>
              </w:rPr>
              <w:t xml:space="preserve"> in </w:t>
            </w:r>
            <w:r w:rsidRPr="00F647D7">
              <w:rPr>
                <w:i/>
                <w:iCs/>
                <w:sz w:val="22"/>
              </w:rPr>
              <w:t>Australian Aquatic Veterinary Emergency Plan (AQUAVETPLAN)</w:t>
            </w:r>
            <w:r w:rsidRPr="00F647D7">
              <w:rPr>
                <w:sz w:val="22"/>
              </w:rPr>
              <w:t>, Canberra, accessed 13 July 2017.</w:t>
            </w:r>
          </w:p>
        </w:tc>
      </w:tr>
      <w:tr w:rsidR="004B3A66" w:rsidRPr="00F647D7" w14:paraId="004EB5F7" w14:textId="77777777" w:rsidTr="00573539">
        <w:tc>
          <w:tcPr>
            <w:tcW w:w="812" w:type="dxa"/>
            <w:hideMark/>
          </w:tcPr>
          <w:p w14:paraId="2212C189" w14:textId="77777777" w:rsidR="004B3A66" w:rsidRPr="00F647D7" w:rsidRDefault="004B3A66" w:rsidP="00573539">
            <w:pPr>
              <w:tabs>
                <w:tab w:val="clear" w:pos="567"/>
              </w:tabs>
              <w:spacing w:before="40" w:after="40"/>
              <w:rPr>
                <w:sz w:val="22"/>
              </w:rPr>
            </w:pPr>
            <w:r w:rsidRPr="00F647D7">
              <w:rPr>
                <w:sz w:val="22"/>
              </w:rPr>
              <w:t>10</w:t>
            </w:r>
          </w:p>
        </w:tc>
        <w:tc>
          <w:tcPr>
            <w:tcW w:w="8539" w:type="dxa"/>
            <w:hideMark/>
          </w:tcPr>
          <w:p w14:paraId="44976D73" w14:textId="77777777" w:rsidR="004B3A66" w:rsidRPr="00F647D7" w:rsidRDefault="004B3A66" w:rsidP="00573539">
            <w:pPr>
              <w:tabs>
                <w:tab w:val="clear" w:pos="567"/>
              </w:tabs>
              <w:spacing w:before="40" w:after="40"/>
              <w:rPr>
                <w:sz w:val="22"/>
              </w:rPr>
            </w:pPr>
            <w:r w:rsidRPr="00F647D7">
              <w:rPr>
                <w:sz w:val="22"/>
              </w:rPr>
              <w:t xml:space="preserve">Department of Agriculture and Water Resources 2017, </w:t>
            </w:r>
            <w:hyperlink r:id="rId55" w:history="1">
              <w:r w:rsidRPr="00F647D7">
                <w:rPr>
                  <w:rStyle w:val="Hyperlink"/>
                  <w:sz w:val="22"/>
                </w:rPr>
                <w:t>Report into the cause of white spot syndrome virus outbreak in the Logan River area of Queensland—December 2016 (pdf 608kb)</w:t>
              </w:r>
            </w:hyperlink>
            <w:r w:rsidRPr="00F647D7">
              <w:rPr>
                <w:sz w:val="22"/>
              </w:rPr>
              <w:t>, Canberra, 22 May.</w:t>
            </w:r>
          </w:p>
        </w:tc>
      </w:tr>
      <w:tr w:rsidR="004B3A66" w:rsidRPr="00F647D7" w14:paraId="6792D6F1" w14:textId="77777777" w:rsidTr="00573539">
        <w:tc>
          <w:tcPr>
            <w:tcW w:w="812" w:type="dxa"/>
            <w:hideMark/>
          </w:tcPr>
          <w:p w14:paraId="66A76865" w14:textId="77777777" w:rsidR="004B3A66" w:rsidRPr="00F647D7" w:rsidRDefault="004B3A66" w:rsidP="00573539">
            <w:pPr>
              <w:tabs>
                <w:tab w:val="clear" w:pos="567"/>
              </w:tabs>
              <w:spacing w:before="40" w:after="40"/>
              <w:rPr>
                <w:sz w:val="22"/>
              </w:rPr>
            </w:pPr>
            <w:r w:rsidRPr="00F647D7">
              <w:rPr>
                <w:sz w:val="22"/>
              </w:rPr>
              <w:t>11</w:t>
            </w:r>
          </w:p>
        </w:tc>
        <w:tc>
          <w:tcPr>
            <w:tcW w:w="8539" w:type="dxa"/>
            <w:hideMark/>
          </w:tcPr>
          <w:p w14:paraId="3F5CD637" w14:textId="77777777" w:rsidR="004B3A66" w:rsidRPr="00F647D7" w:rsidRDefault="004B3A66" w:rsidP="00573539">
            <w:pPr>
              <w:tabs>
                <w:tab w:val="clear" w:pos="567"/>
              </w:tabs>
              <w:spacing w:before="40" w:after="40"/>
              <w:rPr>
                <w:sz w:val="22"/>
              </w:rPr>
            </w:pPr>
            <w:r w:rsidRPr="00F647D7">
              <w:rPr>
                <w:sz w:val="22"/>
              </w:rPr>
              <w:t xml:space="preserve">Glanville, R, Neville, P &amp; Walker, P 2017, </w:t>
            </w:r>
            <w:hyperlink r:id="rId56" w:history="1">
              <w:r w:rsidRPr="00F647D7">
                <w:rPr>
                  <w:rStyle w:val="Hyperlink"/>
                  <w:sz w:val="22"/>
                </w:rPr>
                <w:t>White spot disease of prawns—Queensland response 2016–17 (pdf 566kb)</w:t>
              </w:r>
            </w:hyperlink>
            <w:r w:rsidRPr="00F647D7">
              <w:rPr>
                <w:sz w:val="22"/>
              </w:rPr>
              <w:t>, Scenario Planning Advisory Panel report, February 2017.</w:t>
            </w:r>
          </w:p>
        </w:tc>
      </w:tr>
      <w:tr w:rsidR="004B3A66" w:rsidRPr="00F647D7" w14:paraId="58A62BBE" w14:textId="77777777" w:rsidTr="00573539">
        <w:tc>
          <w:tcPr>
            <w:tcW w:w="812" w:type="dxa"/>
            <w:hideMark/>
          </w:tcPr>
          <w:p w14:paraId="074CC906" w14:textId="77777777" w:rsidR="004B3A66" w:rsidRPr="00F647D7" w:rsidRDefault="004B3A66" w:rsidP="00573539">
            <w:pPr>
              <w:tabs>
                <w:tab w:val="clear" w:pos="567"/>
              </w:tabs>
              <w:spacing w:before="40" w:after="40"/>
              <w:rPr>
                <w:sz w:val="22"/>
              </w:rPr>
            </w:pPr>
            <w:r w:rsidRPr="00F647D7">
              <w:rPr>
                <w:sz w:val="22"/>
              </w:rPr>
              <w:t>12</w:t>
            </w:r>
          </w:p>
        </w:tc>
        <w:tc>
          <w:tcPr>
            <w:tcW w:w="8539" w:type="dxa"/>
            <w:hideMark/>
          </w:tcPr>
          <w:p w14:paraId="27C8AD1E" w14:textId="77777777" w:rsidR="004B3A66" w:rsidRPr="00F647D7" w:rsidRDefault="004B3A66" w:rsidP="00573539">
            <w:pPr>
              <w:tabs>
                <w:tab w:val="clear" w:pos="567"/>
              </w:tabs>
              <w:spacing w:before="40" w:after="40"/>
              <w:rPr>
                <w:sz w:val="22"/>
              </w:rPr>
            </w:pPr>
            <w:r w:rsidRPr="00F647D7">
              <w:rPr>
                <w:sz w:val="22"/>
              </w:rPr>
              <w:t xml:space="preserve">National pest &amp; disease outbreaks 2017, </w:t>
            </w:r>
            <w:hyperlink r:id="rId57" w:history="1">
              <w:r w:rsidRPr="00F647D7">
                <w:rPr>
                  <w:rStyle w:val="Hyperlink"/>
                  <w:sz w:val="22"/>
                </w:rPr>
                <w:t>White spot disease</w:t>
              </w:r>
            </w:hyperlink>
            <w:r w:rsidRPr="00F647D7">
              <w:rPr>
                <w:sz w:val="22"/>
              </w:rPr>
              <w:t>, Canberra, accessed 15 August 2017.</w:t>
            </w:r>
          </w:p>
        </w:tc>
      </w:tr>
      <w:tr w:rsidR="004B3A66" w:rsidRPr="00F647D7" w14:paraId="3B35CC25" w14:textId="77777777" w:rsidTr="00573539">
        <w:tc>
          <w:tcPr>
            <w:tcW w:w="812" w:type="dxa"/>
            <w:hideMark/>
          </w:tcPr>
          <w:p w14:paraId="79E8FBAD" w14:textId="77777777" w:rsidR="004B3A66" w:rsidRPr="00F647D7" w:rsidRDefault="004B3A66" w:rsidP="00573539">
            <w:pPr>
              <w:tabs>
                <w:tab w:val="clear" w:pos="567"/>
              </w:tabs>
              <w:spacing w:before="40" w:after="40"/>
              <w:rPr>
                <w:sz w:val="22"/>
              </w:rPr>
            </w:pPr>
            <w:r w:rsidRPr="00F647D7">
              <w:rPr>
                <w:sz w:val="22"/>
              </w:rPr>
              <w:t>13</w:t>
            </w:r>
          </w:p>
        </w:tc>
        <w:tc>
          <w:tcPr>
            <w:tcW w:w="8539" w:type="dxa"/>
            <w:hideMark/>
          </w:tcPr>
          <w:p w14:paraId="7A0C0C03" w14:textId="77777777" w:rsidR="004B3A66" w:rsidRPr="00F647D7" w:rsidRDefault="004B3A66" w:rsidP="00573539">
            <w:pPr>
              <w:tabs>
                <w:tab w:val="clear" w:pos="567"/>
              </w:tabs>
              <w:spacing w:before="40" w:after="40"/>
              <w:rPr>
                <w:sz w:val="22"/>
              </w:rPr>
            </w:pPr>
            <w:r w:rsidRPr="00F647D7">
              <w:rPr>
                <w:sz w:val="22"/>
              </w:rPr>
              <w:t>Biosecurity Queensland 2017 ‘Movement control order (Moreton Bay)—white spot syndrome virus’, Department of Agriculture and Fisheries, Brisbane, 16 March.</w:t>
            </w:r>
          </w:p>
        </w:tc>
      </w:tr>
      <w:tr w:rsidR="004B3A66" w:rsidRPr="00F647D7" w14:paraId="4ABF2170" w14:textId="77777777" w:rsidTr="00573539">
        <w:tc>
          <w:tcPr>
            <w:tcW w:w="812" w:type="dxa"/>
            <w:hideMark/>
          </w:tcPr>
          <w:p w14:paraId="19E5876D" w14:textId="77777777" w:rsidR="004B3A66" w:rsidRPr="00F647D7" w:rsidRDefault="004B3A66" w:rsidP="00573539">
            <w:pPr>
              <w:tabs>
                <w:tab w:val="clear" w:pos="567"/>
              </w:tabs>
              <w:spacing w:before="40" w:after="40"/>
              <w:rPr>
                <w:sz w:val="22"/>
              </w:rPr>
            </w:pPr>
            <w:r w:rsidRPr="00F647D7">
              <w:rPr>
                <w:sz w:val="22"/>
              </w:rPr>
              <w:t>14</w:t>
            </w:r>
          </w:p>
        </w:tc>
        <w:tc>
          <w:tcPr>
            <w:tcW w:w="8539" w:type="dxa"/>
            <w:hideMark/>
          </w:tcPr>
          <w:p w14:paraId="15892E3A" w14:textId="77777777" w:rsidR="004B3A66" w:rsidRPr="00F647D7" w:rsidRDefault="004B3A66" w:rsidP="00573539">
            <w:pPr>
              <w:tabs>
                <w:tab w:val="clear" w:pos="567"/>
              </w:tabs>
              <w:spacing w:before="40" w:after="40"/>
              <w:rPr>
                <w:sz w:val="22"/>
              </w:rPr>
            </w:pPr>
            <w:r w:rsidRPr="00F647D7">
              <w:rPr>
                <w:sz w:val="22"/>
              </w:rPr>
              <w:t xml:space="preserve">Biosecurity Queensland 2017, </w:t>
            </w:r>
            <w:r w:rsidRPr="00F647D7">
              <w:rPr>
                <w:i/>
                <w:sz w:val="22"/>
              </w:rPr>
              <w:t>Industry update: Queensland on track in fight against white spot disease</w:t>
            </w:r>
            <w:r w:rsidRPr="00F647D7">
              <w:rPr>
                <w:sz w:val="22"/>
              </w:rPr>
              <w:t>, Department of Agriculture and Fisheries, Brisbane, 12 October.</w:t>
            </w:r>
          </w:p>
        </w:tc>
      </w:tr>
      <w:tr w:rsidR="004B3A66" w:rsidRPr="00F647D7" w14:paraId="3976F2FD" w14:textId="77777777" w:rsidTr="00573539">
        <w:tc>
          <w:tcPr>
            <w:tcW w:w="812" w:type="dxa"/>
            <w:hideMark/>
          </w:tcPr>
          <w:p w14:paraId="2172B2A3" w14:textId="77777777" w:rsidR="004B3A66" w:rsidRPr="00F647D7" w:rsidRDefault="004B3A66" w:rsidP="00573539">
            <w:pPr>
              <w:tabs>
                <w:tab w:val="clear" w:pos="567"/>
              </w:tabs>
              <w:spacing w:before="40" w:after="40"/>
              <w:rPr>
                <w:sz w:val="22"/>
              </w:rPr>
            </w:pPr>
            <w:r w:rsidRPr="00F647D7">
              <w:rPr>
                <w:sz w:val="22"/>
              </w:rPr>
              <w:t>15</w:t>
            </w:r>
          </w:p>
        </w:tc>
        <w:tc>
          <w:tcPr>
            <w:tcW w:w="8539" w:type="dxa"/>
            <w:hideMark/>
          </w:tcPr>
          <w:p w14:paraId="483BCEBD" w14:textId="77777777" w:rsidR="004B3A66" w:rsidRPr="00F647D7" w:rsidRDefault="004B3A66" w:rsidP="00573539">
            <w:pPr>
              <w:tabs>
                <w:tab w:val="clear" w:pos="567"/>
              </w:tabs>
              <w:spacing w:before="40" w:after="40"/>
              <w:rPr>
                <w:sz w:val="22"/>
              </w:rPr>
            </w:pPr>
            <w:r w:rsidRPr="00F647D7">
              <w:rPr>
                <w:sz w:val="22"/>
              </w:rPr>
              <w:t xml:space="preserve">Queensland Government 2017, </w:t>
            </w:r>
            <w:hyperlink r:id="rId58" w:history="1">
              <w:r w:rsidRPr="00F647D7">
                <w:rPr>
                  <w:rStyle w:val="Hyperlink"/>
                  <w:sz w:val="22"/>
                </w:rPr>
                <w:t>Queensland Government contribution to the white spot disease response (pdf 225kb)</w:t>
              </w:r>
            </w:hyperlink>
            <w:r w:rsidRPr="00F647D7">
              <w:rPr>
                <w:sz w:val="22"/>
              </w:rPr>
              <w:t>.</w:t>
            </w:r>
          </w:p>
        </w:tc>
      </w:tr>
      <w:tr w:rsidR="004B3A66" w:rsidRPr="00F647D7" w14:paraId="543F6E20" w14:textId="77777777" w:rsidTr="00573539">
        <w:tc>
          <w:tcPr>
            <w:tcW w:w="812" w:type="dxa"/>
            <w:hideMark/>
          </w:tcPr>
          <w:p w14:paraId="2354B4F2" w14:textId="77777777" w:rsidR="004B3A66" w:rsidRPr="00F647D7" w:rsidRDefault="004B3A66" w:rsidP="00573539">
            <w:pPr>
              <w:tabs>
                <w:tab w:val="clear" w:pos="567"/>
              </w:tabs>
              <w:spacing w:before="40" w:after="40"/>
              <w:rPr>
                <w:sz w:val="22"/>
              </w:rPr>
            </w:pPr>
            <w:r w:rsidRPr="00F647D7">
              <w:rPr>
                <w:sz w:val="22"/>
              </w:rPr>
              <w:t>16</w:t>
            </w:r>
          </w:p>
        </w:tc>
        <w:tc>
          <w:tcPr>
            <w:tcW w:w="8539" w:type="dxa"/>
            <w:hideMark/>
          </w:tcPr>
          <w:p w14:paraId="03AE6403" w14:textId="77777777" w:rsidR="004B3A66" w:rsidRPr="00F647D7" w:rsidRDefault="004B3A66" w:rsidP="00573539">
            <w:pPr>
              <w:tabs>
                <w:tab w:val="clear" w:pos="567"/>
              </w:tabs>
              <w:spacing w:before="40" w:after="40"/>
              <w:rPr>
                <w:sz w:val="22"/>
              </w:rPr>
            </w:pPr>
            <w:r w:rsidRPr="00F647D7">
              <w:rPr>
                <w:sz w:val="22"/>
              </w:rPr>
              <w:t xml:space="preserve">Ridge Partners 2017, </w:t>
            </w:r>
            <w:hyperlink r:id="rId59" w:history="1">
              <w:r w:rsidRPr="00F647D7">
                <w:rPr>
                  <w:rStyle w:val="Hyperlink"/>
                  <w:iCs/>
                  <w:sz w:val="22"/>
                </w:rPr>
                <w:t>Summary overview: economic impact of 2016 white spot disease outbreak (pdf 1.1mb)</w:t>
              </w:r>
            </w:hyperlink>
            <w:r w:rsidRPr="00F647D7">
              <w:rPr>
                <w:sz w:val="22"/>
              </w:rPr>
              <w:t>, FRDC report no. 2016-267, Fisheries Research and Development Corporation, p. 10.</w:t>
            </w:r>
          </w:p>
        </w:tc>
      </w:tr>
      <w:tr w:rsidR="004B3A66" w:rsidRPr="00F647D7" w14:paraId="4132E6C6" w14:textId="77777777" w:rsidTr="00573539">
        <w:tc>
          <w:tcPr>
            <w:tcW w:w="812" w:type="dxa"/>
            <w:hideMark/>
          </w:tcPr>
          <w:p w14:paraId="2070B3D1" w14:textId="77777777" w:rsidR="004B3A66" w:rsidRPr="00F647D7" w:rsidRDefault="004B3A66" w:rsidP="00573539">
            <w:pPr>
              <w:tabs>
                <w:tab w:val="clear" w:pos="567"/>
              </w:tabs>
              <w:spacing w:before="40" w:after="40"/>
              <w:rPr>
                <w:sz w:val="22"/>
              </w:rPr>
            </w:pPr>
            <w:r w:rsidRPr="00F647D7">
              <w:rPr>
                <w:sz w:val="22"/>
              </w:rPr>
              <w:t>17</w:t>
            </w:r>
          </w:p>
        </w:tc>
        <w:tc>
          <w:tcPr>
            <w:tcW w:w="8539" w:type="dxa"/>
            <w:hideMark/>
          </w:tcPr>
          <w:p w14:paraId="1EAF2BE0" w14:textId="77777777" w:rsidR="004B3A66" w:rsidRPr="00F647D7" w:rsidRDefault="004B3A66" w:rsidP="00573539">
            <w:pPr>
              <w:tabs>
                <w:tab w:val="clear" w:pos="567"/>
              </w:tabs>
              <w:spacing w:before="40" w:after="40"/>
              <w:rPr>
                <w:sz w:val="22"/>
              </w:rPr>
            </w:pPr>
            <w:r w:rsidRPr="00F647D7">
              <w:rPr>
                <w:sz w:val="22"/>
              </w:rPr>
              <w:t xml:space="preserve">Seafood Importers Association of Australasia Inc. 2017, </w:t>
            </w:r>
            <w:hyperlink r:id="rId60" w:history="1">
              <w:r w:rsidRPr="00F647D7">
                <w:rPr>
                  <w:rStyle w:val="Hyperlink"/>
                  <w:sz w:val="22"/>
                </w:rPr>
                <w:t>Submission to the Senate inquiry into biosecurity risks associated with the importation of seafood and seafood products (including uncooked prawns and uncooked prawn meat) into Australia (pdf 1.44mb)</w:t>
              </w:r>
            </w:hyperlink>
            <w:r w:rsidRPr="00F647D7">
              <w:rPr>
                <w:iCs/>
                <w:sz w:val="22"/>
              </w:rPr>
              <w:t xml:space="preserve">, Senate Rural and Regional Affairs References Committee Inquiry into biosecurity risks </w:t>
            </w:r>
            <w:r w:rsidRPr="00F647D7">
              <w:rPr>
                <w:iCs/>
                <w:sz w:val="22"/>
              </w:rPr>
              <w:lastRenderedPageBreak/>
              <w:t xml:space="preserve">associated with the importation of seafood and seafood products (including uncooked prawns and uncooked prawn meat) into Australia, Canberra, </w:t>
            </w:r>
            <w:r w:rsidRPr="00F647D7">
              <w:rPr>
                <w:sz w:val="22"/>
              </w:rPr>
              <w:t>10 May, p. 10.</w:t>
            </w:r>
          </w:p>
        </w:tc>
      </w:tr>
      <w:tr w:rsidR="004B3A66" w:rsidRPr="00F647D7" w14:paraId="637C36C4" w14:textId="77777777" w:rsidTr="00573539">
        <w:tc>
          <w:tcPr>
            <w:tcW w:w="812" w:type="dxa"/>
            <w:hideMark/>
          </w:tcPr>
          <w:p w14:paraId="58CC0ED2" w14:textId="77777777" w:rsidR="004B3A66" w:rsidRPr="00F647D7" w:rsidRDefault="004B3A66" w:rsidP="00573539">
            <w:pPr>
              <w:tabs>
                <w:tab w:val="clear" w:pos="567"/>
              </w:tabs>
              <w:spacing w:before="40" w:after="40"/>
              <w:rPr>
                <w:sz w:val="22"/>
              </w:rPr>
            </w:pPr>
            <w:r w:rsidRPr="00F647D7">
              <w:rPr>
                <w:sz w:val="22"/>
              </w:rPr>
              <w:lastRenderedPageBreak/>
              <w:t>18</w:t>
            </w:r>
          </w:p>
        </w:tc>
        <w:tc>
          <w:tcPr>
            <w:tcW w:w="8539" w:type="dxa"/>
            <w:hideMark/>
          </w:tcPr>
          <w:p w14:paraId="276186C7" w14:textId="77777777" w:rsidR="004B3A66" w:rsidRPr="00F647D7" w:rsidRDefault="004B3A66" w:rsidP="00573539">
            <w:pPr>
              <w:tabs>
                <w:tab w:val="clear" w:pos="567"/>
              </w:tabs>
              <w:spacing w:before="40" w:after="40"/>
              <w:rPr>
                <w:sz w:val="22"/>
              </w:rPr>
            </w:pPr>
            <w:r w:rsidRPr="00F647D7">
              <w:rPr>
                <w:sz w:val="22"/>
              </w:rPr>
              <w:t xml:space="preserve">Queensland Department of Agriculture and Fisheries 2015, </w:t>
            </w:r>
            <w:hyperlink r:id="rId61" w:history="1">
              <w:r w:rsidRPr="00F647D7">
                <w:rPr>
                  <w:rStyle w:val="Hyperlink"/>
                  <w:sz w:val="22"/>
                </w:rPr>
                <w:t>Health protocol for the importation of live prawns from outside Queensland’s east coast waters, aquaculture protocol FARMPR001 (pdf 274kb)</w:t>
              </w:r>
            </w:hyperlink>
            <w:r w:rsidRPr="00F647D7">
              <w:rPr>
                <w:sz w:val="22"/>
              </w:rPr>
              <w:t>, Brisbane, December, p. 3.</w:t>
            </w:r>
          </w:p>
        </w:tc>
      </w:tr>
      <w:tr w:rsidR="004B3A66" w:rsidRPr="00F647D7" w14:paraId="3B57AE8F" w14:textId="77777777" w:rsidTr="00573539">
        <w:tc>
          <w:tcPr>
            <w:tcW w:w="812" w:type="dxa"/>
            <w:hideMark/>
          </w:tcPr>
          <w:p w14:paraId="2F4DD911" w14:textId="77777777" w:rsidR="004B3A66" w:rsidRPr="00F647D7" w:rsidRDefault="004B3A66" w:rsidP="00573539">
            <w:pPr>
              <w:tabs>
                <w:tab w:val="clear" w:pos="567"/>
              </w:tabs>
              <w:spacing w:before="40" w:after="40"/>
              <w:rPr>
                <w:sz w:val="22"/>
              </w:rPr>
            </w:pPr>
            <w:r w:rsidRPr="00F647D7">
              <w:rPr>
                <w:sz w:val="22"/>
              </w:rPr>
              <w:t>19</w:t>
            </w:r>
          </w:p>
        </w:tc>
        <w:tc>
          <w:tcPr>
            <w:tcW w:w="8539" w:type="dxa"/>
            <w:hideMark/>
          </w:tcPr>
          <w:p w14:paraId="588D2F2D" w14:textId="77777777" w:rsidR="004B3A66" w:rsidRPr="00F647D7" w:rsidRDefault="004B3A66" w:rsidP="00573539">
            <w:pPr>
              <w:tabs>
                <w:tab w:val="clear" w:pos="567"/>
              </w:tabs>
              <w:spacing w:before="40" w:after="40"/>
              <w:rPr>
                <w:sz w:val="22"/>
              </w:rPr>
            </w:pPr>
            <w:r w:rsidRPr="00F647D7">
              <w:rPr>
                <w:sz w:val="22"/>
              </w:rPr>
              <w:t xml:space="preserve">Wouters, R, Lavens, P, Nieto, J &amp; Sorgeloos, P 2001, </w:t>
            </w:r>
            <w:hyperlink r:id="rId62" w:history="1">
              <w:r w:rsidRPr="00F647D7">
                <w:rPr>
                  <w:rStyle w:val="Hyperlink"/>
                  <w:sz w:val="22"/>
                </w:rPr>
                <w:t>Penaeid shrimp broodstock nutrition: an updated review on research and development</w:t>
              </w:r>
            </w:hyperlink>
            <w:r w:rsidRPr="00F647D7">
              <w:rPr>
                <w:sz w:val="22"/>
              </w:rPr>
              <w:t xml:space="preserve">, </w:t>
            </w:r>
            <w:r w:rsidRPr="00F647D7">
              <w:rPr>
                <w:i/>
                <w:iCs/>
                <w:sz w:val="22"/>
              </w:rPr>
              <w:t>Aquaculture</w:t>
            </w:r>
            <w:r w:rsidRPr="00F647D7">
              <w:rPr>
                <w:sz w:val="22"/>
              </w:rPr>
              <w:t>, vol. 202, nos 1–2, pp. 1–21, doi: 10.1016/S0044-8486(01)00570-1, accessed 8 June 2017.</w:t>
            </w:r>
          </w:p>
        </w:tc>
      </w:tr>
      <w:tr w:rsidR="004B3A66" w:rsidRPr="00F647D7" w14:paraId="699B2CA9" w14:textId="77777777" w:rsidTr="00573539">
        <w:tc>
          <w:tcPr>
            <w:tcW w:w="812" w:type="dxa"/>
            <w:hideMark/>
          </w:tcPr>
          <w:p w14:paraId="2DD07C4B" w14:textId="77777777" w:rsidR="004B3A66" w:rsidRPr="00F647D7" w:rsidRDefault="004B3A66" w:rsidP="00573539">
            <w:pPr>
              <w:tabs>
                <w:tab w:val="clear" w:pos="567"/>
              </w:tabs>
              <w:spacing w:before="40" w:after="40"/>
              <w:rPr>
                <w:sz w:val="22"/>
              </w:rPr>
            </w:pPr>
            <w:r w:rsidRPr="00F647D7">
              <w:rPr>
                <w:sz w:val="22"/>
              </w:rPr>
              <w:t>20</w:t>
            </w:r>
          </w:p>
        </w:tc>
        <w:tc>
          <w:tcPr>
            <w:tcW w:w="8539" w:type="dxa"/>
            <w:hideMark/>
          </w:tcPr>
          <w:p w14:paraId="323D02A4" w14:textId="77777777" w:rsidR="004B3A66" w:rsidRPr="00F647D7" w:rsidRDefault="004B3A66" w:rsidP="00573539">
            <w:pPr>
              <w:tabs>
                <w:tab w:val="clear" w:pos="567"/>
              </w:tabs>
              <w:spacing w:before="40" w:after="40"/>
              <w:rPr>
                <w:sz w:val="22"/>
              </w:rPr>
            </w:pPr>
            <w:r w:rsidRPr="00F647D7">
              <w:rPr>
                <w:sz w:val="22"/>
              </w:rPr>
              <w:t xml:space="preserve">Australian Quarantine and Inspection Service 2000, </w:t>
            </w:r>
            <w:hyperlink r:id="rId63" w:history="1">
              <w:r w:rsidRPr="00F647D7">
                <w:rPr>
                  <w:rStyle w:val="Hyperlink"/>
                  <w:sz w:val="22"/>
                </w:rPr>
                <w:t>Draft document of import risk analysis process (pdf 463kb)</w:t>
              </w:r>
            </w:hyperlink>
            <w:r w:rsidRPr="00F647D7">
              <w:rPr>
                <w:i/>
                <w:iCs/>
                <w:sz w:val="22"/>
              </w:rPr>
              <w:t xml:space="preserve">, </w:t>
            </w:r>
            <w:r w:rsidRPr="00F647D7">
              <w:rPr>
                <w:sz w:val="22"/>
              </w:rPr>
              <w:t>Australian Quarantine and Inspection Service, Department of Agriculture, Fisheries and Forestry, Canberra.</w:t>
            </w:r>
          </w:p>
        </w:tc>
      </w:tr>
      <w:tr w:rsidR="004B3A66" w:rsidRPr="00F647D7" w14:paraId="050F86E4" w14:textId="77777777" w:rsidTr="00573539">
        <w:tc>
          <w:tcPr>
            <w:tcW w:w="812" w:type="dxa"/>
            <w:hideMark/>
          </w:tcPr>
          <w:p w14:paraId="010D3C7F" w14:textId="77777777" w:rsidR="004B3A66" w:rsidRPr="00F647D7" w:rsidRDefault="004B3A66" w:rsidP="00573539">
            <w:pPr>
              <w:tabs>
                <w:tab w:val="clear" w:pos="567"/>
              </w:tabs>
              <w:spacing w:before="40" w:after="40"/>
              <w:rPr>
                <w:sz w:val="22"/>
              </w:rPr>
            </w:pPr>
            <w:r w:rsidRPr="00F647D7">
              <w:rPr>
                <w:sz w:val="22"/>
              </w:rPr>
              <w:t>21</w:t>
            </w:r>
          </w:p>
        </w:tc>
        <w:tc>
          <w:tcPr>
            <w:tcW w:w="8539" w:type="dxa"/>
            <w:hideMark/>
          </w:tcPr>
          <w:p w14:paraId="73D6733B" w14:textId="77777777" w:rsidR="004B3A66" w:rsidRPr="00F647D7" w:rsidRDefault="004B3A66" w:rsidP="00573539">
            <w:pPr>
              <w:tabs>
                <w:tab w:val="clear" w:pos="567"/>
              </w:tabs>
              <w:spacing w:before="40" w:after="40"/>
              <w:rPr>
                <w:sz w:val="22"/>
              </w:rPr>
            </w:pPr>
            <w:r w:rsidRPr="00F647D7">
              <w:rPr>
                <w:sz w:val="22"/>
              </w:rPr>
              <w:t xml:space="preserve">Edgerton, BF &amp; Owens, L 2000, </w:t>
            </w:r>
            <w:hyperlink r:id="rId64" w:history="1">
              <w:r w:rsidRPr="00F647D7">
                <w:rPr>
                  <w:rStyle w:val="Hyperlink"/>
                  <w:sz w:val="22"/>
                </w:rPr>
                <w:t>Case study: Charoen Pokphand prawn feed mill in Samut Sakorn Province, Thailand (pdf 20kb)</w:t>
              </w:r>
            </w:hyperlink>
            <w:r w:rsidRPr="00F647D7">
              <w:rPr>
                <w:sz w:val="22"/>
              </w:rPr>
              <w:t>, Australian Quarantine and Inspection Service, Department of Agriculture, Fisheries and Forestry, Canberra.</w:t>
            </w:r>
          </w:p>
        </w:tc>
      </w:tr>
      <w:tr w:rsidR="004B3A66" w:rsidRPr="00F647D7" w14:paraId="48A00FAB" w14:textId="77777777" w:rsidTr="00573539">
        <w:tc>
          <w:tcPr>
            <w:tcW w:w="812" w:type="dxa"/>
            <w:hideMark/>
          </w:tcPr>
          <w:p w14:paraId="3FB6796C" w14:textId="77777777" w:rsidR="004B3A66" w:rsidRPr="00F647D7" w:rsidRDefault="004B3A66" w:rsidP="00573539">
            <w:pPr>
              <w:tabs>
                <w:tab w:val="clear" w:pos="567"/>
              </w:tabs>
              <w:spacing w:before="40" w:after="40"/>
              <w:rPr>
                <w:sz w:val="22"/>
              </w:rPr>
            </w:pPr>
            <w:r w:rsidRPr="00F647D7">
              <w:rPr>
                <w:sz w:val="22"/>
              </w:rPr>
              <w:t>22</w:t>
            </w:r>
          </w:p>
        </w:tc>
        <w:tc>
          <w:tcPr>
            <w:tcW w:w="8539" w:type="dxa"/>
            <w:hideMark/>
          </w:tcPr>
          <w:p w14:paraId="565CFE99" w14:textId="77777777" w:rsidR="004B3A66" w:rsidRPr="00F647D7" w:rsidRDefault="004B3A66" w:rsidP="00573539">
            <w:pPr>
              <w:tabs>
                <w:tab w:val="clear" w:pos="567"/>
              </w:tabs>
              <w:spacing w:before="40" w:after="40"/>
              <w:rPr>
                <w:sz w:val="22"/>
              </w:rPr>
            </w:pPr>
            <w:r w:rsidRPr="00F647D7">
              <w:rPr>
                <w:sz w:val="22"/>
              </w:rPr>
              <w:t xml:space="preserve">Pongmaneerat, J, Kasornchandra, J, Boonyaratpalin, S &amp; Boonyaratpalin, M 2001, </w:t>
            </w:r>
            <w:hyperlink r:id="rId65" w:history="1">
              <w:r w:rsidRPr="00F647D7">
                <w:rPr>
                  <w:rStyle w:val="Hyperlink"/>
                  <w:sz w:val="22"/>
                </w:rPr>
                <w:t>Effect of dietary shrimp head meal contaminated with white spot syndrome virus (WSSV) on detection of WSSV in black tiger shrimp (Penaeus monodon Fabricius)</w:t>
              </w:r>
            </w:hyperlink>
            <w:r w:rsidRPr="00F647D7">
              <w:rPr>
                <w:sz w:val="22"/>
              </w:rPr>
              <w:t xml:space="preserve">, </w:t>
            </w:r>
            <w:r w:rsidRPr="00F647D7">
              <w:rPr>
                <w:i/>
                <w:iCs/>
                <w:sz w:val="22"/>
              </w:rPr>
              <w:t>Aquaculture Research</w:t>
            </w:r>
            <w:r w:rsidRPr="00F647D7">
              <w:rPr>
                <w:sz w:val="22"/>
              </w:rPr>
              <w:t>, vol. 32, no. 1 (suppl.), pp. 383–7, doi: 10.1046/j.1355-557x.2001.00029.x, accessed 5 October 2017.</w:t>
            </w:r>
          </w:p>
        </w:tc>
      </w:tr>
      <w:tr w:rsidR="004B3A66" w:rsidRPr="00F647D7" w14:paraId="4EBF44CB" w14:textId="77777777" w:rsidTr="00573539">
        <w:tc>
          <w:tcPr>
            <w:tcW w:w="812" w:type="dxa"/>
            <w:hideMark/>
          </w:tcPr>
          <w:p w14:paraId="3F85F607" w14:textId="77777777" w:rsidR="004B3A66" w:rsidRPr="00F647D7" w:rsidRDefault="004B3A66" w:rsidP="00573539">
            <w:pPr>
              <w:tabs>
                <w:tab w:val="clear" w:pos="567"/>
              </w:tabs>
              <w:spacing w:before="40" w:after="40"/>
              <w:rPr>
                <w:sz w:val="22"/>
              </w:rPr>
            </w:pPr>
            <w:r w:rsidRPr="00F647D7">
              <w:rPr>
                <w:sz w:val="22"/>
              </w:rPr>
              <w:t>23</w:t>
            </w:r>
          </w:p>
        </w:tc>
        <w:tc>
          <w:tcPr>
            <w:tcW w:w="8539" w:type="dxa"/>
            <w:hideMark/>
          </w:tcPr>
          <w:p w14:paraId="113C3B65" w14:textId="77777777" w:rsidR="004B3A66" w:rsidRPr="00F647D7" w:rsidRDefault="004B3A66" w:rsidP="00573539">
            <w:pPr>
              <w:tabs>
                <w:tab w:val="clear" w:pos="567"/>
              </w:tabs>
              <w:spacing w:before="40" w:after="40"/>
              <w:rPr>
                <w:sz w:val="22"/>
              </w:rPr>
            </w:pPr>
            <w:r w:rsidRPr="00F647D7">
              <w:rPr>
                <w:sz w:val="22"/>
              </w:rPr>
              <w:t xml:space="preserve">OIE 2017, </w:t>
            </w:r>
            <w:hyperlink r:id="rId66" w:history="1">
              <w:r w:rsidRPr="00F647D7">
                <w:rPr>
                  <w:rStyle w:val="Hyperlink"/>
                  <w:sz w:val="22"/>
                </w:rPr>
                <w:t>Aquatic Animal Health Code</w:t>
              </w:r>
            </w:hyperlink>
            <w:r w:rsidRPr="00F647D7">
              <w:rPr>
                <w:sz w:val="22"/>
              </w:rPr>
              <w:t>, World Organisation for Animal Health, Paris</w:t>
            </w:r>
            <w:r w:rsidRPr="00F647D7">
              <w:rPr>
                <w:iCs/>
                <w:sz w:val="22"/>
              </w:rPr>
              <w:t>.</w:t>
            </w:r>
          </w:p>
        </w:tc>
      </w:tr>
      <w:tr w:rsidR="004B3A66" w:rsidRPr="00F647D7" w14:paraId="43E69C6D" w14:textId="77777777" w:rsidTr="00573539">
        <w:tc>
          <w:tcPr>
            <w:tcW w:w="812" w:type="dxa"/>
            <w:hideMark/>
          </w:tcPr>
          <w:p w14:paraId="1ABEF4F1" w14:textId="77777777" w:rsidR="004B3A66" w:rsidRPr="00F647D7" w:rsidRDefault="004B3A66" w:rsidP="00573539">
            <w:pPr>
              <w:tabs>
                <w:tab w:val="clear" w:pos="567"/>
              </w:tabs>
              <w:spacing w:before="40" w:after="40"/>
              <w:rPr>
                <w:sz w:val="22"/>
              </w:rPr>
            </w:pPr>
            <w:r w:rsidRPr="00F647D7">
              <w:rPr>
                <w:sz w:val="22"/>
              </w:rPr>
              <w:t>24</w:t>
            </w:r>
          </w:p>
        </w:tc>
        <w:tc>
          <w:tcPr>
            <w:tcW w:w="8539" w:type="dxa"/>
            <w:hideMark/>
          </w:tcPr>
          <w:p w14:paraId="2AC7892F" w14:textId="77777777" w:rsidR="004B3A66" w:rsidRPr="00F647D7" w:rsidRDefault="004B3A66" w:rsidP="00573539">
            <w:pPr>
              <w:tabs>
                <w:tab w:val="clear" w:pos="567"/>
              </w:tabs>
              <w:spacing w:before="40" w:after="40"/>
              <w:rPr>
                <w:sz w:val="22"/>
              </w:rPr>
            </w:pPr>
            <w:r w:rsidRPr="00F647D7">
              <w:rPr>
                <w:sz w:val="22"/>
              </w:rPr>
              <w:t xml:space="preserve">Smullen R 2017, </w:t>
            </w:r>
            <w:hyperlink r:id="rId67" w:history="1">
              <w:r w:rsidRPr="00F647D7">
                <w:rPr>
                  <w:rStyle w:val="Hyperlink"/>
                  <w:sz w:val="22"/>
                </w:rPr>
                <w:t>Evidence to Senate Rural and Regional Affairs and Transport References Committee</w:t>
              </w:r>
            </w:hyperlink>
            <w:r w:rsidRPr="00F647D7">
              <w:rPr>
                <w:sz w:val="22"/>
              </w:rPr>
              <w:t>, Parliament of Australia, Yatala, 27 June, p. 13, accessed 15 July 2017.</w:t>
            </w:r>
          </w:p>
        </w:tc>
      </w:tr>
      <w:tr w:rsidR="004B3A66" w:rsidRPr="00F647D7" w14:paraId="10A2F8AD" w14:textId="77777777" w:rsidTr="00573539">
        <w:tc>
          <w:tcPr>
            <w:tcW w:w="812" w:type="dxa"/>
            <w:hideMark/>
          </w:tcPr>
          <w:p w14:paraId="010BDEF6" w14:textId="77777777" w:rsidR="004B3A66" w:rsidRPr="00F647D7" w:rsidRDefault="004B3A66" w:rsidP="00573539">
            <w:pPr>
              <w:tabs>
                <w:tab w:val="clear" w:pos="567"/>
              </w:tabs>
              <w:spacing w:before="40" w:after="40"/>
              <w:rPr>
                <w:sz w:val="22"/>
              </w:rPr>
            </w:pPr>
            <w:r w:rsidRPr="00F647D7">
              <w:rPr>
                <w:sz w:val="22"/>
              </w:rPr>
              <w:t>25</w:t>
            </w:r>
          </w:p>
        </w:tc>
        <w:tc>
          <w:tcPr>
            <w:tcW w:w="8539" w:type="dxa"/>
            <w:hideMark/>
          </w:tcPr>
          <w:p w14:paraId="3F754348" w14:textId="77777777" w:rsidR="004B3A66" w:rsidRPr="00F647D7" w:rsidRDefault="004B3A66" w:rsidP="00573539">
            <w:pPr>
              <w:tabs>
                <w:tab w:val="clear" w:pos="567"/>
              </w:tabs>
              <w:spacing w:before="40" w:after="40"/>
              <w:rPr>
                <w:sz w:val="22"/>
              </w:rPr>
            </w:pPr>
            <w:r w:rsidRPr="00F647D7">
              <w:rPr>
                <w:sz w:val="22"/>
              </w:rPr>
              <w:t xml:space="preserve">Durand, </w:t>
            </w:r>
            <w:r w:rsidRPr="00F647D7">
              <w:rPr>
                <w:sz w:val="22"/>
                <w:lang w:val="en-NZ"/>
              </w:rPr>
              <w:t>SV</w:t>
            </w:r>
            <w:r w:rsidRPr="00F647D7">
              <w:rPr>
                <w:sz w:val="22"/>
              </w:rPr>
              <w:t xml:space="preserve"> &amp; Lightner, DV 2002, </w:t>
            </w:r>
            <w:hyperlink r:id="rId68" w:history="1">
              <w:r w:rsidRPr="00F647D7">
                <w:rPr>
                  <w:rStyle w:val="Hyperlink"/>
                  <w:sz w:val="22"/>
                </w:rPr>
                <w:t>Quantitative real time PCR for the measurement of white spot syndrome virus in shrimp</w:t>
              </w:r>
            </w:hyperlink>
            <w:r w:rsidRPr="00F647D7">
              <w:rPr>
                <w:sz w:val="22"/>
              </w:rPr>
              <w:t xml:space="preserve">, </w:t>
            </w:r>
            <w:r w:rsidRPr="00F647D7">
              <w:rPr>
                <w:i/>
                <w:iCs/>
                <w:sz w:val="22"/>
              </w:rPr>
              <w:t>Journal of Fish Diseases</w:t>
            </w:r>
            <w:r w:rsidRPr="00F647D7">
              <w:rPr>
                <w:iCs/>
                <w:sz w:val="22"/>
              </w:rPr>
              <w:t>,</w:t>
            </w:r>
            <w:r w:rsidRPr="00F647D7">
              <w:rPr>
                <w:sz w:val="22"/>
              </w:rPr>
              <w:t xml:space="preserve"> vol. </w:t>
            </w:r>
            <w:r w:rsidRPr="00F647D7">
              <w:rPr>
                <w:iCs/>
                <w:sz w:val="22"/>
              </w:rPr>
              <w:t>25</w:t>
            </w:r>
            <w:r w:rsidRPr="00F647D7">
              <w:rPr>
                <w:sz w:val="22"/>
              </w:rPr>
              <w:t>, no. 7, pp. 381–9, doi: 10.1046/j.1365-2761.2002.00367.x, accessed 8 June 2017.</w:t>
            </w:r>
          </w:p>
        </w:tc>
      </w:tr>
      <w:tr w:rsidR="004B3A66" w:rsidRPr="00F647D7" w14:paraId="5377ED91" w14:textId="77777777" w:rsidTr="00573539">
        <w:tc>
          <w:tcPr>
            <w:tcW w:w="812" w:type="dxa"/>
            <w:hideMark/>
          </w:tcPr>
          <w:p w14:paraId="572AC9C8" w14:textId="77777777" w:rsidR="004B3A66" w:rsidRPr="00F647D7" w:rsidRDefault="004B3A66" w:rsidP="00573539">
            <w:pPr>
              <w:tabs>
                <w:tab w:val="clear" w:pos="567"/>
              </w:tabs>
              <w:spacing w:before="40" w:after="40"/>
              <w:rPr>
                <w:sz w:val="22"/>
              </w:rPr>
            </w:pPr>
            <w:r w:rsidRPr="00F647D7">
              <w:rPr>
                <w:sz w:val="22"/>
              </w:rPr>
              <w:t>26</w:t>
            </w:r>
          </w:p>
        </w:tc>
        <w:tc>
          <w:tcPr>
            <w:tcW w:w="8539" w:type="dxa"/>
            <w:hideMark/>
          </w:tcPr>
          <w:p w14:paraId="1F8BDBB2" w14:textId="77777777" w:rsidR="004B3A66" w:rsidRPr="00F647D7" w:rsidRDefault="004B3A66" w:rsidP="00573539">
            <w:pPr>
              <w:tabs>
                <w:tab w:val="clear" w:pos="567"/>
              </w:tabs>
              <w:spacing w:before="40" w:after="40"/>
              <w:rPr>
                <w:sz w:val="22"/>
              </w:rPr>
            </w:pPr>
            <w:r w:rsidRPr="00F647D7">
              <w:rPr>
                <w:sz w:val="22"/>
              </w:rPr>
              <w:t xml:space="preserve">East, IJ, Black, PF, McColl, KA, Hodgson, RAJ &amp; Bernoth, E-M 2004, ‘Survey for the presence of white spot syndrome virus in Australian crustaceans’, </w:t>
            </w:r>
            <w:r w:rsidRPr="00F647D7">
              <w:rPr>
                <w:i/>
                <w:iCs/>
                <w:sz w:val="22"/>
              </w:rPr>
              <w:t>Australian Veterinary Journal</w:t>
            </w:r>
            <w:r w:rsidRPr="00F647D7">
              <w:rPr>
                <w:sz w:val="22"/>
              </w:rPr>
              <w:t>, vol. 82, no. 4, pp. 236–40, doi: 10.1111/j.1751-0813.2004.tb12688.x, accessed 8 June 2017.</w:t>
            </w:r>
          </w:p>
        </w:tc>
      </w:tr>
      <w:tr w:rsidR="004B3A66" w:rsidRPr="00F647D7" w14:paraId="2FC2730C" w14:textId="77777777" w:rsidTr="00573539">
        <w:tc>
          <w:tcPr>
            <w:tcW w:w="812" w:type="dxa"/>
            <w:hideMark/>
          </w:tcPr>
          <w:p w14:paraId="3AE1AC77" w14:textId="77777777" w:rsidR="004B3A66" w:rsidRPr="00F647D7" w:rsidRDefault="004B3A66" w:rsidP="00573539">
            <w:pPr>
              <w:tabs>
                <w:tab w:val="clear" w:pos="567"/>
              </w:tabs>
              <w:spacing w:before="40" w:after="40"/>
              <w:rPr>
                <w:sz w:val="22"/>
              </w:rPr>
            </w:pPr>
            <w:r w:rsidRPr="00F647D7">
              <w:rPr>
                <w:sz w:val="22"/>
              </w:rPr>
              <w:t>27</w:t>
            </w:r>
          </w:p>
        </w:tc>
        <w:tc>
          <w:tcPr>
            <w:tcW w:w="8539" w:type="dxa"/>
            <w:hideMark/>
          </w:tcPr>
          <w:p w14:paraId="7EA2346F" w14:textId="77777777" w:rsidR="004B3A66" w:rsidRPr="00F647D7" w:rsidRDefault="004B3A66" w:rsidP="00573539">
            <w:pPr>
              <w:tabs>
                <w:tab w:val="clear" w:pos="567"/>
              </w:tabs>
              <w:spacing w:before="40" w:after="40"/>
              <w:rPr>
                <w:sz w:val="22"/>
              </w:rPr>
            </w:pPr>
            <w:r w:rsidRPr="00F647D7">
              <w:rPr>
                <w:sz w:val="22"/>
              </w:rPr>
              <w:t xml:space="preserve">Cowley, JA, Moody, NJG, Mohr, PG, Rao, M, Williams, LM, Sellars, MJ &amp; Crane, MStJ 2015, </w:t>
            </w:r>
            <w:hyperlink r:id="rId69" w:history="1">
              <w:r w:rsidRPr="00F647D7">
                <w:rPr>
                  <w:rStyle w:val="Hyperlink"/>
                  <w:sz w:val="22"/>
                </w:rPr>
                <w:t>Viral presence, prevalence and disease management in wild populations of the Australian black tiger prawn (Penaeus monodon) (pdf 130mb)</w:t>
              </w:r>
            </w:hyperlink>
            <w:r w:rsidRPr="00F647D7">
              <w:rPr>
                <w:sz w:val="22"/>
              </w:rPr>
              <w:t>, FRDC project no. 2013/036, Fisheries Research and Development Corporation, Canberra.</w:t>
            </w:r>
          </w:p>
        </w:tc>
      </w:tr>
      <w:tr w:rsidR="004B3A66" w:rsidRPr="00F647D7" w14:paraId="081D4969" w14:textId="77777777" w:rsidTr="00573539">
        <w:tc>
          <w:tcPr>
            <w:tcW w:w="812" w:type="dxa"/>
            <w:hideMark/>
          </w:tcPr>
          <w:p w14:paraId="51C45C6A" w14:textId="77777777" w:rsidR="004B3A66" w:rsidRPr="00F647D7" w:rsidRDefault="004B3A66" w:rsidP="00573539">
            <w:pPr>
              <w:tabs>
                <w:tab w:val="clear" w:pos="567"/>
              </w:tabs>
              <w:spacing w:before="40" w:after="40"/>
              <w:rPr>
                <w:sz w:val="22"/>
              </w:rPr>
            </w:pPr>
            <w:r w:rsidRPr="00F647D7">
              <w:rPr>
                <w:sz w:val="22"/>
              </w:rPr>
              <w:t>28</w:t>
            </w:r>
          </w:p>
        </w:tc>
        <w:tc>
          <w:tcPr>
            <w:tcW w:w="8539" w:type="dxa"/>
            <w:hideMark/>
          </w:tcPr>
          <w:p w14:paraId="751A2C2A" w14:textId="77777777" w:rsidR="004B3A66" w:rsidRPr="00F647D7" w:rsidRDefault="004B3A66" w:rsidP="00573539">
            <w:pPr>
              <w:tabs>
                <w:tab w:val="clear" w:pos="567"/>
              </w:tabs>
              <w:spacing w:before="40" w:after="40"/>
              <w:rPr>
                <w:sz w:val="22"/>
              </w:rPr>
            </w:pPr>
            <w:r w:rsidRPr="00F647D7">
              <w:rPr>
                <w:sz w:val="22"/>
              </w:rPr>
              <w:t xml:space="preserve">Koopman, M 2017, </w:t>
            </w:r>
            <w:hyperlink r:id="rId70" w:history="1">
              <w:r w:rsidRPr="00F647D7">
                <w:rPr>
                  <w:rStyle w:val="Hyperlink"/>
                  <w:sz w:val="22"/>
                </w:rPr>
                <w:t>Collation of white spot syndrome virus testing from wild caught re-imported prawns (pdf 735kb)</w:t>
              </w:r>
            </w:hyperlink>
            <w:r w:rsidRPr="00F647D7">
              <w:rPr>
                <w:iCs/>
                <w:sz w:val="22"/>
              </w:rPr>
              <w:t>,</w:t>
            </w:r>
            <w:r w:rsidRPr="00F647D7">
              <w:rPr>
                <w:i/>
                <w:iCs/>
                <w:sz w:val="22"/>
              </w:rPr>
              <w:t xml:space="preserve"> </w:t>
            </w:r>
            <w:r w:rsidRPr="00F647D7">
              <w:rPr>
                <w:iCs/>
                <w:sz w:val="22"/>
              </w:rPr>
              <w:t xml:space="preserve">FRDC </w:t>
            </w:r>
            <w:r w:rsidRPr="00F647D7">
              <w:rPr>
                <w:sz w:val="22"/>
              </w:rPr>
              <w:t>final report 2016-172-DLD, Fisheries Research and Development Corporation, Canberra, 11 May.</w:t>
            </w:r>
          </w:p>
        </w:tc>
      </w:tr>
      <w:tr w:rsidR="004B3A66" w:rsidRPr="00F647D7" w14:paraId="10DC6012" w14:textId="77777777" w:rsidTr="00573539">
        <w:tc>
          <w:tcPr>
            <w:tcW w:w="812" w:type="dxa"/>
            <w:hideMark/>
          </w:tcPr>
          <w:p w14:paraId="66960840" w14:textId="77777777" w:rsidR="004B3A66" w:rsidRPr="00F647D7" w:rsidRDefault="004B3A66" w:rsidP="00573539">
            <w:pPr>
              <w:tabs>
                <w:tab w:val="clear" w:pos="567"/>
              </w:tabs>
              <w:spacing w:before="40" w:after="40"/>
              <w:rPr>
                <w:sz w:val="22"/>
              </w:rPr>
            </w:pPr>
            <w:r w:rsidRPr="00F647D7">
              <w:rPr>
                <w:sz w:val="22"/>
              </w:rPr>
              <w:t>29</w:t>
            </w:r>
          </w:p>
        </w:tc>
        <w:tc>
          <w:tcPr>
            <w:tcW w:w="8539" w:type="dxa"/>
            <w:hideMark/>
          </w:tcPr>
          <w:p w14:paraId="24C7678D" w14:textId="77777777" w:rsidR="004B3A66" w:rsidRPr="00F647D7" w:rsidRDefault="004B3A66" w:rsidP="00573539">
            <w:pPr>
              <w:tabs>
                <w:tab w:val="clear" w:pos="567"/>
              </w:tabs>
              <w:spacing w:before="40" w:after="40"/>
              <w:rPr>
                <w:sz w:val="22"/>
              </w:rPr>
            </w:pPr>
            <w:r w:rsidRPr="00F647D7">
              <w:rPr>
                <w:sz w:val="22"/>
              </w:rPr>
              <w:t xml:space="preserve">Lo, CF, Aoki, T, Bonami, JR, Flegel, TW, Leu, JH, Lightner, DV, Stentiford, G, Söderhäll, K, Walker, PW, Wang, HC, Xun, X, Yang, F &amp; Vlak, JM 2012, ‘Nimaviridae’, in AMQ King, MJ Adams, EB Carstens &amp; EJ Lefkowitz (eds), </w:t>
            </w:r>
            <w:r w:rsidRPr="00F647D7">
              <w:rPr>
                <w:i/>
                <w:iCs/>
                <w:sz w:val="22"/>
              </w:rPr>
              <w:t>Virus taxonomy: classification and nomenclature of viruses: ninth report of the International Committee on Taxonomy of Viruses</w:t>
            </w:r>
            <w:r w:rsidRPr="00F647D7">
              <w:rPr>
                <w:sz w:val="22"/>
              </w:rPr>
              <w:t>, Elsevier Academic Press, San Diego, United States, pp. 229–34.</w:t>
            </w:r>
          </w:p>
        </w:tc>
      </w:tr>
      <w:tr w:rsidR="004B3A66" w:rsidRPr="00F647D7" w14:paraId="318EA9C4" w14:textId="77777777" w:rsidTr="00573539">
        <w:tc>
          <w:tcPr>
            <w:tcW w:w="812" w:type="dxa"/>
            <w:hideMark/>
          </w:tcPr>
          <w:p w14:paraId="715E4FD4" w14:textId="77777777" w:rsidR="004B3A66" w:rsidRPr="00F647D7" w:rsidRDefault="004B3A66" w:rsidP="00573539">
            <w:pPr>
              <w:tabs>
                <w:tab w:val="clear" w:pos="567"/>
              </w:tabs>
              <w:spacing w:before="40" w:after="40"/>
              <w:rPr>
                <w:sz w:val="22"/>
              </w:rPr>
            </w:pPr>
            <w:r w:rsidRPr="00F647D7">
              <w:rPr>
                <w:sz w:val="22"/>
              </w:rPr>
              <w:t>30</w:t>
            </w:r>
          </w:p>
        </w:tc>
        <w:tc>
          <w:tcPr>
            <w:tcW w:w="8539" w:type="dxa"/>
            <w:hideMark/>
          </w:tcPr>
          <w:p w14:paraId="4A29682F" w14:textId="049386A7" w:rsidR="004B3A66" w:rsidRPr="00F647D7" w:rsidRDefault="004B3A66" w:rsidP="00C414A8">
            <w:pPr>
              <w:tabs>
                <w:tab w:val="clear" w:pos="567"/>
              </w:tabs>
              <w:spacing w:before="40" w:after="40"/>
              <w:rPr>
                <w:sz w:val="22"/>
              </w:rPr>
            </w:pPr>
            <w:r w:rsidRPr="00F647D7">
              <w:rPr>
                <w:sz w:val="22"/>
              </w:rPr>
              <w:t xml:space="preserve">Oakey, HJ &amp; Smith, </w:t>
            </w:r>
            <w:r w:rsidR="00C414A8">
              <w:rPr>
                <w:sz w:val="22"/>
              </w:rPr>
              <w:t>S</w:t>
            </w:r>
            <w:r w:rsidR="00C414A8" w:rsidRPr="00F647D7">
              <w:rPr>
                <w:sz w:val="22"/>
              </w:rPr>
              <w:t xml:space="preserve">S </w:t>
            </w:r>
            <w:r w:rsidRPr="00F647D7">
              <w:rPr>
                <w:sz w:val="22"/>
              </w:rPr>
              <w:t>201</w:t>
            </w:r>
            <w:r w:rsidR="00C414A8">
              <w:rPr>
                <w:sz w:val="22"/>
              </w:rPr>
              <w:t>8</w:t>
            </w:r>
            <w:r w:rsidRPr="00F647D7">
              <w:rPr>
                <w:sz w:val="22"/>
              </w:rPr>
              <w:t xml:space="preserve">, </w:t>
            </w:r>
            <w:hyperlink r:id="rId71" w:history="1">
              <w:r w:rsidRPr="00F647D7">
                <w:rPr>
                  <w:rStyle w:val="Hyperlink"/>
                  <w:sz w:val="22"/>
                </w:rPr>
                <w:t>Complete genome sequence of a white spot syndrome virus associated with a disease incursion in Australia</w:t>
              </w:r>
            </w:hyperlink>
            <w:r w:rsidRPr="00F647D7">
              <w:rPr>
                <w:sz w:val="22"/>
              </w:rPr>
              <w:t xml:space="preserve">, </w:t>
            </w:r>
            <w:r w:rsidRPr="00F647D7">
              <w:rPr>
                <w:i/>
                <w:sz w:val="22"/>
              </w:rPr>
              <w:t>Aquaculture</w:t>
            </w:r>
            <w:r w:rsidRPr="00F647D7">
              <w:rPr>
                <w:sz w:val="22"/>
              </w:rPr>
              <w:t>, vol. 484, pp. 152–9, doi: 10.1016/j.aquaculture.2017.11.009.</w:t>
            </w:r>
          </w:p>
        </w:tc>
      </w:tr>
      <w:tr w:rsidR="004B3A66" w:rsidRPr="00F647D7" w14:paraId="376643A8" w14:textId="77777777" w:rsidTr="00573539">
        <w:tc>
          <w:tcPr>
            <w:tcW w:w="812" w:type="dxa"/>
            <w:hideMark/>
          </w:tcPr>
          <w:p w14:paraId="4913A41C" w14:textId="77777777" w:rsidR="004B3A66" w:rsidRPr="00F647D7" w:rsidRDefault="004B3A66" w:rsidP="00573539">
            <w:pPr>
              <w:tabs>
                <w:tab w:val="clear" w:pos="567"/>
              </w:tabs>
              <w:spacing w:before="40" w:after="40"/>
              <w:rPr>
                <w:sz w:val="22"/>
              </w:rPr>
            </w:pPr>
            <w:r w:rsidRPr="00F647D7">
              <w:rPr>
                <w:sz w:val="22"/>
              </w:rPr>
              <w:t>31</w:t>
            </w:r>
          </w:p>
        </w:tc>
        <w:tc>
          <w:tcPr>
            <w:tcW w:w="8539" w:type="dxa"/>
            <w:hideMark/>
          </w:tcPr>
          <w:p w14:paraId="118BB332" w14:textId="77777777" w:rsidR="004B3A66" w:rsidRPr="00F647D7" w:rsidRDefault="004B3A66" w:rsidP="00573539">
            <w:pPr>
              <w:tabs>
                <w:tab w:val="clear" w:pos="567"/>
              </w:tabs>
              <w:spacing w:before="40" w:after="40"/>
              <w:rPr>
                <w:sz w:val="22"/>
              </w:rPr>
            </w:pPr>
            <w:r w:rsidRPr="00F647D7">
              <w:rPr>
                <w:sz w:val="22"/>
              </w:rPr>
              <w:t xml:space="preserve">Nakano, H, Hiraoka, M, Sameshima, M, Kimura, T &amp; Momoyama, K 1998, ‘Inactivation of penaeid rod-shaped DNA virus (PRDV), the causative agent of penaeid acute viraemia (PAV), by some chemical and physical treatments’, </w:t>
            </w:r>
            <w:r w:rsidRPr="00F647D7">
              <w:rPr>
                <w:i/>
                <w:iCs/>
                <w:sz w:val="22"/>
              </w:rPr>
              <w:t>Fish Pathology</w:t>
            </w:r>
            <w:r w:rsidRPr="00F647D7">
              <w:rPr>
                <w:sz w:val="22"/>
              </w:rPr>
              <w:t>, vol. 33, pp. 65–71.</w:t>
            </w:r>
          </w:p>
        </w:tc>
      </w:tr>
      <w:tr w:rsidR="004B3A66" w:rsidRPr="00F647D7" w14:paraId="0B6A849D" w14:textId="77777777" w:rsidTr="00573539">
        <w:tc>
          <w:tcPr>
            <w:tcW w:w="812" w:type="dxa"/>
            <w:hideMark/>
          </w:tcPr>
          <w:p w14:paraId="693E4A3D" w14:textId="77777777" w:rsidR="004B3A66" w:rsidRPr="00F647D7" w:rsidRDefault="004B3A66" w:rsidP="00573539">
            <w:pPr>
              <w:tabs>
                <w:tab w:val="clear" w:pos="567"/>
              </w:tabs>
              <w:spacing w:before="40" w:after="40"/>
              <w:rPr>
                <w:sz w:val="22"/>
              </w:rPr>
            </w:pPr>
            <w:r w:rsidRPr="00F647D7">
              <w:rPr>
                <w:sz w:val="22"/>
              </w:rPr>
              <w:t>32</w:t>
            </w:r>
          </w:p>
        </w:tc>
        <w:tc>
          <w:tcPr>
            <w:tcW w:w="8539" w:type="dxa"/>
            <w:hideMark/>
          </w:tcPr>
          <w:p w14:paraId="15B2E792" w14:textId="77777777" w:rsidR="004B3A66" w:rsidRPr="00F647D7" w:rsidRDefault="004B3A66" w:rsidP="00573539">
            <w:pPr>
              <w:tabs>
                <w:tab w:val="clear" w:pos="567"/>
              </w:tabs>
              <w:spacing w:before="40" w:after="40"/>
              <w:rPr>
                <w:sz w:val="22"/>
              </w:rPr>
            </w:pPr>
            <w:r w:rsidRPr="00F647D7">
              <w:rPr>
                <w:sz w:val="22"/>
              </w:rPr>
              <w:t xml:space="preserve">Oidtmann, B, Dixon, P, Way, K, Joiner, C &amp; Bayley, AE 2017, </w:t>
            </w:r>
            <w:hyperlink r:id="rId72" w:history="1">
              <w:r w:rsidRPr="00F647D7">
                <w:rPr>
                  <w:rStyle w:val="Hyperlink"/>
                  <w:sz w:val="22"/>
                </w:rPr>
                <w:t>Risk of waterborne virus spread—review of survival of relevant fish and crustacean viruses in the aquatic environment and implications for control measures</w:t>
              </w:r>
            </w:hyperlink>
            <w:r w:rsidRPr="00F647D7">
              <w:rPr>
                <w:sz w:val="22"/>
              </w:rPr>
              <w:t xml:space="preserve">, </w:t>
            </w:r>
            <w:r w:rsidRPr="00F647D7">
              <w:rPr>
                <w:i/>
                <w:iCs/>
                <w:sz w:val="22"/>
              </w:rPr>
              <w:t>Reviews in Aquaculture</w:t>
            </w:r>
            <w:r w:rsidRPr="00F647D7">
              <w:rPr>
                <w:sz w:val="22"/>
              </w:rPr>
              <w:t>, pp. 1–29, doi: 10.1111/raq.12192, accessed 8 June 2017.</w:t>
            </w:r>
          </w:p>
        </w:tc>
      </w:tr>
      <w:tr w:rsidR="004B3A66" w:rsidRPr="00F647D7" w14:paraId="6CF226F7" w14:textId="77777777" w:rsidTr="00573539">
        <w:tc>
          <w:tcPr>
            <w:tcW w:w="812" w:type="dxa"/>
            <w:hideMark/>
          </w:tcPr>
          <w:p w14:paraId="106E33D6" w14:textId="77777777" w:rsidR="004B3A66" w:rsidRPr="00F647D7" w:rsidRDefault="004B3A66" w:rsidP="00573539">
            <w:pPr>
              <w:tabs>
                <w:tab w:val="clear" w:pos="567"/>
              </w:tabs>
              <w:spacing w:before="40" w:after="40"/>
              <w:rPr>
                <w:sz w:val="22"/>
              </w:rPr>
            </w:pPr>
            <w:r w:rsidRPr="00F647D7">
              <w:rPr>
                <w:sz w:val="22"/>
              </w:rPr>
              <w:t>33</w:t>
            </w:r>
          </w:p>
        </w:tc>
        <w:tc>
          <w:tcPr>
            <w:tcW w:w="8539" w:type="dxa"/>
            <w:hideMark/>
          </w:tcPr>
          <w:p w14:paraId="6EC74014" w14:textId="77777777" w:rsidR="004B3A66" w:rsidRPr="00F647D7" w:rsidRDefault="004B3A66" w:rsidP="00573539">
            <w:pPr>
              <w:tabs>
                <w:tab w:val="clear" w:pos="567"/>
              </w:tabs>
              <w:spacing w:before="40" w:after="40"/>
              <w:rPr>
                <w:sz w:val="22"/>
              </w:rPr>
            </w:pPr>
            <w:r w:rsidRPr="00F647D7">
              <w:rPr>
                <w:sz w:val="22"/>
              </w:rPr>
              <w:t xml:space="preserve">Taw, N 2016, </w:t>
            </w:r>
            <w:hyperlink r:id="rId73" w:history="1">
              <w:r w:rsidRPr="00F647D7">
                <w:rPr>
                  <w:rStyle w:val="Hyperlink"/>
                  <w:sz w:val="22"/>
                </w:rPr>
                <w:t>Intensive shrimp farming: farm biosecurity and biofloc technology for sustainable production and disease prevention and control</w:t>
              </w:r>
            </w:hyperlink>
            <w:r w:rsidRPr="00F647D7">
              <w:rPr>
                <w:sz w:val="22"/>
              </w:rPr>
              <w:t xml:space="preserve"> (abstract), paper presented at World Aquaculture Society, Aquaculture 2016 conference, Las Vegas, United States, 25 February, accessed 27 June 2017.</w:t>
            </w:r>
          </w:p>
        </w:tc>
      </w:tr>
      <w:tr w:rsidR="004B3A66" w:rsidRPr="00F647D7" w14:paraId="71EEA682" w14:textId="77777777" w:rsidTr="00573539">
        <w:tc>
          <w:tcPr>
            <w:tcW w:w="812" w:type="dxa"/>
            <w:hideMark/>
          </w:tcPr>
          <w:p w14:paraId="20CDBA8F" w14:textId="77777777" w:rsidR="004B3A66" w:rsidRPr="00F647D7" w:rsidRDefault="004B3A66" w:rsidP="00573539">
            <w:pPr>
              <w:tabs>
                <w:tab w:val="clear" w:pos="567"/>
              </w:tabs>
              <w:spacing w:before="40" w:after="40"/>
              <w:rPr>
                <w:sz w:val="22"/>
              </w:rPr>
            </w:pPr>
            <w:r w:rsidRPr="00F647D7">
              <w:rPr>
                <w:sz w:val="22"/>
              </w:rPr>
              <w:lastRenderedPageBreak/>
              <w:t>34</w:t>
            </w:r>
          </w:p>
        </w:tc>
        <w:tc>
          <w:tcPr>
            <w:tcW w:w="8539" w:type="dxa"/>
            <w:hideMark/>
          </w:tcPr>
          <w:p w14:paraId="0F7AB7ED" w14:textId="77777777" w:rsidR="004B3A66" w:rsidRPr="00F647D7" w:rsidRDefault="004B3A66" w:rsidP="00573539">
            <w:pPr>
              <w:tabs>
                <w:tab w:val="clear" w:pos="567"/>
              </w:tabs>
              <w:spacing w:before="40" w:after="40"/>
              <w:rPr>
                <w:sz w:val="22"/>
              </w:rPr>
            </w:pPr>
            <w:r w:rsidRPr="00F647D7">
              <w:rPr>
                <w:sz w:val="22"/>
              </w:rPr>
              <w:t xml:space="preserve">Department of Agriculture and Water Resources 2017, </w:t>
            </w:r>
            <w:hyperlink r:id="rId74" w:history="1">
              <w:r w:rsidRPr="00F647D7">
                <w:rPr>
                  <w:rStyle w:val="Hyperlink"/>
                  <w:sz w:val="22"/>
                </w:rPr>
                <w:t>Australian ballast water management requirements</w:t>
              </w:r>
            </w:hyperlink>
            <w:r w:rsidRPr="00F647D7">
              <w:rPr>
                <w:sz w:val="22"/>
              </w:rPr>
              <w:t>, version 7, Canberra, September, accessed 13 November 2017.</w:t>
            </w:r>
          </w:p>
        </w:tc>
      </w:tr>
      <w:tr w:rsidR="004B3A66" w:rsidRPr="00F647D7" w14:paraId="0B86FFC6" w14:textId="77777777" w:rsidTr="00573539">
        <w:tc>
          <w:tcPr>
            <w:tcW w:w="812" w:type="dxa"/>
            <w:hideMark/>
          </w:tcPr>
          <w:p w14:paraId="6B76B7E5" w14:textId="77777777" w:rsidR="004B3A66" w:rsidRPr="00F647D7" w:rsidRDefault="004B3A66" w:rsidP="00573539">
            <w:pPr>
              <w:tabs>
                <w:tab w:val="clear" w:pos="567"/>
              </w:tabs>
              <w:spacing w:before="40" w:after="40"/>
              <w:rPr>
                <w:sz w:val="22"/>
                <w:lang w:val="en"/>
              </w:rPr>
            </w:pPr>
            <w:r w:rsidRPr="00F647D7">
              <w:rPr>
                <w:sz w:val="22"/>
                <w:lang w:val="en"/>
              </w:rPr>
              <w:t>35</w:t>
            </w:r>
          </w:p>
        </w:tc>
        <w:tc>
          <w:tcPr>
            <w:tcW w:w="8539" w:type="dxa"/>
            <w:hideMark/>
          </w:tcPr>
          <w:p w14:paraId="5ED1E8AD" w14:textId="6331CBF6" w:rsidR="005C1675" w:rsidRPr="005C1675" w:rsidRDefault="004B3A66" w:rsidP="005C1675">
            <w:pPr>
              <w:tabs>
                <w:tab w:val="clear" w:pos="567"/>
              </w:tabs>
              <w:spacing w:before="40" w:after="40"/>
              <w:rPr>
                <w:rStyle w:val="Hyperlink"/>
                <w:sz w:val="22"/>
                <w:lang w:val="en"/>
              </w:rPr>
            </w:pPr>
            <w:r w:rsidRPr="00F647D7">
              <w:rPr>
                <w:sz w:val="22"/>
                <w:lang w:val="en"/>
              </w:rPr>
              <w:t>Responsib</w:t>
            </w:r>
            <w:r w:rsidR="005C1675">
              <w:rPr>
                <w:sz w:val="22"/>
                <w:lang w:val="en"/>
              </w:rPr>
              <w:t xml:space="preserve">le Aquaculture Foundation </w:t>
            </w:r>
            <w:r w:rsidR="005C1675" w:rsidRPr="005C1675">
              <w:rPr>
                <w:sz w:val="22"/>
                <w:lang w:val="en"/>
              </w:rPr>
              <w:t xml:space="preserve">2013, </w:t>
            </w:r>
            <w:r w:rsidR="005C1675">
              <w:rPr>
                <w:sz w:val="22"/>
                <w:lang w:val="en"/>
              </w:rPr>
              <w:fldChar w:fldCharType="begin"/>
            </w:r>
            <w:r w:rsidR="005C1675">
              <w:rPr>
                <w:sz w:val="22"/>
                <w:lang w:val="en"/>
              </w:rPr>
              <w:instrText xml:space="preserve"> HYPERLINK "https://www.aquaculturealliance.org/download/?u=aHR0cHM6Ly93d3cuYXF1YWN1bHR1cmVhbGxpYW5jZS5vcmcvd3AtY29udGVudC91cGxvYWRzLzIwMTcvMDEvcmFmX3dzc3YtcmVwb3J0Mi5wZGY%3D&amp;t=V1NTViBpbiBNb3phbWJpcXVlIGFuZCBNYWRhZ2FzY2Fy&amp;m=YXBwbGljYXRpb24vcGRm" </w:instrText>
            </w:r>
            <w:r w:rsidR="005C1675">
              <w:rPr>
                <w:sz w:val="22"/>
                <w:lang w:val="en"/>
              </w:rPr>
              <w:fldChar w:fldCharType="separate"/>
            </w:r>
            <w:r w:rsidR="005C1675" w:rsidRPr="005C1675">
              <w:rPr>
                <w:rStyle w:val="Hyperlink"/>
                <w:sz w:val="22"/>
                <w:lang w:val="en"/>
              </w:rPr>
              <w:t>Case study of the outbreak of white</w:t>
            </w:r>
          </w:p>
          <w:p w14:paraId="35D81222" w14:textId="77777777" w:rsidR="005C1675" w:rsidRPr="005C1675" w:rsidRDefault="005C1675" w:rsidP="005C1675">
            <w:pPr>
              <w:tabs>
                <w:tab w:val="clear" w:pos="567"/>
              </w:tabs>
              <w:spacing w:before="40" w:after="40"/>
              <w:rPr>
                <w:rStyle w:val="Hyperlink"/>
                <w:sz w:val="22"/>
                <w:lang w:val="en"/>
              </w:rPr>
            </w:pPr>
            <w:r w:rsidRPr="005C1675">
              <w:rPr>
                <w:rStyle w:val="Hyperlink"/>
                <w:sz w:val="22"/>
                <w:lang w:val="en"/>
              </w:rPr>
              <w:t>spot syndrome virus at shrimp farms in Mozambique and Madagascar: impacts and</w:t>
            </w:r>
          </w:p>
          <w:p w14:paraId="4479B0F8" w14:textId="6287CF5B" w:rsidR="004B3A66" w:rsidRPr="00F647D7" w:rsidRDefault="005C1675" w:rsidP="005C1675">
            <w:pPr>
              <w:tabs>
                <w:tab w:val="clear" w:pos="567"/>
              </w:tabs>
              <w:spacing w:before="40" w:after="40"/>
              <w:rPr>
                <w:sz w:val="22"/>
                <w:lang w:val="en"/>
              </w:rPr>
            </w:pPr>
            <w:r w:rsidRPr="005C1675">
              <w:rPr>
                <w:rStyle w:val="Hyperlink"/>
                <w:sz w:val="22"/>
                <w:lang w:val="en"/>
              </w:rPr>
              <w:t>management recommendations (pdf 2.44mb)</w:t>
            </w:r>
            <w:r>
              <w:rPr>
                <w:sz w:val="22"/>
                <w:lang w:val="en"/>
              </w:rPr>
              <w:fldChar w:fldCharType="end"/>
            </w:r>
            <w:r w:rsidRPr="005C1675">
              <w:rPr>
                <w:sz w:val="22"/>
                <w:lang w:val="en"/>
              </w:rPr>
              <w:t>,</w:t>
            </w:r>
            <w:r w:rsidR="004B3A66" w:rsidRPr="00F647D7">
              <w:rPr>
                <w:sz w:val="22"/>
                <w:lang w:val="en"/>
              </w:rPr>
              <w:t xml:space="preserve"> St Louis, United States, 15 November.</w:t>
            </w:r>
          </w:p>
        </w:tc>
      </w:tr>
      <w:tr w:rsidR="004B3A66" w:rsidRPr="00F647D7" w14:paraId="4979374E" w14:textId="77777777" w:rsidTr="00573539">
        <w:tc>
          <w:tcPr>
            <w:tcW w:w="812" w:type="dxa"/>
            <w:hideMark/>
          </w:tcPr>
          <w:p w14:paraId="550F1510" w14:textId="77777777" w:rsidR="004B3A66" w:rsidRPr="00F647D7" w:rsidRDefault="004B3A66" w:rsidP="00573539">
            <w:pPr>
              <w:tabs>
                <w:tab w:val="clear" w:pos="567"/>
              </w:tabs>
              <w:spacing w:before="40" w:after="40"/>
              <w:rPr>
                <w:sz w:val="22"/>
              </w:rPr>
            </w:pPr>
            <w:r w:rsidRPr="00F647D7">
              <w:rPr>
                <w:sz w:val="22"/>
              </w:rPr>
              <w:t>36</w:t>
            </w:r>
          </w:p>
        </w:tc>
        <w:tc>
          <w:tcPr>
            <w:tcW w:w="8539" w:type="dxa"/>
            <w:hideMark/>
          </w:tcPr>
          <w:p w14:paraId="3EA7E140" w14:textId="77777777" w:rsidR="004B3A66" w:rsidRPr="00F647D7" w:rsidRDefault="004B3A66" w:rsidP="00573539">
            <w:pPr>
              <w:tabs>
                <w:tab w:val="clear" w:pos="567"/>
              </w:tabs>
              <w:spacing w:before="40" w:after="40"/>
              <w:rPr>
                <w:sz w:val="22"/>
              </w:rPr>
            </w:pPr>
            <w:r w:rsidRPr="00F647D7">
              <w:rPr>
                <w:sz w:val="22"/>
              </w:rPr>
              <w:t xml:space="preserve">Balasubramanian, G, Sudhakaran R, Syed Musthaq, S, Sarathi, M &amp; Sahul Hameed, AS 2006, </w:t>
            </w:r>
            <w:hyperlink r:id="rId75" w:history="1">
              <w:r w:rsidRPr="00F647D7">
                <w:rPr>
                  <w:rStyle w:val="Hyperlink"/>
                  <w:sz w:val="22"/>
                </w:rPr>
                <w:t>Studies on the inactivation of white spot syndrome virus of shrimp by physical and chemical treatments, and seaweed extracts tested in marine and freshwater animal models</w:t>
              </w:r>
            </w:hyperlink>
            <w:r w:rsidRPr="00F647D7">
              <w:rPr>
                <w:sz w:val="22"/>
              </w:rPr>
              <w:t xml:space="preserve">, </w:t>
            </w:r>
            <w:r w:rsidRPr="00F647D7">
              <w:rPr>
                <w:i/>
                <w:iCs/>
                <w:sz w:val="22"/>
              </w:rPr>
              <w:t>Journal of Fish Diseases</w:t>
            </w:r>
            <w:r w:rsidRPr="00F647D7">
              <w:rPr>
                <w:sz w:val="22"/>
              </w:rPr>
              <w:t>, vol. 29, no. 9, pp. 569–72, doi: 10.1111/j.1365-2761.2006.00733.x, accessed 10 June 2017.</w:t>
            </w:r>
          </w:p>
        </w:tc>
      </w:tr>
      <w:tr w:rsidR="004B3A66" w:rsidRPr="00F647D7" w14:paraId="182CA2FE" w14:textId="77777777" w:rsidTr="00573539">
        <w:tc>
          <w:tcPr>
            <w:tcW w:w="812" w:type="dxa"/>
            <w:hideMark/>
          </w:tcPr>
          <w:p w14:paraId="4A4B8A1F" w14:textId="77777777" w:rsidR="004B3A66" w:rsidRPr="00F647D7" w:rsidRDefault="004B3A66" w:rsidP="00573539">
            <w:pPr>
              <w:tabs>
                <w:tab w:val="clear" w:pos="567"/>
              </w:tabs>
              <w:spacing w:before="40" w:after="40"/>
              <w:rPr>
                <w:sz w:val="22"/>
              </w:rPr>
            </w:pPr>
            <w:r w:rsidRPr="00F647D7">
              <w:rPr>
                <w:sz w:val="22"/>
              </w:rPr>
              <w:t>37</w:t>
            </w:r>
          </w:p>
        </w:tc>
        <w:tc>
          <w:tcPr>
            <w:tcW w:w="8539" w:type="dxa"/>
            <w:hideMark/>
          </w:tcPr>
          <w:p w14:paraId="4EFE987C" w14:textId="77777777" w:rsidR="004B3A66" w:rsidRPr="00F647D7" w:rsidRDefault="004B3A66" w:rsidP="00573539">
            <w:pPr>
              <w:tabs>
                <w:tab w:val="clear" w:pos="567"/>
              </w:tabs>
              <w:spacing w:before="40" w:after="40"/>
              <w:rPr>
                <w:sz w:val="22"/>
              </w:rPr>
            </w:pPr>
            <w:r w:rsidRPr="00F647D7">
              <w:rPr>
                <w:sz w:val="22"/>
              </w:rPr>
              <w:t xml:space="preserve">Rahman, MM 2007, </w:t>
            </w:r>
            <w:r w:rsidRPr="00F647D7">
              <w:rPr>
                <w:i/>
                <w:iCs/>
                <w:sz w:val="22"/>
              </w:rPr>
              <w:t>Differences in virulence between white spot syndrome virus (WSSV) isolates and testing of some control strategies in WSSV infected shrimp</w:t>
            </w:r>
            <w:r w:rsidRPr="00F647D7">
              <w:rPr>
                <w:sz w:val="22"/>
              </w:rPr>
              <w:t>, Ghent University, Belgium.</w:t>
            </w:r>
          </w:p>
        </w:tc>
      </w:tr>
      <w:tr w:rsidR="004B3A66" w:rsidRPr="00F647D7" w14:paraId="37068B7E" w14:textId="77777777" w:rsidTr="00573539">
        <w:tc>
          <w:tcPr>
            <w:tcW w:w="812" w:type="dxa"/>
            <w:hideMark/>
          </w:tcPr>
          <w:p w14:paraId="0375AADE" w14:textId="77777777" w:rsidR="004B3A66" w:rsidRPr="00F647D7" w:rsidRDefault="004B3A66" w:rsidP="00573539">
            <w:pPr>
              <w:tabs>
                <w:tab w:val="clear" w:pos="567"/>
              </w:tabs>
              <w:spacing w:before="40" w:after="40"/>
              <w:rPr>
                <w:sz w:val="22"/>
              </w:rPr>
            </w:pPr>
            <w:r w:rsidRPr="00F647D7">
              <w:rPr>
                <w:sz w:val="22"/>
              </w:rPr>
              <w:t>38</w:t>
            </w:r>
          </w:p>
        </w:tc>
        <w:tc>
          <w:tcPr>
            <w:tcW w:w="8539" w:type="dxa"/>
            <w:hideMark/>
          </w:tcPr>
          <w:p w14:paraId="5428A9CA" w14:textId="77777777" w:rsidR="004B3A66" w:rsidRPr="00F647D7" w:rsidRDefault="004B3A66" w:rsidP="00573539">
            <w:pPr>
              <w:tabs>
                <w:tab w:val="clear" w:pos="567"/>
              </w:tabs>
              <w:spacing w:before="40" w:after="40"/>
              <w:rPr>
                <w:sz w:val="22"/>
              </w:rPr>
            </w:pPr>
            <w:r w:rsidRPr="00F647D7">
              <w:rPr>
                <w:sz w:val="22"/>
              </w:rPr>
              <w:t xml:space="preserve">Jones, B 2012, </w:t>
            </w:r>
            <w:hyperlink r:id="rId76" w:history="1">
              <w:r w:rsidRPr="00F647D7">
                <w:rPr>
                  <w:rStyle w:val="Hyperlink"/>
                  <w:sz w:val="22"/>
                </w:rPr>
                <w:t>Transboundary movement of shrimp viruses in crustaceans and their products: a special risk?</w:t>
              </w:r>
            </w:hyperlink>
            <w:r w:rsidRPr="00F647D7">
              <w:rPr>
                <w:sz w:val="22"/>
              </w:rPr>
              <w:t xml:space="preserve">, </w:t>
            </w:r>
            <w:r w:rsidRPr="00F647D7">
              <w:rPr>
                <w:i/>
                <w:iCs/>
                <w:sz w:val="22"/>
              </w:rPr>
              <w:t>Journal of Invertebrate Pathology</w:t>
            </w:r>
            <w:r w:rsidRPr="00F647D7">
              <w:rPr>
                <w:sz w:val="22"/>
              </w:rPr>
              <w:t>, vol. 110, no. 2, pp. 196–200, doi: 10.1016/j.jip.2012.01.012, accessed 8 June 2017.</w:t>
            </w:r>
          </w:p>
        </w:tc>
      </w:tr>
      <w:tr w:rsidR="004B3A66" w:rsidRPr="00F647D7" w14:paraId="677FBC61" w14:textId="77777777" w:rsidTr="00573539">
        <w:tc>
          <w:tcPr>
            <w:tcW w:w="812" w:type="dxa"/>
            <w:hideMark/>
          </w:tcPr>
          <w:p w14:paraId="112223D6" w14:textId="77777777" w:rsidR="004B3A66" w:rsidRPr="00F647D7" w:rsidRDefault="004B3A66" w:rsidP="00573539">
            <w:pPr>
              <w:tabs>
                <w:tab w:val="clear" w:pos="567"/>
              </w:tabs>
              <w:spacing w:before="40" w:after="40"/>
              <w:rPr>
                <w:sz w:val="22"/>
                <w:lang w:val="en"/>
              </w:rPr>
            </w:pPr>
            <w:r w:rsidRPr="00F647D7">
              <w:rPr>
                <w:sz w:val="22"/>
                <w:lang w:val="en"/>
              </w:rPr>
              <w:t>39</w:t>
            </w:r>
          </w:p>
        </w:tc>
        <w:tc>
          <w:tcPr>
            <w:tcW w:w="8539" w:type="dxa"/>
            <w:hideMark/>
          </w:tcPr>
          <w:p w14:paraId="65C59205" w14:textId="77777777" w:rsidR="004B3A66" w:rsidRPr="00F647D7" w:rsidRDefault="004B3A66" w:rsidP="00573539">
            <w:pPr>
              <w:tabs>
                <w:tab w:val="clear" w:pos="567"/>
              </w:tabs>
              <w:spacing w:before="40" w:after="40"/>
              <w:rPr>
                <w:sz w:val="22"/>
                <w:lang w:val="en"/>
              </w:rPr>
            </w:pPr>
            <w:r w:rsidRPr="00F647D7">
              <w:rPr>
                <w:sz w:val="22"/>
                <w:lang w:val="en"/>
              </w:rPr>
              <w:t xml:space="preserve">Biosecurity Australia 2009, </w:t>
            </w:r>
            <w:hyperlink r:id="rId77" w:history="1">
              <w:r w:rsidRPr="00F647D7">
                <w:rPr>
                  <w:rStyle w:val="Hyperlink"/>
                  <w:sz w:val="22"/>
                  <w:lang w:val="en"/>
                </w:rPr>
                <w:t>Generic import risk analysis report for prawns and prawn products</w:t>
              </w:r>
            </w:hyperlink>
            <w:r w:rsidRPr="00F647D7">
              <w:rPr>
                <w:sz w:val="22"/>
                <w:lang w:val="en"/>
              </w:rPr>
              <w:t>, final report, Department of Agriculture, Fisheries and Forestry, Canberra, October, accessed 18 November 2017.</w:t>
            </w:r>
          </w:p>
        </w:tc>
      </w:tr>
      <w:tr w:rsidR="004B3A66" w:rsidRPr="00F647D7" w14:paraId="175E10CC" w14:textId="77777777" w:rsidTr="00573539">
        <w:tc>
          <w:tcPr>
            <w:tcW w:w="812" w:type="dxa"/>
            <w:hideMark/>
          </w:tcPr>
          <w:p w14:paraId="2A6ACB07" w14:textId="77777777" w:rsidR="004B3A66" w:rsidRPr="00F647D7" w:rsidRDefault="004B3A66" w:rsidP="00573539">
            <w:pPr>
              <w:tabs>
                <w:tab w:val="clear" w:pos="567"/>
              </w:tabs>
              <w:spacing w:before="40" w:after="40"/>
              <w:rPr>
                <w:sz w:val="22"/>
              </w:rPr>
            </w:pPr>
            <w:r w:rsidRPr="00F647D7">
              <w:rPr>
                <w:sz w:val="22"/>
              </w:rPr>
              <w:t>40</w:t>
            </w:r>
          </w:p>
        </w:tc>
        <w:tc>
          <w:tcPr>
            <w:tcW w:w="8539" w:type="dxa"/>
            <w:hideMark/>
          </w:tcPr>
          <w:p w14:paraId="5DFB93B3" w14:textId="77777777" w:rsidR="004B3A66" w:rsidRPr="00F647D7" w:rsidRDefault="004B3A66" w:rsidP="00573539">
            <w:pPr>
              <w:tabs>
                <w:tab w:val="clear" w:pos="567"/>
              </w:tabs>
              <w:spacing w:before="40" w:after="40"/>
              <w:rPr>
                <w:sz w:val="22"/>
              </w:rPr>
            </w:pPr>
            <w:r w:rsidRPr="00F647D7">
              <w:rPr>
                <w:sz w:val="22"/>
              </w:rPr>
              <w:t xml:space="preserve">O’Connell, L 2017, </w:t>
            </w:r>
            <w:hyperlink r:id="rId78" w:history="1">
              <w:r w:rsidRPr="00F647D7">
                <w:rPr>
                  <w:rStyle w:val="Hyperlink"/>
                  <w:sz w:val="22"/>
                </w:rPr>
                <w:t>Evidence to Rural and Regional Affairs and Transport Legislation Committee (pdf 1.4mb)</w:t>
              </w:r>
            </w:hyperlink>
            <w:r w:rsidRPr="00F647D7">
              <w:rPr>
                <w:sz w:val="22"/>
              </w:rPr>
              <w:t>, Parliament of Australia, Canberra, 28 February, p. 120.</w:t>
            </w:r>
          </w:p>
        </w:tc>
      </w:tr>
      <w:tr w:rsidR="004B3A66" w:rsidRPr="00F647D7" w14:paraId="0B4A36A0" w14:textId="77777777" w:rsidTr="00573539">
        <w:tc>
          <w:tcPr>
            <w:tcW w:w="812" w:type="dxa"/>
            <w:hideMark/>
          </w:tcPr>
          <w:p w14:paraId="0EB722A0" w14:textId="77777777" w:rsidR="004B3A66" w:rsidRPr="00F647D7" w:rsidRDefault="004B3A66" w:rsidP="00573539">
            <w:pPr>
              <w:tabs>
                <w:tab w:val="clear" w:pos="567"/>
              </w:tabs>
              <w:spacing w:before="40" w:after="40"/>
              <w:rPr>
                <w:sz w:val="22"/>
                <w:lang w:val="en"/>
              </w:rPr>
            </w:pPr>
            <w:r w:rsidRPr="00F647D7">
              <w:rPr>
                <w:sz w:val="22"/>
                <w:lang w:val="en"/>
              </w:rPr>
              <w:t>41</w:t>
            </w:r>
          </w:p>
        </w:tc>
        <w:tc>
          <w:tcPr>
            <w:tcW w:w="8539" w:type="dxa"/>
            <w:hideMark/>
          </w:tcPr>
          <w:p w14:paraId="22B816AA" w14:textId="77777777" w:rsidR="004B3A66" w:rsidRPr="00F647D7" w:rsidRDefault="004B3A66" w:rsidP="00573539">
            <w:pPr>
              <w:tabs>
                <w:tab w:val="clear" w:pos="567"/>
              </w:tabs>
              <w:spacing w:before="40" w:after="40"/>
              <w:rPr>
                <w:sz w:val="22"/>
                <w:lang w:val="en"/>
              </w:rPr>
            </w:pPr>
            <w:r w:rsidRPr="00F647D7">
              <w:rPr>
                <w:sz w:val="22"/>
                <w:lang w:val="en"/>
              </w:rPr>
              <w:t xml:space="preserve">FAO 2016, </w:t>
            </w:r>
            <w:hyperlink r:id="rId79" w:history="1">
              <w:r w:rsidRPr="00F647D7">
                <w:rPr>
                  <w:rStyle w:val="Hyperlink"/>
                  <w:sz w:val="22"/>
                </w:rPr>
                <w:t>FAO yearbook of fishery and aquaculture statistics 2014</w:t>
              </w:r>
            </w:hyperlink>
            <w:r w:rsidRPr="00F647D7">
              <w:rPr>
                <w:sz w:val="22"/>
              </w:rPr>
              <w:t>, Food and Agriculture Organization of the United Nations, Rome, accessed 28 April 2017.</w:t>
            </w:r>
          </w:p>
        </w:tc>
      </w:tr>
      <w:tr w:rsidR="004B3A66" w:rsidRPr="00F647D7" w14:paraId="682A9297" w14:textId="77777777" w:rsidTr="00573539">
        <w:tc>
          <w:tcPr>
            <w:tcW w:w="812" w:type="dxa"/>
            <w:hideMark/>
          </w:tcPr>
          <w:p w14:paraId="391E5AD0" w14:textId="77777777" w:rsidR="004B3A66" w:rsidRPr="00F647D7" w:rsidRDefault="004B3A66" w:rsidP="00573539">
            <w:pPr>
              <w:tabs>
                <w:tab w:val="clear" w:pos="567"/>
              </w:tabs>
              <w:spacing w:before="40" w:after="40"/>
              <w:rPr>
                <w:sz w:val="22"/>
              </w:rPr>
            </w:pPr>
            <w:r w:rsidRPr="00F647D7">
              <w:rPr>
                <w:sz w:val="22"/>
              </w:rPr>
              <w:t>42</w:t>
            </w:r>
          </w:p>
        </w:tc>
        <w:tc>
          <w:tcPr>
            <w:tcW w:w="8539" w:type="dxa"/>
            <w:hideMark/>
          </w:tcPr>
          <w:p w14:paraId="5C8EAA5D" w14:textId="77777777" w:rsidR="004B3A66" w:rsidRPr="00F647D7" w:rsidRDefault="004B3A66" w:rsidP="00573539">
            <w:pPr>
              <w:tabs>
                <w:tab w:val="clear" w:pos="567"/>
              </w:tabs>
              <w:spacing w:before="40" w:after="40"/>
              <w:rPr>
                <w:sz w:val="22"/>
              </w:rPr>
            </w:pPr>
            <w:r w:rsidRPr="00F647D7">
              <w:rPr>
                <w:sz w:val="22"/>
              </w:rPr>
              <w:t xml:space="preserve">Kailola, PJ, Williams, MJ, Stewart, PC, Reichelt, RE, McNee, A &amp; Grieve, C 1993, </w:t>
            </w:r>
            <w:r w:rsidRPr="00F647D7">
              <w:rPr>
                <w:i/>
                <w:iCs/>
                <w:sz w:val="22"/>
              </w:rPr>
              <w:t>Australian fisheries resources</w:t>
            </w:r>
            <w:r w:rsidRPr="00F647D7">
              <w:rPr>
                <w:sz w:val="22"/>
              </w:rPr>
              <w:t>, Bureau of Resource Sciences and Fisheries Research and Development Corporation, Canberra.</w:t>
            </w:r>
          </w:p>
        </w:tc>
      </w:tr>
      <w:tr w:rsidR="004B3A66" w:rsidRPr="00F647D7" w14:paraId="63B01895" w14:textId="77777777" w:rsidTr="00573539">
        <w:tc>
          <w:tcPr>
            <w:tcW w:w="812" w:type="dxa"/>
            <w:hideMark/>
          </w:tcPr>
          <w:p w14:paraId="44469EC5" w14:textId="77777777" w:rsidR="004B3A66" w:rsidRPr="00F647D7" w:rsidRDefault="004B3A66" w:rsidP="00573539">
            <w:pPr>
              <w:tabs>
                <w:tab w:val="clear" w:pos="567"/>
              </w:tabs>
              <w:spacing w:before="40" w:after="40"/>
              <w:rPr>
                <w:sz w:val="22"/>
              </w:rPr>
            </w:pPr>
            <w:r w:rsidRPr="00F647D7">
              <w:rPr>
                <w:sz w:val="22"/>
              </w:rPr>
              <w:t>43</w:t>
            </w:r>
          </w:p>
        </w:tc>
        <w:tc>
          <w:tcPr>
            <w:tcW w:w="8539" w:type="dxa"/>
            <w:hideMark/>
          </w:tcPr>
          <w:p w14:paraId="6445C554" w14:textId="77777777" w:rsidR="004B3A66" w:rsidRPr="00F647D7" w:rsidRDefault="004B3A66" w:rsidP="00573539">
            <w:pPr>
              <w:tabs>
                <w:tab w:val="clear" w:pos="567"/>
              </w:tabs>
              <w:spacing w:before="40" w:after="40"/>
              <w:rPr>
                <w:sz w:val="22"/>
              </w:rPr>
            </w:pPr>
            <w:r w:rsidRPr="00F647D7">
              <w:rPr>
                <w:sz w:val="22"/>
              </w:rPr>
              <w:t xml:space="preserve">Savage, J 2015, </w:t>
            </w:r>
            <w:r w:rsidRPr="00F647D7">
              <w:rPr>
                <w:i/>
                <w:iCs/>
                <w:sz w:val="22"/>
              </w:rPr>
              <w:t>Australian fisheries and aquaculture statistics 2015</w:t>
            </w:r>
            <w:r w:rsidRPr="00F647D7">
              <w:rPr>
                <w:sz w:val="22"/>
              </w:rPr>
              <w:t>, FRDC project 2016-246, Fisheries Research and Development Corporation, Australian Bureau of Agricultural and Resource Economics and Sciences, Canberra, December.</w:t>
            </w:r>
          </w:p>
        </w:tc>
      </w:tr>
      <w:tr w:rsidR="004B3A66" w:rsidRPr="00F647D7" w14:paraId="2A167950" w14:textId="77777777" w:rsidTr="00573539">
        <w:tc>
          <w:tcPr>
            <w:tcW w:w="812" w:type="dxa"/>
            <w:hideMark/>
          </w:tcPr>
          <w:p w14:paraId="75ABE9A3" w14:textId="77777777" w:rsidR="004B3A66" w:rsidRPr="00F647D7" w:rsidRDefault="004B3A66" w:rsidP="00573539">
            <w:pPr>
              <w:tabs>
                <w:tab w:val="clear" w:pos="567"/>
              </w:tabs>
              <w:spacing w:before="40" w:after="40"/>
              <w:rPr>
                <w:sz w:val="22"/>
              </w:rPr>
            </w:pPr>
            <w:r w:rsidRPr="00F647D7">
              <w:rPr>
                <w:sz w:val="22"/>
              </w:rPr>
              <w:t>44</w:t>
            </w:r>
          </w:p>
        </w:tc>
        <w:tc>
          <w:tcPr>
            <w:tcW w:w="8539" w:type="dxa"/>
            <w:hideMark/>
          </w:tcPr>
          <w:p w14:paraId="5F2F066D" w14:textId="77777777" w:rsidR="004B3A66" w:rsidRPr="00F647D7" w:rsidRDefault="004B3A66" w:rsidP="00573539">
            <w:pPr>
              <w:tabs>
                <w:tab w:val="clear" w:pos="567"/>
              </w:tabs>
              <w:spacing w:before="40" w:after="40"/>
              <w:rPr>
                <w:sz w:val="22"/>
              </w:rPr>
            </w:pPr>
            <w:r w:rsidRPr="00F647D7">
              <w:rPr>
                <w:sz w:val="22"/>
              </w:rPr>
              <w:t xml:space="preserve">WoRMS Editorial Board 2017, </w:t>
            </w:r>
            <w:hyperlink r:id="rId80" w:history="1">
              <w:r w:rsidRPr="00F647D7">
                <w:rPr>
                  <w:rStyle w:val="Hyperlink"/>
                  <w:sz w:val="22"/>
                </w:rPr>
                <w:t>World Register of Marine Species</w:t>
              </w:r>
            </w:hyperlink>
            <w:r w:rsidRPr="00F647D7">
              <w:rPr>
                <w:sz w:val="22"/>
              </w:rPr>
              <w:t>, doi:10.14284/170, accessed 18 June 2017.</w:t>
            </w:r>
          </w:p>
        </w:tc>
      </w:tr>
      <w:tr w:rsidR="004B3A66" w:rsidRPr="00F647D7" w14:paraId="2FD11A38" w14:textId="77777777" w:rsidTr="00573539">
        <w:tc>
          <w:tcPr>
            <w:tcW w:w="812" w:type="dxa"/>
            <w:hideMark/>
          </w:tcPr>
          <w:p w14:paraId="3B38B340" w14:textId="77777777" w:rsidR="004B3A66" w:rsidRPr="00F647D7" w:rsidRDefault="004B3A66" w:rsidP="00573539">
            <w:pPr>
              <w:tabs>
                <w:tab w:val="clear" w:pos="567"/>
              </w:tabs>
              <w:spacing w:before="40" w:after="40"/>
              <w:rPr>
                <w:sz w:val="22"/>
              </w:rPr>
            </w:pPr>
            <w:r w:rsidRPr="00F647D7">
              <w:rPr>
                <w:sz w:val="22"/>
              </w:rPr>
              <w:t>45</w:t>
            </w:r>
          </w:p>
        </w:tc>
        <w:tc>
          <w:tcPr>
            <w:tcW w:w="8539" w:type="dxa"/>
            <w:hideMark/>
          </w:tcPr>
          <w:p w14:paraId="09417924" w14:textId="77777777" w:rsidR="004B3A66" w:rsidRPr="00F647D7" w:rsidRDefault="004B3A66" w:rsidP="00573539">
            <w:pPr>
              <w:tabs>
                <w:tab w:val="clear" w:pos="567"/>
              </w:tabs>
              <w:spacing w:before="40" w:after="40"/>
              <w:rPr>
                <w:sz w:val="22"/>
              </w:rPr>
            </w:pPr>
            <w:r w:rsidRPr="00F647D7">
              <w:rPr>
                <w:sz w:val="22"/>
              </w:rPr>
              <w:t xml:space="preserve">Clark, E, Abel, N, Measham, T, Morison, J &amp; Rippin, L 2009, </w:t>
            </w:r>
            <w:hyperlink r:id="rId81" w:history="1">
              <w:r w:rsidRPr="00F647D7">
                <w:rPr>
                  <w:rStyle w:val="Hyperlink"/>
                  <w:sz w:val="22"/>
                </w:rPr>
                <w:t>09 Commercial fishing and aquaculture in northern Australia</w:t>
              </w:r>
            </w:hyperlink>
            <w:r w:rsidRPr="00F647D7">
              <w:rPr>
                <w:sz w:val="22"/>
              </w:rPr>
              <w:t xml:space="preserve">, in </w:t>
            </w:r>
            <w:r w:rsidRPr="00F647D7">
              <w:rPr>
                <w:i/>
                <w:sz w:val="22"/>
              </w:rPr>
              <w:t>Northern Australia Land and Water Science Review</w:t>
            </w:r>
            <w:r w:rsidRPr="00F647D7">
              <w:rPr>
                <w:sz w:val="22"/>
              </w:rPr>
              <w:t>, full report draft, October, accessed 3 August 2017.</w:t>
            </w:r>
          </w:p>
        </w:tc>
      </w:tr>
      <w:tr w:rsidR="004B3A66" w:rsidRPr="00F647D7" w14:paraId="194461A5" w14:textId="77777777" w:rsidTr="00573539">
        <w:tc>
          <w:tcPr>
            <w:tcW w:w="812" w:type="dxa"/>
            <w:hideMark/>
          </w:tcPr>
          <w:p w14:paraId="03E79C68" w14:textId="77777777" w:rsidR="004B3A66" w:rsidRPr="00F647D7" w:rsidRDefault="004B3A66" w:rsidP="00573539">
            <w:pPr>
              <w:tabs>
                <w:tab w:val="clear" w:pos="567"/>
              </w:tabs>
              <w:spacing w:before="40" w:after="40"/>
              <w:rPr>
                <w:sz w:val="22"/>
              </w:rPr>
            </w:pPr>
            <w:r w:rsidRPr="00F647D7">
              <w:rPr>
                <w:sz w:val="22"/>
              </w:rPr>
              <w:t>46</w:t>
            </w:r>
          </w:p>
        </w:tc>
        <w:tc>
          <w:tcPr>
            <w:tcW w:w="8539" w:type="dxa"/>
            <w:hideMark/>
          </w:tcPr>
          <w:p w14:paraId="6767EEE3" w14:textId="77777777" w:rsidR="004B3A66" w:rsidRPr="00F647D7" w:rsidRDefault="004B3A66" w:rsidP="00573539">
            <w:pPr>
              <w:tabs>
                <w:tab w:val="clear" w:pos="567"/>
              </w:tabs>
              <w:spacing w:before="40" w:after="40"/>
              <w:rPr>
                <w:sz w:val="22"/>
              </w:rPr>
            </w:pPr>
            <w:r w:rsidRPr="00F647D7">
              <w:rPr>
                <w:sz w:val="22"/>
              </w:rPr>
              <w:t xml:space="preserve">Norman‐Lόpez, A, Sellars, MJ, Pascoe, S, Coman, GJ, Murphy, B, Moore, N &amp; Preston, N 2016, </w:t>
            </w:r>
            <w:hyperlink r:id="rId82" w:history="1">
              <w:r w:rsidRPr="00F647D7">
                <w:rPr>
                  <w:rStyle w:val="Hyperlink"/>
                  <w:sz w:val="22"/>
                </w:rPr>
                <w:t>Productivity benefits of selectively breeding black tiger shrimp (Penaeus monodon) in Australia</w:t>
              </w:r>
            </w:hyperlink>
            <w:r w:rsidRPr="00F647D7">
              <w:rPr>
                <w:sz w:val="22"/>
              </w:rPr>
              <w:t xml:space="preserve">, </w:t>
            </w:r>
            <w:r w:rsidRPr="00F647D7">
              <w:rPr>
                <w:i/>
                <w:iCs/>
                <w:sz w:val="22"/>
              </w:rPr>
              <w:t>Aquaculture Research</w:t>
            </w:r>
            <w:r w:rsidRPr="00F647D7">
              <w:rPr>
                <w:sz w:val="22"/>
              </w:rPr>
              <w:t xml:space="preserve">, vol. </w:t>
            </w:r>
            <w:r w:rsidRPr="00F647D7">
              <w:rPr>
                <w:iCs/>
                <w:sz w:val="22"/>
              </w:rPr>
              <w:t xml:space="preserve">47, no. </w:t>
            </w:r>
            <w:r w:rsidRPr="00F647D7">
              <w:rPr>
                <w:sz w:val="22"/>
              </w:rPr>
              <w:t xml:space="preserve">10, pp.3287–96, doi: </w:t>
            </w:r>
            <w:r w:rsidRPr="00F647D7">
              <w:rPr>
                <w:sz w:val="22"/>
                <w:lang w:val="en"/>
              </w:rPr>
              <w:t>10.1111/are.12782, accessed 18 August 2017.</w:t>
            </w:r>
          </w:p>
        </w:tc>
      </w:tr>
      <w:tr w:rsidR="004B3A66" w:rsidRPr="00F647D7" w14:paraId="25B9954B" w14:textId="77777777" w:rsidTr="00573539">
        <w:tc>
          <w:tcPr>
            <w:tcW w:w="812" w:type="dxa"/>
            <w:hideMark/>
          </w:tcPr>
          <w:p w14:paraId="6F62AEFC" w14:textId="77777777" w:rsidR="004B3A66" w:rsidRPr="00F647D7" w:rsidRDefault="004B3A66" w:rsidP="00573539">
            <w:pPr>
              <w:tabs>
                <w:tab w:val="clear" w:pos="567"/>
              </w:tabs>
              <w:spacing w:before="40" w:after="40"/>
              <w:rPr>
                <w:sz w:val="22"/>
              </w:rPr>
            </w:pPr>
            <w:r w:rsidRPr="00F647D7">
              <w:rPr>
                <w:sz w:val="22"/>
              </w:rPr>
              <w:t>47</w:t>
            </w:r>
          </w:p>
        </w:tc>
        <w:tc>
          <w:tcPr>
            <w:tcW w:w="8539" w:type="dxa"/>
            <w:hideMark/>
          </w:tcPr>
          <w:p w14:paraId="37DFF4A8" w14:textId="77777777" w:rsidR="004B3A66" w:rsidRPr="00F647D7" w:rsidRDefault="004B3A66" w:rsidP="00573539">
            <w:pPr>
              <w:tabs>
                <w:tab w:val="clear" w:pos="567"/>
              </w:tabs>
              <w:spacing w:before="40" w:after="40"/>
              <w:rPr>
                <w:sz w:val="22"/>
              </w:rPr>
            </w:pPr>
            <w:r w:rsidRPr="00F647D7">
              <w:rPr>
                <w:sz w:val="22"/>
              </w:rPr>
              <w:t xml:space="preserve">Arnold, SJ, Coman, GJ &amp; Emerenciano, M 2013, </w:t>
            </w:r>
            <w:hyperlink r:id="rId83" w:history="1">
              <w:r w:rsidRPr="00F647D7">
                <w:rPr>
                  <w:rStyle w:val="Hyperlink"/>
                  <w:sz w:val="22"/>
                </w:rPr>
                <w:t>Constraints on seedstock production in eighth generation domesticated Penaeus monodon broodstock</w:t>
              </w:r>
            </w:hyperlink>
            <w:r w:rsidRPr="00F647D7">
              <w:rPr>
                <w:sz w:val="22"/>
              </w:rPr>
              <w:t xml:space="preserve">, </w:t>
            </w:r>
            <w:r w:rsidRPr="00F647D7">
              <w:rPr>
                <w:i/>
                <w:iCs/>
                <w:sz w:val="22"/>
              </w:rPr>
              <w:t>Aquaculture</w:t>
            </w:r>
            <w:r w:rsidRPr="00F647D7">
              <w:rPr>
                <w:sz w:val="22"/>
              </w:rPr>
              <w:t xml:space="preserve">, vols </w:t>
            </w:r>
            <w:r w:rsidRPr="00F647D7">
              <w:rPr>
                <w:iCs/>
                <w:sz w:val="22"/>
              </w:rPr>
              <w:t>410–11</w:t>
            </w:r>
            <w:r w:rsidRPr="00F647D7">
              <w:rPr>
                <w:sz w:val="22"/>
              </w:rPr>
              <w:t>, pp. 95–100, doi: 10.1016/j.aquaculture.2013.06.023, accessed 18 August 2017.</w:t>
            </w:r>
          </w:p>
        </w:tc>
      </w:tr>
      <w:tr w:rsidR="004B3A66" w:rsidRPr="00F647D7" w14:paraId="343E8F8F" w14:textId="77777777" w:rsidTr="00573539">
        <w:tc>
          <w:tcPr>
            <w:tcW w:w="812" w:type="dxa"/>
            <w:hideMark/>
          </w:tcPr>
          <w:p w14:paraId="5BA123EE" w14:textId="77777777" w:rsidR="004B3A66" w:rsidRPr="00F647D7" w:rsidRDefault="004B3A66" w:rsidP="00573539">
            <w:pPr>
              <w:tabs>
                <w:tab w:val="clear" w:pos="567"/>
              </w:tabs>
              <w:spacing w:before="40" w:after="40"/>
              <w:rPr>
                <w:sz w:val="22"/>
              </w:rPr>
            </w:pPr>
            <w:r w:rsidRPr="00F647D7">
              <w:rPr>
                <w:sz w:val="22"/>
              </w:rPr>
              <w:t>48</w:t>
            </w:r>
          </w:p>
        </w:tc>
        <w:tc>
          <w:tcPr>
            <w:tcW w:w="8539" w:type="dxa"/>
            <w:hideMark/>
          </w:tcPr>
          <w:p w14:paraId="4FEC3874" w14:textId="77777777" w:rsidR="004B3A66" w:rsidRPr="00F647D7" w:rsidRDefault="004B3A66" w:rsidP="00573539">
            <w:pPr>
              <w:tabs>
                <w:tab w:val="clear" w:pos="567"/>
              </w:tabs>
              <w:spacing w:before="40" w:after="40"/>
              <w:rPr>
                <w:sz w:val="22"/>
              </w:rPr>
            </w:pPr>
            <w:r w:rsidRPr="00F647D7">
              <w:rPr>
                <w:sz w:val="22"/>
              </w:rPr>
              <w:t xml:space="preserve">Marsden, G, Richardson, N, Mather, P &amp; Knibb, W 2013, </w:t>
            </w:r>
            <w:hyperlink r:id="rId84" w:history="1">
              <w:r w:rsidRPr="00F647D7">
                <w:rPr>
                  <w:rStyle w:val="Hyperlink"/>
                  <w:sz w:val="22"/>
                </w:rPr>
                <w:t>Reproductive behavioural differences between wild-caught and pond-reared Penaeus monodon prawn broodstock</w:t>
              </w:r>
            </w:hyperlink>
            <w:r w:rsidRPr="00F647D7">
              <w:rPr>
                <w:sz w:val="22"/>
              </w:rPr>
              <w:t xml:space="preserve">, </w:t>
            </w:r>
            <w:r w:rsidRPr="00F647D7">
              <w:rPr>
                <w:i/>
                <w:iCs/>
                <w:sz w:val="22"/>
              </w:rPr>
              <w:t>Aquaculture</w:t>
            </w:r>
            <w:r w:rsidRPr="00F647D7">
              <w:rPr>
                <w:sz w:val="22"/>
              </w:rPr>
              <w:t xml:space="preserve">, vols </w:t>
            </w:r>
            <w:r w:rsidRPr="00F647D7">
              <w:rPr>
                <w:iCs/>
                <w:sz w:val="22"/>
              </w:rPr>
              <w:t>402–3</w:t>
            </w:r>
            <w:r w:rsidRPr="00F647D7">
              <w:rPr>
                <w:sz w:val="22"/>
              </w:rPr>
              <w:t>, pp. 141–5, doi: 10.1016/j.aquaculture.2013.03.019, accessed 18 August 2017.</w:t>
            </w:r>
          </w:p>
        </w:tc>
      </w:tr>
      <w:tr w:rsidR="004B3A66" w:rsidRPr="00F647D7" w14:paraId="384CBB8A" w14:textId="77777777" w:rsidTr="00573539">
        <w:tc>
          <w:tcPr>
            <w:tcW w:w="812" w:type="dxa"/>
            <w:hideMark/>
          </w:tcPr>
          <w:p w14:paraId="5F163D7C" w14:textId="77777777" w:rsidR="004B3A66" w:rsidRPr="00F647D7" w:rsidRDefault="004B3A66" w:rsidP="00573539">
            <w:pPr>
              <w:tabs>
                <w:tab w:val="clear" w:pos="567"/>
              </w:tabs>
              <w:spacing w:before="40" w:after="40"/>
              <w:rPr>
                <w:sz w:val="22"/>
              </w:rPr>
            </w:pPr>
            <w:r w:rsidRPr="00F647D7">
              <w:rPr>
                <w:sz w:val="22"/>
              </w:rPr>
              <w:t>49</w:t>
            </w:r>
          </w:p>
        </w:tc>
        <w:tc>
          <w:tcPr>
            <w:tcW w:w="8539" w:type="dxa"/>
            <w:hideMark/>
          </w:tcPr>
          <w:p w14:paraId="7341A465" w14:textId="77777777" w:rsidR="004B3A66" w:rsidRPr="00F647D7" w:rsidRDefault="004B3A66" w:rsidP="00573539">
            <w:pPr>
              <w:tabs>
                <w:tab w:val="clear" w:pos="567"/>
              </w:tabs>
              <w:spacing w:before="40" w:after="40"/>
              <w:rPr>
                <w:sz w:val="22"/>
              </w:rPr>
            </w:pPr>
            <w:r w:rsidRPr="00F647D7">
              <w:rPr>
                <w:sz w:val="22"/>
              </w:rPr>
              <w:t xml:space="preserve">Seafarms Group Ltd 2017, </w:t>
            </w:r>
            <w:hyperlink r:id="rId85" w:history="1">
              <w:r w:rsidRPr="00F647D7">
                <w:rPr>
                  <w:rStyle w:val="Hyperlink"/>
                  <w:sz w:val="22"/>
                </w:rPr>
                <w:t>Seafarms history</w:t>
              </w:r>
            </w:hyperlink>
            <w:r w:rsidRPr="00F647D7">
              <w:rPr>
                <w:sz w:val="22"/>
              </w:rPr>
              <w:t>, accessed 19 October 2017.</w:t>
            </w:r>
          </w:p>
        </w:tc>
      </w:tr>
      <w:tr w:rsidR="004B3A66" w:rsidRPr="00F647D7" w14:paraId="14108C8A" w14:textId="77777777" w:rsidTr="00573539">
        <w:tc>
          <w:tcPr>
            <w:tcW w:w="812" w:type="dxa"/>
            <w:hideMark/>
          </w:tcPr>
          <w:p w14:paraId="72C378EB" w14:textId="77777777" w:rsidR="004B3A66" w:rsidRPr="00F647D7" w:rsidRDefault="004B3A66" w:rsidP="00573539">
            <w:pPr>
              <w:tabs>
                <w:tab w:val="clear" w:pos="567"/>
              </w:tabs>
              <w:spacing w:before="40" w:after="40"/>
              <w:rPr>
                <w:sz w:val="22"/>
              </w:rPr>
            </w:pPr>
            <w:r w:rsidRPr="00F647D7">
              <w:rPr>
                <w:sz w:val="22"/>
              </w:rPr>
              <w:t>50</w:t>
            </w:r>
          </w:p>
        </w:tc>
        <w:tc>
          <w:tcPr>
            <w:tcW w:w="8539" w:type="dxa"/>
            <w:hideMark/>
          </w:tcPr>
          <w:p w14:paraId="5002BCC4" w14:textId="77777777" w:rsidR="004B3A66" w:rsidRPr="00F647D7" w:rsidRDefault="004B3A66" w:rsidP="00573539">
            <w:pPr>
              <w:tabs>
                <w:tab w:val="clear" w:pos="567"/>
              </w:tabs>
              <w:spacing w:before="40" w:after="40"/>
              <w:rPr>
                <w:sz w:val="22"/>
              </w:rPr>
            </w:pPr>
            <w:r w:rsidRPr="00F647D7">
              <w:rPr>
                <w:sz w:val="22"/>
              </w:rPr>
              <w:t xml:space="preserve">Tantulo, U &amp; Fotedar, R 2017, </w:t>
            </w:r>
            <w:hyperlink r:id="rId86" w:history="1">
              <w:r w:rsidRPr="00F647D7">
                <w:rPr>
                  <w:rStyle w:val="Hyperlink"/>
                  <w:sz w:val="22"/>
                  <w:lang w:val="en"/>
                </w:rPr>
                <w:t>Physiological performance and serum Na</w:t>
              </w:r>
              <w:r w:rsidRPr="00F647D7">
                <w:rPr>
                  <w:rStyle w:val="Hyperlink"/>
                  <w:sz w:val="22"/>
                  <w:vertAlign w:val="superscript"/>
                  <w:lang w:val="en"/>
                </w:rPr>
                <w:t>+</w:t>
              </w:r>
              <w:r w:rsidRPr="00F647D7">
                <w:rPr>
                  <w:rStyle w:val="Hyperlink"/>
                  <w:sz w:val="22"/>
                  <w:lang w:val="en"/>
                </w:rPr>
                <w:t>, K</w:t>
              </w:r>
              <w:r w:rsidRPr="00F647D7">
                <w:rPr>
                  <w:rStyle w:val="Hyperlink"/>
                  <w:sz w:val="22"/>
                  <w:vertAlign w:val="superscript"/>
                  <w:lang w:val="en"/>
                </w:rPr>
                <w:t>+</w:t>
              </w:r>
              <w:r w:rsidRPr="00F647D7">
                <w:rPr>
                  <w:rStyle w:val="Hyperlink"/>
                  <w:sz w:val="22"/>
                  <w:lang w:val="en"/>
                </w:rPr>
                <w:t xml:space="preserve"> Ca</w:t>
              </w:r>
              <w:r w:rsidRPr="00F647D7">
                <w:rPr>
                  <w:rStyle w:val="Hyperlink"/>
                  <w:sz w:val="22"/>
                  <w:vertAlign w:val="superscript"/>
                  <w:lang w:val="en"/>
                </w:rPr>
                <w:t>2+</w:t>
              </w:r>
              <w:r w:rsidRPr="00F647D7">
                <w:rPr>
                  <w:rStyle w:val="Hyperlink"/>
                  <w:sz w:val="22"/>
                  <w:lang w:val="en"/>
                </w:rPr>
                <w:t xml:space="preserve"> and Mg</w:t>
              </w:r>
              <w:r w:rsidRPr="00F647D7">
                <w:rPr>
                  <w:rStyle w:val="Hyperlink"/>
                  <w:sz w:val="22"/>
                  <w:vertAlign w:val="superscript"/>
                  <w:lang w:val="en"/>
                </w:rPr>
                <w:t>2+</w:t>
              </w:r>
              <w:r w:rsidRPr="00F647D7">
                <w:rPr>
                  <w:rStyle w:val="Hyperlink"/>
                  <w:sz w:val="22"/>
                  <w:lang w:val="en"/>
                </w:rPr>
                <w:t xml:space="preserve"> regulation of black tiger prawn (Penaeus monodon Fabricius 1798) reared in varying Na+/K+ ratios of inland saline water</w:t>
              </w:r>
            </w:hyperlink>
            <w:r w:rsidRPr="00F647D7">
              <w:rPr>
                <w:sz w:val="22"/>
              </w:rPr>
              <w:t>,</w:t>
            </w:r>
            <w:r w:rsidRPr="00F647D7">
              <w:rPr>
                <w:sz w:val="22"/>
                <w:lang w:val="en"/>
              </w:rPr>
              <w:t xml:space="preserve"> </w:t>
            </w:r>
            <w:r w:rsidRPr="00F647D7">
              <w:rPr>
                <w:i/>
                <w:iCs/>
                <w:sz w:val="22"/>
              </w:rPr>
              <w:t>Aquaculture</w:t>
            </w:r>
            <w:r w:rsidRPr="00F647D7">
              <w:rPr>
                <w:sz w:val="22"/>
              </w:rPr>
              <w:t xml:space="preserve">, vol. </w:t>
            </w:r>
            <w:r w:rsidRPr="00F647D7">
              <w:rPr>
                <w:iCs/>
                <w:sz w:val="22"/>
              </w:rPr>
              <w:t>479</w:t>
            </w:r>
            <w:r w:rsidRPr="00F647D7">
              <w:rPr>
                <w:sz w:val="22"/>
              </w:rPr>
              <w:t>, pp. 52–9, doi: 10.1016/j.aquaculture.2017.05.023, accessed 12 November 2017.</w:t>
            </w:r>
          </w:p>
        </w:tc>
      </w:tr>
      <w:tr w:rsidR="004B3A66" w:rsidRPr="00F647D7" w14:paraId="1850C118" w14:textId="77777777" w:rsidTr="00573539">
        <w:tc>
          <w:tcPr>
            <w:tcW w:w="812" w:type="dxa"/>
            <w:hideMark/>
          </w:tcPr>
          <w:p w14:paraId="59EC3BBC" w14:textId="77777777" w:rsidR="004B3A66" w:rsidRPr="00F647D7" w:rsidRDefault="004B3A66" w:rsidP="00573539">
            <w:pPr>
              <w:tabs>
                <w:tab w:val="clear" w:pos="567"/>
              </w:tabs>
              <w:spacing w:before="40" w:after="40"/>
              <w:rPr>
                <w:sz w:val="22"/>
              </w:rPr>
            </w:pPr>
            <w:r w:rsidRPr="00F647D7">
              <w:rPr>
                <w:sz w:val="22"/>
              </w:rPr>
              <w:t>51</w:t>
            </w:r>
          </w:p>
        </w:tc>
        <w:tc>
          <w:tcPr>
            <w:tcW w:w="8539" w:type="dxa"/>
            <w:hideMark/>
          </w:tcPr>
          <w:p w14:paraId="56BC7E93" w14:textId="77777777" w:rsidR="004B3A66" w:rsidRPr="00F647D7" w:rsidRDefault="004B3A66" w:rsidP="00573539">
            <w:pPr>
              <w:tabs>
                <w:tab w:val="clear" w:pos="567"/>
              </w:tabs>
              <w:spacing w:before="40" w:after="40"/>
              <w:rPr>
                <w:sz w:val="22"/>
              </w:rPr>
            </w:pPr>
            <w:r w:rsidRPr="00F647D7">
              <w:rPr>
                <w:sz w:val="22"/>
              </w:rPr>
              <w:t xml:space="preserve">Seafarms Group Limited 2016, </w:t>
            </w:r>
            <w:hyperlink r:id="rId87" w:history="1">
              <w:r w:rsidRPr="00F647D7">
                <w:rPr>
                  <w:rStyle w:val="Hyperlink"/>
                  <w:sz w:val="22"/>
                </w:rPr>
                <w:t>Draft environmental impact statement (pdf 762kb)</w:t>
              </w:r>
            </w:hyperlink>
            <w:r w:rsidRPr="00F647D7">
              <w:rPr>
                <w:sz w:val="22"/>
              </w:rPr>
              <w:t>, Project Sea Dragon: Stage 1 Legune grow-out facility, accessed 19 October 2017.</w:t>
            </w:r>
          </w:p>
        </w:tc>
      </w:tr>
      <w:tr w:rsidR="004B3A66" w:rsidRPr="00F647D7" w14:paraId="045B05EB" w14:textId="77777777" w:rsidTr="00573539">
        <w:tc>
          <w:tcPr>
            <w:tcW w:w="812" w:type="dxa"/>
            <w:hideMark/>
          </w:tcPr>
          <w:p w14:paraId="6D0C7A93" w14:textId="77777777" w:rsidR="004B3A66" w:rsidRPr="00F647D7" w:rsidRDefault="004B3A66" w:rsidP="00573539">
            <w:pPr>
              <w:tabs>
                <w:tab w:val="clear" w:pos="567"/>
              </w:tabs>
              <w:spacing w:before="40" w:after="40"/>
              <w:rPr>
                <w:sz w:val="22"/>
              </w:rPr>
            </w:pPr>
            <w:r w:rsidRPr="00F647D7">
              <w:rPr>
                <w:sz w:val="22"/>
              </w:rPr>
              <w:t>52</w:t>
            </w:r>
          </w:p>
        </w:tc>
        <w:tc>
          <w:tcPr>
            <w:tcW w:w="8539" w:type="dxa"/>
            <w:hideMark/>
          </w:tcPr>
          <w:p w14:paraId="12C756D6" w14:textId="77777777" w:rsidR="004B3A66" w:rsidRPr="00F647D7" w:rsidRDefault="004B3A66" w:rsidP="00573539">
            <w:pPr>
              <w:tabs>
                <w:tab w:val="clear" w:pos="567"/>
              </w:tabs>
              <w:spacing w:before="40" w:after="40"/>
              <w:rPr>
                <w:sz w:val="22"/>
              </w:rPr>
            </w:pPr>
            <w:r w:rsidRPr="00F647D7">
              <w:rPr>
                <w:sz w:val="22"/>
              </w:rPr>
              <w:t xml:space="preserve">Business Queensland 2016, </w:t>
            </w:r>
            <w:hyperlink r:id="rId88" w:history="1">
              <w:r w:rsidRPr="00F647D7">
                <w:rPr>
                  <w:rStyle w:val="Hyperlink"/>
                  <w:sz w:val="22"/>
                </w:rPr>
                <w:t>Growing and harvesting black tiger prawns</w:t>
              </w:r>
            </w:hyperlink>
            <w:r w:rsidRPr="00F647D7">
              <w:rPr>
                <w:sz w:val="22"/>
              </w:rPr>
              <w:t>, Queensland Government, 27 June, accessed 2 August 2017.</w:t>
            </w:r>
          </w:p>
        </w:tc>
      </w:tr>
      <w:tr w:rsidR="004B3A66" w:rsidRPr="00F647D7" w14:paraId="445B52FE" w14:textId="77777777" w:rsidTr="00573539">
        <w:tc>
          <w:tcPr>
            <w:tcW w:w="812" w:type="dxa"/>
            <w:hideMark/>
          </w:tcPr>
          <w:p w14:paraId="32FEC85C" w14:textId="77777777" w:rsidR="004B3A66" w:rsidRPr="00F647D7" w:rsidRDefault="004B3A66" w:rsidP="00573539">
            <w:pPr>
              <w:tabs>
                <w:tab w:val="clear" w:pos="567"/>
              </w:tabs>
              <w:spacing w:before="40" w:after="40"/>
              <w:rPr>
                <w:sz w:val="22"/>
              </w:rPr>
            </w:pPr>
            <w:r w:rsidRPr="00F647D7">
              <w:rPr>
                <w:sz w:val="22"/>
              </w:rPr>
              <w:lastRenderedPageBreak/>
              <w:t>53</w:t>
            </w:r>
          </w:p>
        </w:tc>
        <w:tc>
          <w:tcPr>
            <w:tcW w:w="8539" w:type="dxa"/>
            <w:hideMark/>
          </w:tcPr>
          <w:p w14:paraId="73594FE7" w14:textId="77777777" w:rsidR="004B3A66" w:rsidRPr="00F647D7" w:rsidRDefault="004B3A66" w:rsidP="00573539">
            <w:pPr>
              <w:tabs>
                <w:tab w:val="clear" w:pos="567"/>
              </w:tabs>
              <w:spacing w:before="40" w:after="40"/>
              <w:rPr>
                <w:sz w:val="22"/>
              </w:rPr>
            </w:pPr>
            <w:r w:rsidRPr="00F647D7">
              <w:rPr>
                <w:sz w:val="22"/>
              </w:rPr>
              <w:t xml:space="preserve">Business Queensland 2016, </w:t>
            </w:r>
            <w:hyperlink r:id="rId89" w:history="1">
              <w:r w:rsidRPr="00F647D7">
                <w:rPr>
                  <w:rStyle w:val="Hyperlink"/>
                  <w:sz w:val="22"/>
                </w:rPr>
                <w:t>Aquaculture establishment costs</w:t>
              </w:r>
            </w:hyperlink>
            <w:r w:rsidRPr="00F647D7">
              <w:rPr>
                <w:sz w:val="22"/>
              </w:rPr>
              <w:t>, Queensland Government, 7 September, accessed 4 September 2017.</w:t>
            </w:r>
          </w:p>
        </w:tc>
      </w:tr>
      <w:tr w:rsidR="004B3A66" w:rsidRPr="00F647D7" w14:paraId="2656DE6D" w14:textId="77777777" w:rsidTr="00573539">
        <w:tc>
          <w:tcPr>
            <w:tcW w:w="812" w:type="dxa"/>
            <w:hideMark/>
          </w:tcPr>
          <w:p w14:paraId="7E8BC0B2" w14:textId="77777777" w:rsidR="004B3A66" w:rsidRPr="00F647D7" w:rsidRDefault="004B3A66" w:rsidP="00573539">
            <w:pPr>
              <w:tabs>
                <w:tab w:val="clear" w:pos="567"/>
              </w:tabs>
              <w:spacing w:before="40" w:after="40"/>
              <w:rPr>
                <w:sz w:val="22"/>
              </w:rPr>
            </w:pPr>
            <w:r w:rsidRPr="00F647D7">
              <w:rPr>
                <w:sz w:val="22"/>
              </w:rPr>
              <w:t>54</w:t>
            </w:r>
          </w:p>
        </w:tc>
        <w:tc>
          <w:tcPr>
            <w:tcW w:w="8539" w:type="dxa"/>
            <w:hideMark/>
          </w:tcPr>
          <w:p w14:paraId="526C787B" w14:textId="77777777" w:rsidR="004B3A66" w:rsidRPr="00F647D7" w:rsidRDefault="004B3A66" w:rsidP="00573539">
            <w:pPr>
              <w:tabs>
                <w:tab w:val="clear" w:pos="567"/>
              </w:tabs>
              <w:spacing w:before="40" w:after="40"/>
              <w:rPr>
                <w:sz w:val="22"/>
              </w:rPr>
            </w:pPr>
            <w:r w:rsidRPr="00F647D7">
              <w:rPr>
                <w:sz w:val="22"/>
              </w:rPr>
              <w:t xml:space="preserve">Brammer, J 2017, </w:t>
            </w:r>
            <w:hyperlink r:id="rId90" w:history="1">
              <w:r w:rsidRPr="00F647D7">
                <w:rPr>
                  <w:rStyle w:val="Hyperlink"/>
                  <w:sz w:val="22"/>
                </w:rPr>
                <w:t>North West prawn farm costs hit Seafarms Group</w:t>
              </w:r>
            </w:hyperlink>
            <w:r w:rsidRPr="00F647D7">
              <w:rPr>
                <w:sz w:val="22"/>
              </w:rPr>
              <w:t xml:space="preserve">, </w:t>
            </w:r>
            <w:r w:rsidRPr="00F647D7">
              <w:rPr>
                <w:i/>
                <w:iCs/>
                <w:sz w:val="22"/>
              </w:rPr>
              <w:t>The West Australian</w:t>
            </w:r>
            <w:r w:rsidRPr="00F647D7">
              <w:rPr>
                <w:sz w:val="22"/>
              </w:rPr>
              <w:t>, 30 August, accessed 4 September 2017.</w:t>
            </w:r>
          </w:p>
        </w:tc>
      </w:tr>
      <w:tr w:rsidR="004B3A66" w:rsidRPr="00F647D7" w14:paraId="6F61889D" w14:textId="77777777" w:rsidTr="00573539">
        <w:tc>
          <w:tcPr>
            <w:tcW w:w="812" w:type="dxa"/>
            <w:hideMark/>
          </w:tcPr>
          <w:p w14:paraId="6D9FC9F8" w14:textId="77777777" w:rsidR="004B3A66" w:rsidRPr="00F647D7" w:rsidRDefault="004B3A66" w:rsidP="00573539">
            <w:pPr>
              <w:tabs>
                <w:tab w:val="clear" w:pos="567"/>
              </w:tabs>
              <w:spacing w:before="40" w:after="40"/>
              <w:rPr>
                <w:sz w:val="22"/>
              </w:rPr>
            </w:pPr>
            <w:r w:rsidRPr="00F647D7">
              <w:rPr>
                <w:sz w:val="22"/>
              </w:rPr>
              <w:t>55</w:t>
            </w:r>
          </w:p>
        </w:tc>
        <w:tc>
          <w:tcPr>
            <w:tcW w:w="8539" w:type="dxa"/>
            <w:hideMark/>
          </w:tcPr>
          <w:p w14:paraId="26142F26" w14:textId="77777777" w:rsidR="004B3A66" w:rsidRPr="00F647D7" w:rsidRDefault="004B3A66" w:rsidP="00573539">
            <w:pPr>
              <w:tabs>
                <w:tab w:val="clear" w:pos="567"/>
              </w:tabs>
              <w:spacing w:before="40" w:after="40"/>
              <w:rPr>
                <w:sz w:val="22"/>
              </w:rPr>
            </w:pPr>
            <w:r w:rsidRPr="00F647D7">
              <w:rPr>
                <w:sz w:val="22"/>
              </w:rPr>
              <w:t xml:space="preserve">Lightner, DV 2011, </w:t>
            </w:r>
            <w:hyperlink r:id="rId91" w:history="1">
              <w:r w:rsidRPr="00F647D7">
                <w:rPr>
                  <w:rStyle w:val="Hyperlink"/>
                  <w:sz w:val="22"/>
                  <w:lang w:val="en"/>
                </w:rPr>
                <w:t>Virus diseases of farmed shrimp in the Western Hemisphere (the Americas): a review</w:t>
              </w:r>
            </w:hyperlink>
            <w:r w:rsidRPr="00F647D7">
              <w:rPr>
                <w:sz w:val="22"/>
                <w:lang w:val="en"/>
              </w:rPr>
              <w:t xml:space="preserve">, </w:t>
            </w:r>
            <w:r w:rsidRPr="00F647D7">
              <w:rPr>
                <w:i/>
                <w:sz w:val="22"/>
                <w:lang w:val="en"/>
              </w:rPr>
              <w:t>Journal of Invertebrate Pathology</w:t>
            </w:r>
            <w:r w:rsidRPr="00F647D7">
              <w:rPr>
                <w:sz w:val="22"/>
                <w:lang w:val="en"/>
              </w:rPr>
              <w:t>, vol. 106, no. 1, pp. 110–30, doi: 10.1016/j.jip.2010.09.012, accessed 2 May 2017.</w:t>
            </w:r>
          </w:p>
        </w:tc>
      </w:tr>
      <w:tr w:rsidR="004B3A66" w:rsidRPr="00F647D7" w14:paraId="7B612135" w14:textId="77777777" w:rsidTr="00573539">
        <w:tc>
          <w:tcPr>
            <w:tcW w:w="812" w:type="dxa"/>
            <w:hideMark/>
          </w:tcPr>
          <w:p w14:paraId="0BC2D7A3" w14:textId="77777777" w:rsidR="004B3A66" w:rsidRPr="00F647D7" w:rsidRDefault="004B3A66" w:rsidP="00573539">
            <w:pPr>
              <w:tabs>
                <w:tab w:val="clear" w:pos="567"/>
              </w:tabs>
              <w:spacing w:before="40" w:after="40"/>
              <w:rPr>
                <w:sz w:val="22"/>
              </w:rPr>
            </w:pPr>
            <w:r w:rsidRPr="00F647D7">
              <w:rPr>
                <w:sz w:val="22"/>
              </w:rPr>
              <w:t>56</w:t>
            </w:r>
          </w:p>
        </w:tc>
        <w:tc>
          <w:tcPr>
            <w:tcW w:w="8539" w:type="dxa"/>
            <w:hideMark/>
          </w:tcPr>
          <w:p w14:paraId="4CD75192" w14:textId="77777777" w:rsidR="004B3A66" w:rsidRPr="00F647D7" w:rsidRDefault="004B3A66" w:rsidP="00573539">
            <w:pPr>
              <w:tabs>
                <w:tab w:val="clear" w:pos="567"/>
              </w:tabs>
              <w:spacing w:before="40" w:after="40"/>
              <w:rPr>
                <w:sz w:val="22"/>
              </w:rPr>
            </w:pPr>
            <w:r w:rsidRPr="00F647D7">
              <w:rPr>
                <w:sz w:val="22"/>
              </w:rPr>
              <w:t xml:space="preserve">Hasson, KW, Fan, Y, Reisinger, T, Venuti, J &amp; Varner, PW 2006, </w:t>
            </w:r>
            <w:hyperlink r:id="rId92" w:history="1">
              <w:r w:rsidRPr="00F647D7">
                <w:rPr>
                  <w:rStyle w:val="Hyperlink"/>
                  <w:sz w:val="22"/>
                </w:rPr>
                <w:t>White-spot syndrome virus (WSSV) introduction into the Gulf of Mexico and Texas freshwater systems through imported, frozen bait-shrimp</w:t>
              </w:r>
            </w:hyperlink>
            <w:r w:rsidRPr="00F647D7">
              <w:rPr>
                <w:sz w:val="22"/>
              </w:rPr>
              <w:t xml:space="preserve">, </w:t>
            </w:r>
            <w:r w:rsidRPr="00F647D7">
              <w:rPr>
                <w:i/>
                <w:sz w:val="22"/>
              </w:rPr>
              <w:t>Diseases of Aquatic Organisms</w:t>
            </w:r>
            <w:r w:rsidRPr="00F647D7">
              <w:rPr>
                <w:sz w:val="22"/>
              </w:rPr>
              <w:t>, vol. 71, no. 2, pp. 91–100, doi: 10.3354/dao071091.</w:t>
            </w:r>
          </w:p>
        </w:tc>
      </w:tr>
      <w:tr w:rsidR="004B3A66" w:rsidRPr="00F647D7" w14:paraId="6B28C8D1" w14:textId="77777777" w:rsidTr="00573539">
        <w:tc>
          <w:tcPr>
            <w:tcW w:w="812" w:type="dxa"/>
            <w:hideMark/>
          </w:tcPr>
          <w:p w14:paraId="5843DFEB" w14:textId="77777777" w:rsidR="004B3A66" w:rsidRPr="00F647D7" w:rsidRDefault="004B3A66" w:rsidP="00573539">
            <w:pPr>
              <w:tabs>
                <w:tab w:val="clear" w:pos="567"/>
              </w:tabs>
              <w:spacing w:before="40" w:after="40"/>
              <w:rPr>
                <w:sz w:val="22"/>
              </w:rPr>
            </w:pPr>
            <w:r w:rsidRPr="00F647D7">
              <w:rPr>
                <w:sz w:val="22"/>
              </w:rPr>
              <w:t>57</w:t>
            </w:r>
          </w:p>
        </w:tc>
        <w:tc>
          <w:tcPr>
            <w:tcW w:w="8539" w:type="dxa"/>
            <w:hideMark/>
          </w:tcPr>
          <w:p w14:paraId="3EF22957" w14:textId="77777777" w:rsidR="004B3A66" w:rsidRPr="00F647D7" w:rsidRDefault="004B3A66" w:rsidP="00573539">
            <w:pPr>
              <w:tabs>
                <w:tab w:val="clear" w:pos="567"/>
              </w:tabs>
              <w:spacing w:before="40" w:after="40"/>
              <w:rPr>
                <w:sz w:val="22"/>
              </w:rPr>
            </w:pPr>
            <w:r w:rsidRPr="00F647D7">
              <w:rPr>
                <w:sz w:val="22"/>
              </w:rPr>
              <w:t xml:space="preserve">Briggs, M, Funge-Smith, S, Subasinghe, RP &amp; Phillips, M 2005, </w:t>
            </w:r>
            <w:hyperlink r:id="rId93" w:history="1">
              <w:r w:rsidRPr="00F647D7">
                <w:rPr>
                  <w:rStyle w:val="Hyperlink"/>
                  <w:sz w:val="22"/>
                </w:rPr>
                <w:t>Introductions and movement of two penaeid shrimp species in Asia and the Pacific</w:t>
              </w:r>
            </w:hyperlink>
            <w:r w:rsidRPr="00F647D7">
              <w:rPr>
                <w:sz w:val="22"/>
              </w:rPr>
              <w:t>, FAO fisheries technical paper no. 476, Food and Agriculture Organization of the United Nations, Rome, accessed 18 October 2017.</w:t>
            </w:r>
          </w:p>
        </w:tc>
      </w:tr>
      <w:tr w:rsidR="004B3A66" w:rsidRPr="00F647D7" w14:paraId="6908A6B6" w14:textId="77777777" w:rsidTr="00573539">
        <w:tc>
          <w:tcPr>
            <w:tcW w:w="812" w:type="dxa"/>
            <w:hideMark/>
          </w:tcPr>
          <w:p w14:paraId="16ACEE71" w14:textId="77777777" w:rsidR="004B3A66" w:rsidRPr="00F647D7" w:rsidRDefault="004B3A66" w:rsidP="00573539">
            <w:pPr>
              <w:tabs>
                <w:tab w:val="clear" w:pos="567"/>
              </w:tabs>
              <w:spacing w:before="40" w:after="40"/>
              <w:rPr>
                <w:sz w:val="22"/>
              </w:rPr>
            </w:pPr>
            <w:r w:rsidRPr="00F647D7">
              <w:rPr>
                <w:sz w:val="22"/>
              </w:rPr>
              <w:t>58</w:t>
            </w:r>
          </w:p>
        </w:tc>
        <w:tc>
          <w:tcPr>
            <w:tcW w:w="8539" w:type="dxa"/>
            <w:hideMark/>
          </w:tcPr>
          <w:p w14:paraId="034429EA" w14:textId="77777777" w:rsidR="004B3A66" w:rsidRPr="00F647D7" w:rsidRDefault="004B3A66" w:rsidP="00573539">
            <w:pPr>
              <w:tabs>
                <w:tab w:val="clear" w:pos="567"/>
              </w:tabs>
              <w:spacing w:before="40" w:after="40"/>
              <w:rPr>
                <w:sz w:val="22"/>
              </w:rPr>
            </w:pPr>
            <w:r w:rsidRPr="00F647D7">
              <w:rPr>
                <w:sz w:val="22"/>
              </w:rPr>
              <w:t xml:space="preserve">Shi, Z, Huang, C, Zhang, J, Chen, D &amp; Bonami, JR 2000, </w:t>
            </w:r>
            <w:hyperlink r:id="rId94" w:history="1">
              <w:r w:rsidRPr="00F647D7">
                <w:rPr>
                  <w:rStyle w:val="Hyperlink"/>
                  <w:sz w:val="22"/>
                </w:rPr>
                <w:t>White spot syndrome virus (WSSV) experimental infection of the freshwater crayfish, Cherax quadricarinatus</w:t>
              </w:r>
            </w:hyperlink>
            <w:r w:rsidRPr="00F647D7">
              <w:rPr>
                <w:sz w:val="22"/>
              </w:rPr>
              <w:t xml:space="preserve">, </w:t>
            </w:r>
            <w:r w:rsidRPr="00F647D7">
              <w:rPr>
                <w:i/>
                <w:iCs/>
                <w:sz w:val="22"/>
              </w:rPr>
              <w:t>Journal of Fish Diseases</w:t>
            </w:r>
            <w:r w:rsidRPr="00F647D7">
              <w:rPr>
                <w:sz w:val="22"/>
              </w:rPr>
              <w:t>, vol. 23, no. 4, pp. 285–8, doi: 10.1046/j.1365-2761.2000.00232.x.</w:t>
            </w:r>
          </w:p>
        </w:tc>
      </w:tr>
      <w:tr w:rsidR="004B3A66" w:rsidRPr="00F647D7" w14:paraId="32604BD1" w14:textId="77777777" w:rsidTr="00573539">
        <w:tc>
          <w:tcPr>
            <w:tcW w:w="812" w:type="dxa"/>
            <w:hideMark/>
          </w:tcPr>
          <w:p w14:paraId="0BF07082" w14:textId="77777777" w:rsidR="004B3A66" w:rsidRPr="00F647D7" w:rsidRDefault="004B3A66" w:rsidP="00573539">
            <w:pPr>
              <w:tabs>
                <w:tab w:val="clear" w:pos="567"/>
              </w:tabs>
              <w:spacing w:before="40" w:after="40"/>
              <w:rPr>
                <w:sz w:val="22"/>
              </w:rPr>
            </w:pPr>
            <w:r w:rsidRPr="00F647D7">
              <w:rPr>
                <w:sz w:val="22"/>
              </w:rPr>
              <w:t>59</w:t>
            </w:r>
          </w:p>
        </w:tc>
        <w:tc>
          <w:tcPr>
            <w:tcW w:w="8539" w:type="dxa"/>
            <w:hideMark/>
          </w:tcPr>
          <w:p w14:paraId="2218F449" w14:textId="77777777" w:rsidR="004B3A66" w:rsidRPr="00F647D7" w:rsidRDefault="004B3A66" w:rsidP="00573539">
            <w:pPr>
              <w:tabs>
                <w:tab w:val="clear" w:pos="567"/>
              </w:tabs>
              <w:spacing w:before="40" w:after="40"/>
              <w:rPr>
                <w:sz w:val="22"/>
              </w:rPr>
            </w:pPr>
            <w:r w:rsidRPr="00F647D7">
              <w:rPr>
                <w:sz w:val="22"/>
              </w:rPr>
              <w:t xml:space="preserve">Stentiford, GD, Bonami, JR &amp; Alday-Sanz, V 2009, </w:t>
            </w:r>
            <w:hyperlink r:id="rId95" w:history="1">
              <w:r w:rsidRPr="00F647D7">
                <w:rPr>
                  <w:rStyle w:val="Hyperlink"/>
                  <w:sz w:val="22"/>
                </w:rPr>
                <w:t>A critical review of susceptibility of crustaceans to taura syndrome, yellowhead disease and white spot disease and implications of inclusion of these diseases in European legislation</w:t>
              </w:r>
            </w:hyperlink>
            <w:r w:rsidRPr="00F647D7">
              <w:rPr>
                <w:sz w:val="22"/>
              </w:rPr>
              <w:t xml:space="preserve">, </w:t>
            </w:r>
            <w:r w:rsidRPr="00F647D7">
              <w:rPr>
                <w:i/>
                <w:iCs/>
                <w:sz w:val="22"/>
              </w:rPr>
              <w:t>Aquaculture</w:t>
            </w:r>
            <w:r w:rsidRPr="00F647D7">
              <w:rPr>
                <w:sz w:val="22"/>
              </w:rPr>
              <w:t>, vol. 291, nos 1–2, pp. 1–17, doi: 10.1016/j.aquaculture.2009.02.042.</w:t>
            </w:r>
          </w:p>
        </w:tc>
      </w:tr>
      <w:tr w:rsidR="004B3A66" w:rsidRPr="00F647D7" w14:paraId="7DAED5EB" w14:textId="77777777" w:rsidTr="00573539">
        <w:tc>
          <w:tcPr>
            <w:tcW w:w="812" w:type="dxa"/>
            <w:hideMark/>
          </w:tcPr>
          <w:p w14:paraId="33496CB7" w14:textId="77777777" w:rsidR="004B3A66" w:rsidRPr="00F647D7" w:rsidRDefault="004B3A66" w:rsidP="00573539">
            <w:pPr>
              <w:tabs>
                <w:tab w:val="clear" w:pos="567"/>
              </w:tabs>
              <w:spacing w:before="40" w:after="40"/>
              <w:rPr>
                <w:sz w:val="22"/>
              </w:rPr>
            </w:pPr>
            <w:r w:rsidRPr="00F647D7">
              <w:rPr>
                <w:sz w:val="22"/>
              </w:rPr>
              <w:t>60</w:t>
            </w:r>
          </w:p>
        </w:tc>
        <w:tc>
          <w:tcPr>
            <w:tcW w:w="8539" w:type="dxa"/>
            <w:hideMark/>
          </w:tcPr>
          <w:p w14:paraId="22DC6F84" w14:textId="77777777" w:rsidR="004B3A66" w:rsidRPr="00F647D7" w:rsidRDefault="004B3A66" w:rsidP="00573539">
            <w:pPr>
              <w:tabs>
                <w:tab w:val="clear" w:pos="567"/>
              </w:tabs>
              <w:spacing w:before="40" w:after="40"/>
              <w:rPr>
                <w:sz w:val="22"/>
              </w:rPr>
            </w:pPr>
            <w:r w:rsidRPr="00F647D7">
              <w:rPr>
                <w:sz w:val="22"/>
              </w:rPr>
              <w:t xml:space="preserve">OIE 2017, </w:t>
            </w:r>
            <w:hyperlink r:id="rId96" w:history="1">
              <w:r w:rsidRPr="00F647D7">
                <w:rPr>
                  <w:rStyle w:val="Hyperlink"/>
                  <w:sz w:val="22"/>
                </w:rPr>
                <w:t>White spot disease</w:t>
              </w:r>
            </w:hyperlink>
            <w:r w:rsidRPr="00F647D7">
              <w:rPr>
                <w:sz w:val="22"/>
              </w:rPr>
              <w:t xml:space="preserve">, in </w:t>
            </w:r>
            <w:r w:rsidRPr="00F647D7">
              <w:rPr>
                <w:i/>
                <w:sz w:val="22"/>
              </w:rPr>
              <w:t>Manual of diagnostic tests for aquatic animals</w:t>
            </w:r>
            <w:r w:rsidRPr="00F647D7">
              <w:rPr>
                <w:sz w:val="22"/>
              </w:rPr>
              <w:t>, ch. 2.2.8, World Organisation for Animal Health, Paris, accessed 16 May 2017.</w:t>
            </w:r>
          </w:p>
        </w:tc>
      </w:tr>
      <w:tr w:rsidR="004B3A66" w:rsidRPr="00F647D7" w14:paraId="725C47C4" w14:textId="77777777" w:rsidTr="00573539">
        <w:tc>
          <w:tcPr>
            <w:tcW w:w="812" w:type="dxa"/>
            <w:hideMark/>
          </w:tcPr>
          <w:p w14:paraId="375196B3" w14:textId="77777777" w:rsidR="004B3A66" w:rsidRPr="00F647D7" w:rsidRDefault="004B3A66" w:rsidP="00573539">
            <w:pPr>
              <w:tabs>
                <w:tab w:val="clear" w:pos="567"/>
              </w:tabs>
              <w:spacing w:before="40" w:after="40"/>
              <w:rPr>
                <w:sz w:val="22"/>
              </w:rPr>
            </w:pPr>
            <w:r w:rsidRPr="00F647D7">
              <w:rPr>
                <w:sz w:val="22"/>
              </w:rPr>
              <w:t>61</w:t>
            </w:r>
          </w:p>
        </w:tc>
        <w:tc>
          <w:tcPr>
            <w:tcW w:w="8539" w:type="dxa"/>
            <w:hideMark/>
          </w:tcPr>
          <w:p w14:paraId="500F3475" w14:textId="77777777" w:rsidR="004B3A66" w:rsidRPr="00F647D7" w:rsidRDefault="004B3A66" w:rsidP="00573539">
            <w:pPr>
              <w:tabs>
                <w:tab w:val="clear" w:pos="567"/>
              </w:tabs>
              <w:spacing w:before="40" w:after="40"/>
              <w:rPr>
                <w:sz w:val="22"/>
              </w:rPr>
            </w:pPr>
            <w:r w:rsidRPr="00F647D7">
              <w:rPr>
                <w:sz w:val="22"/>
              </w:rPr>
              <w:t xml:space="preserve">World Bank 2014, </w:t>
            </w:r>
            <w:hyperlink r:id="rId97" w:history="1">
              <w:r w:rsidRPr="00F647D7">
                <w:rPr>
                  <w:rStyle w:val="Hyperlink"/>
                  <w:sz w:val="22"/>
                </w:rPr>
                <w:t>Reducing disease risks in aquaculture</w:t>
              </w:r>
            </w:hyperlink>
            <w:r w:rsidRPr="00F647D7">
              <w:rPr>
                <w:sz w:val="22"/>
              </w:rPr>
              <w:t>, World Bank report no. 88257-GLB, Washington DC, United States.</w:t>
            </w:r>
          </w:p>
        </w:tc>
      </w:tr>
      <w:tr w:rsidR="004B3A66" w:rsidRPr="00F647D7" w14:paraId="02242F0C" w14:textId="77777777" w:rsidTr="00573539">
        <w:tc>
          <w:tcPr>
            <w:tcW w:w="812" w:type="dxa"/>
            <w:hideMark/>
          </w:tcPr>
          <w:p w14:paraId="593A0D2F" w14:textId="77777777" w:rsidR="004B3A66" w:rsidRPr="00F647D7" w:rsidRDefault="004B3A66" w:rsidP="00573539">
            <w:pPr>
              <w:tabs>
                <w:tab w:val="clear" w:pos="567"/>
              </w:tabs>
              <w:spacing w:before="40" w:after="40"/>
              <w:rPr>
                <w:sz w:val="22"/>
              </w:rPr>
            </w:pPr>
            <w:r w:rsidRPr="00F647D7">
              <w:rPr>
                <w:sz w:val="22"/>
              </w:rPr>
              <w:t>62</w:t>
            </w:r>
          </w:p>
        </w:tc>
        <w:tc>
          <w:tcPr>
            <w:tcW w:w="8539" w:type="dxa"/>
            <w:hideMark/>
          </w:tcPr>
          <w:p w14:paraId="23189BF8" w14:textId="77777777" w:rsidR="004B3A66" w:rsidRPr="00F647D7" w:rsidRDefault="004B3A66" w:rsidP="00573539">
            <w:pPr>
              <w:tabs>
                <w:tab w:val="clear" w:pos="567"/>
              </w:tabs>
              <w:spacing w:before="40" w:after="40"/>
              <w:rPr>
                <w:sz w:val="22"/>
              </w:rPr>
            </w:pPr>
            <w:r w:rsidRPr="00F647D7">
              <w:rPr>
                <w:sz w:val="22"/>
              </w:rPr>
              <w:t xml:space="preserve">Harkell, L 2017, </w:t>
            </w:r>
            <w:hyperlink r:id="rId98" w:history="1">
              <w:r w:rsidRPr="00F647D7">
                <w:rPr>
                  <w:rStyle w:val="Hyperlink"/>
                  <w:sz w:val="22"/>
                </w:rPr>
                <w:t>China shrimp: billion-dollar smuggling operation jeopardizes entire industry</w:t>
              </w:r>
            </w:hyperlink>
            <w:r w:rsidRPr="00F647D7">
              <w:rPr>
                <w:sz w:val="22"/>
              </w:rPr>
              <w:t xml:space="preserve">, </w:t>
            </w:r>
            <w:r w:rsidRPr="00F647D7">
              <w:rPr>
                <w:i/>
                <w:iCs/>
                <w:sz w:val="22"/>
              </w:rPr>
              <w:t>Undercurrent News</w:t>
            </w:r>
            <w:r w:rsidRPr="00F647D7">
              <w:rPr>
                <w:sz w:val="22"/>
              </w:rPr>
              <w:t>, 3 January, accessed 3 August 2017.</w:t>
            </w:r>
          </w:p>
        </w:tc>
      </w:tr>
      <w:tr w:rsidR="004B3A66" w:rsidRPr="00F647D7" w14:paraId="24E09826" w14:textId="77777777" w:rsidTr="00573539">
        <w:tc>
          <w:tcPr>
            <w:tcW w:w="812" w:type="dxa"/>
            <w:hideMark/>
          </w:tcPr>
          <w:p w14:paraId="412D8A72" w14:textId="77777777" w:rsidR="004B3A66" w:rsidRPr="00F647D7" w:rsidRDefault="004B3A66" w:rsidP="00573539">
            <w:pPr>
              <w:tabs>
                <w:tab w:val="clear" w:pos="567"/>
              </w:tabs>
              <w:spacing w:before="40" w:after="40"/>
              <w:rPr>
                <w:sz w:val="22"/>
              </w:rPr>
            </w:pPr>
            <w:r w:rsidRPr="00F647D7">
              <w:rPr>
                <w:sz w:val="22"/>
              </w:rPr>
              <w:t>63</w:t>
            </w:r>
          </w:p>
        </w:tc>
        <w:tc>
          <w:tcPr>
            <w:tcW w:w="8539" w:type="dxa"/>
            <w:hideMark/>
          </w:tcPr>
          <w:p w14:paraId="0B24FBE8" w14:textId="77777777" w:rsidR="004B3A66" w:rsidRPr="00F647D7" w:rsidRDefault="004B3A66" w:rsidP="00573539">
            <w:pPr>
              <w:tabs>
                <w:tab w:val="clear" w:pos="567"/>
              </w:tabs>
              <w:spacing w:before="40" w:after="40"/>
              <w:rPr>
                <w:sz w:val="22"/>
              </w:rPr>
            </w:pPr>
            <w:r w:rsidRPr="00F647D7">
              <w:rPr>
                <w:sz w:val="22"/>
              </w:rPr>
              <w:t xml:space="preserve">Vietnam News Agency 2017, </w:t>
            </w:r>
            <w:hyperlink r:id="rId99" w:history="1">
              <w:r w:rsidRPr="00F647D7">
                <w:rPr>
                  <w:rStyle w:val="Hyperlink"/>
                  <w:sz w:val="22"/>
                </w:rPr>
                <w:t>Vietnam’s shrimp exports to China surge 30 percent in first half</w:t>
              </w:r>
            </w:hyperlink>
            <w:r w:rsidRPr="00F647D7">
              <w:rPr>
                <w:sz w:val="22"/>
              </w:rPr>
              <w:t xml:space="preserve">, </w:t>
            </w:r>
            <w:r w:rsidRPr="00F647D7">
              <w:rPr>
                <w:i/>
                <w:iCs/>
                <w:sz w:val="22"/>
              </w:rPr>
              <w:t>Vietnam Plus</w:t>
            </w:r>
            <w:r w:rsidRPr="00F647D7">
              <w:rPr>
                <w:sz w:val="22"/>
              </w:rPr>
              <w:t>, 10 August, accessed 14 August 2017.</w:t>
            </w:r>
          </w:p>
        </w:tc>
      </w:tr>
      <w:tr w:rsidR="004B3A66" w:rsidRPr="00F647D7" w14:paraId="179CF5DA" w14:textId="77777777" w:rsidTr="00573539">
        <w:tc>
          <w:tcPr>
            <w:tcW w:w="812" w:type="dxa"/>
            <w:hideMark/>
          </w:tcPr>
          <w:p w14:paraId="5739AB5E" w14:textId="77777777" w:rsidR="004B3A66" w:rsidRPr="00F647D7" w:rsidRDefault="004B3A66" w:rsidP="00573539">
            <w:pPr>
              <w:tabs>
                <w:tab w:val="clear" w:pos="567"/>
              </w:tabs>
              <w:spacing w:before="40" w:after="40"/>
              <w:rPr>
                <w:sz w:val="22"/>
                <w:lang w:val="en"/>
              </w:rPr>
            </w:pPr>
            <w:r w:rsidRPr="00F647D7">
              <w:rPr>
                <w:sz w:val="22"/>
                <w:lang w:val="en"/>
              </w:rPr>
              <w:t>64</w:t>
            </w:r>
          </w:p>
        </w:tc>
        <w:tc>
          <w:tcPr>
            <w:tcW w:w="8539" w:type="dxa"/>
            <w:hideMark/>
          </w:tcPr>
          <w:p w14:paraId="5A700C83" w14:textId="77777777" w:rsidR="004B3A66" w:rsidRPr="00F647D7" w:rsidRDefault="004B3A66" w:rsidP="00573539">
            <w:pPr>
              <w:tabs>
                <w:tab w:val="clear" w:pos="567"/>
              </w:tabs>
              <w:spacing w:before="40" w:after="40"/>
              <w:rPr>
                <w:sz w:val="22"/>
                <w:lang w:val="en"/>
              </w:rPr>
            </w:pPr>
            <w:r w:rsidRPr="00F647D7">
              <w:rPr>
                <w:sz w:val="22"/>
                <w:lang w:val="en"/>
              </w:rPr>
              <w:t xml:space="preserve">FAO 2017, </w:t>
            </w:r>
            <w:hyperlink r:id="rId100" w:history="1">
              <w:r w:rsidRPr="00F647D7">
                <w:rPr>
                  <w:rStyle w:val="Hyperlink"/>
                  <w:iCs/>
                  <w:sz w:val="22"/>
                  <w:lang w:val="en"/>
                </w:rPr>
                <w:t>Increased production of farmed shrimp leads to improved international trade</w:t>
              </w:r>
            </w:hyperlink>
            <w:r w:rsidRPr="00F647D7">
              <w:rPr>
                <w:iCs/>
                <w:sz w:val="22"/>
                <w:lang w:val="en"/>
              </w:rPr>
              <w:t xml:space="preserve">, </w:t>
            </w:r>
            <w:r w:rsidRPr="00F647D7">
              <w:rPr>
                <w:sz w:val="22"/>
                <w:lang w:val="en"/>
              </w:rPr>
              <w:t xml:space="preserve">market report, </w:t>
            </w:r>
            <w:r w:rsidRPr="00F647D7">
              <w:rPr>
                <w:iCs/>
                <w:sz w:val="22"/>
                <w:lang w:val="en"/>
              </w:rPr>
              <w:t>GLOBEFISH—analysis and information on world fish trade</w:t>
            </w:r>
            <w:r w:rsidRPr="00F647D7">
              <w:rPr>
                <w:sz w:val="22"/>
              </w:rPr>
              <w:t>, Food and Agriculture Organization of the United Nations, Rome, 10 July, accessed 7 November 2017.</w:t>
            </w:r>
          </w:p>
        </w:tc>
      </w:tr>
      <w:tr w:rsidR="004B3A66" w:rsidRPr="00F647D7" w14:paraId="473C9326" w14:textId="77777777" w:rsidTr="00573539">
        <w:tc>
          <w:tcPr>
            <w:tcW w:w="812" w:type="dxa"/>
            <w:hideMark/>
          </w:tcPr>
          <w:p w14:paraId="7B907420" w14:textId="77777777" w:rsidR="004B3A66" w:rsidRPr="00F647D7" w:rsidRDefault="004B3A66" w:rsidP="00573539">
            <w:pPr>
              <w:tabs>
                <w:tab w:val="clear" w:pos="567"/>
              </w:tabs>
              <w:spacing w:before="40" w:after="40"/>
              <w:rPr>
                <w:sz w:val="22"/>
              </w:rPr>
            </w:pPr>
            <w:r w:rsidRPr="00F647D7">
              <w:rPr>
                <w:sz w:val="22"/>
              </w:rPr>
              <w:t>65</w:t>
            </w:r>
          </w:p>
        </w:tc>
        <w:tc>
          <w:tcPr>
            <w:tcW w:w="8539" w:type="dxa"/>
            <w:hideMark/>
          </w:tcPr>
          <w:p w14:paraId="6FC3D7D9" w14:textId="77777777" w:rsidR="004B3A66" w:rsidRPr="00F647D7" w:rsidRDefault="004B3A66" w:rsidP="00573539">
            <w:pPr>
              <w:tabs>
                <w:tab w:val="clear" w:pos="567"/>
              </w:tabs>
              <w:spacing w:before="40" w:after="40"/>
              <w:rPr>
                <w:sz w:val="22"/>
              </w:rPr>
            </w:pPr>
            <w:r w:rsidRPr="00F647D7">
              <w:rPr>
                <w:sz w:val="22"/>
              </w:rPr>
              <w:t xml:space="preserve">Flegel, TW, Lightner, DV, Lo, CF &amp; Owens, L 2008, </w:t>
            </w:r>
            <w:hyperlink r:id="rId101" w:history="1">
              <w:r w:rsidRPr="00F647D7">
                <w:rPr>
                  <w:rStyle w:val="Hyperlink"/>
                  <w:sz w:val="22"/>
                </w:rPr>
                <w:t>Shrimp disease control: past, present and future (pdf 688kb)</w:t>
              </w:r>
            </w:hyperlink>
            <w:r w:rsidRPr="00F647D7">
              <w:rPr>
                <w:sz w:val="22"/>
              </w:rPr>
              <w:t xml:space="preserve">, in MG Bondad-Reantaso, CV Mohan, M Crumlish &amp; RP Subasinghe (eds), </w:t>
            </w:r>
            <w:r w:rsidRPr="00F647D7">
              <w:rPr>
                <w:i/>
                <w:iCs/>
                <w:sz w:val="22"/>
              </w:rPr>
              <w:t>Diseases in Asian aquaculture VI: proceedings of the sixth symposium on diseases in Asian aquaculture, 25–28 October 2005, Colombo, Sri Lanka</w:t>
            </w:r>
            <w:r w:rsidRPr="00F647D7">
              <w:rPr>
                <w:iCs/>
                <w:sz w:val="22"/>
              </w:rPr>
              <w:t>, Fish Health Section, Asian Fisheries Society, Manila, Philippines</w:t>
            </w:r>
            <w:r w:rsidRPr="00F647D7">
              <w:rPr>
                <w:sz w:val="22"/>
              </w:rPr>
              <w:t>, pp. 355–78.</w:t>
            </w:r>
          </w:p>
        </w:tc>
      </w:tr>
      <w:tr w:rsidR="004B3A66" w:rsidRPr="00F647D7" w14:paraId="21CEEAF1" w14:textId="77777777" w:rsidTr="00573539">
        <w:tc>
          <w:tcPr>
            <w:tcW w:w="812" w:type="dxa"/>
            <w:hideMark/>
          </w:tcPr>
          <w:p w14:paraId="79E5E142" w14:textId="77777777" w:rsidR="004B3A66" w:rsidRPr="00F647D7" w:rsidRDefault="004B3A66" w:rsidP="00573539">
            <w:pPr>
              <w:tabs>
                <w:tab w:val="clear" w:pos="567"/>
              </w:tabs>
              <w:spacing w:before="40" w:after="40"/>
              <w:rPr>
                <w:sz w:val="22"/>
              </w:rPr>
            </w:pPr>
            <w:r w:rsidRPr="00F647D7">
              <w:rPr>
                <w:sz w:val="22"/>
              </w:rPr>
              <w:t>66</w:t>
            </w:r>
          </w:p>
        </w:tc>
        <w:tc>
          <w:tcPr>
            <w:tcW w:w="8539" w:type="dxa"/>
            <w:hideMark/>
          </w:tcPr>
          <w:p w14:paraId="02FF939F" w14:textId="77777777" w:rsidR="004B3A66" w:rsidRPr="00F647D7" w:rsidRDefault="004B3A66" w:rsidP="00573539">
            <w:pPr>
              <w:tabs>
                <w:tab w:val="clear" w:pos="567"/>
              </w:tabs>
              <w:spacing w:before="40" w:after="40"/>
              <w:rPr>
                <w:sz w:val="22"/>
              </w:rPr>
            </w:pPr>
            <w:r w:rsidRPr="00F647D7">
              <w:rPr>
                <w:sz w:val="22"/>
              </w:rPr>
              <w:t xml:space="preserve">Munro, J, Callinan, R &amp; Owens, L 2011, </w:t>
            </w:r>
            <w:hyperlink r:id="rId102" w:history="1">
              <w:r w:rsidRPr="00F647D7">
                <w:rPr>
                  <w:rStyle w:val="Hyperlink"/>
                  <w:sz w:val="22"/>
                </w:rPr>
                <w:t>Gill‐associated virus and its association with decreased production of Penaeus monodon in Australian prawn farms</w:t>
              </w:r>
            </w:hyperlink>
            <w:r w:rsidRPr="00F647D7">
              <w:rPr>
                <w:sz w:val="22"/>
              </w:rPr>
              <w:t xml:space="preserve">, </w:t>
            </w:r>
            <w:r w:rsidRPr="00F647D7">
              <w:rPr>
                <w:i/>
                <w:iCs/>
                <w:sz w:val="22"/>
              </w:rPr>
              <w:t>Journal of Fish Diseases</w:t>
            </w:r>
            <w:r w:rsidRPr="00F647D7">
              <w:rPr>
                <w:sz w:val="22"/>
              </w:rPr>
              <w:t>, vol. 34, no. 1, pp. 13–20, doi: 10.1111/j.1365-2761.2010.01209.x.</w:t>
            </w:r>
          </w:p>
        </w:tc>
      </w:tr>
      <w:tr w:rsidR="004B3A66" w:rsidRPr="00F647D7" w14:paraId="53F33A2A" w14:textId="77777777" w:rsidTr="00573539">
        <w:tc>
          <w:tcPr>
            <w:tcW w:w="812" w:type="dxa"/>
            <w:hideMark/>
          </w:tcPr>
          <w:p w14:paraId="1A17F187" w14:textId="77777777" w:rsidR="004B3A66" w:rsidRPr="00F647D7" w:rsidRDefault="004B3A66" w:rsidP="00573539">
            <w:pPr>
              <w:tabs>
                <w:tab w:val="clear" w:pos="567"/>
              </w:tabs>
              <w:spacing w:before="40" w:after="40"/>
              <w:rPr>
                <w:sz w:val="22"/>
              </w:rPr>
            </w:pPr>
            <w:r w:rsidRPr="00F647D7">
              <w:rPr>
                <w:sz w:val="22"/>
              </w:rPr>
              <w:t>67</w:t>
            </w:r>
          </w:p>
        </w:tc>
        <w:tc>
          <w:tcPr>
            <w:tcW w:w="8539" w:type="dxa"/>
            <w:hideMark/>
          </w:tcPr>
          <w:p w14:paraId="23998796" w14:textId="77777777" w:rsidR="004B3A66" w:rsidRPr="00F647D7" w:rsidRDefault="004B3A66" w:rsidP="00573539">
            <w:pPr>
              <w:tabs>
                <w:tab w:val="clear" w:pos="567"/>
              </w:tabs>
              <w:spacing w:before="40" w:after="40"/>
              <w:rPr>
                <w:sz w:val="22"/>
              </w:rPr>
            </w:pPr>
            <w:r w:rsidRPr="00F647D7">
              <w:rPr>
                <w:sz w:val="22"/>
              </w:rPr>
              <w:t xml:space="preserve">Senapin, S, Phewsaiya, K, Briggs, MRP &amp; Flegel, TW 2007, </w:t>
            </w:r>
            <w:hyperlink r:id="rId103" w:history="1">
              <w:r w:rsidRPr="00F647D7">
                <w:rPr>
                  <w:rStyle w:val="Hyperlink"/>
                  <w:sz w:val="22"/>
                </w:rPr>
                <w:t>Outbreaks of infectious myonecrosis virus (IMNV) in Indonesia confirmed by genome sequencing and use of an alternative RT-PCR detection method</w:t>
              </w:r>
            </w:hyperlink>
            <w:r w:rsidRPr="00F647D7">
              <w:rPr>
                <w:sz w:val="22"/>
              </w:rPr>
              <w:t xml:space="preserve">, </w:t>
            </w:r>
            <w:r w:rsidRPr="00F647D7">
              <w:rPr>
                <w:i/>
                <w:iCs/>
                <w:sz w:val="22"/>
              </w:rPr>
              <w:t>Aquaculture</w:t>
            </w:r>
            <w:r w:rsidRPr="00F647D7">
              <w:rPr>
                <w:sz w:val="22"/>
              </w:rPr>
              <w:t>, vol. 266, nos 1–4, pp. 32–8, doi: 10.1016/j.aquaculture.2007.02.026.</w:t>
            </w:r>
          </w:p>
        </w:tc>
      </w:tr>
      <w:tr w:rsidR="004B3A66" w:rsidRPr="00F647D7" w14:paraId="479C1BB0" w14:textId="77777777" w:rsidTr="00573539">
        <w:tc>
          <w:tcPr>
            <w:tcW w:w="812" w:type="dxa"/>
            <w:hideMark/>
          </w:tcPr>
          <w:p w14:paraId="350B51B3" w14:textId="77777777" w:rsidR="004B3A66" w:rsidRPr="00F647D7" w:rsidRDefault="004B3A66" w:rsidP="00573539">
            <w:pPr>
              <w:tabs>
                <w:tab w:val="clear" w:pos="567"/>
              </w:tabs>
              <w:spacing w:before="40" w:after="40"/>
              <w:rPr>
                <w:sz w:val="22"/>
              </w:rPr>
            </w:pPr>
            <w:r w:rsidRPr="00F647D7">
              <w:rPr>
                <w:sz w:val="22"/>
              </w:rPr>
              <w:t>68</w:t>
            </w:r>
          </w:p>
        </w:tc>
        <w:tc>
          <w:tcPr>
            <w:tcW w:w="8539" w:type="dxa"/>
            <w:hideMark/>
          </w:tcPr>
          <w:p w14:paraId="0E49FDD9" w14:textId="77777777" w:rsidR="004B3A66" w:rsidRPr="00F647D7" w:rsidRDefault="004B3A66" w:rsidP="00573539">
            <w:pPr>
              <w:tabs>
                <w:tab w:val="clear" w:pos="567"/>
              </w:tabs>
              <w:spacing w:before="40" w:after="40"/>
              <w:rPr>
                <w:sz w:val="22"/>
              </w:rPr>
            </w:pPr>
            <w:r w:rsidRPr="00F647D7">
              <w:rPr>
                <w:sz w:val="22"/>
              </w:rPr>
              <w:t xml:space="preserve">Thitamadee, S, Prachumwat, A, Srisala, J, Jaroenlak, P, Salachan, PV, Sritunyalucksana, K, Flegel, TW &amp; Itsathitphaisarn, O 2016, </w:t>
            </w:r>
            <w:hyperlink r:id="rId104" w:history="1">
              <w:r w:rsidRPr="00F647D7">
                <w:rPr>
                  <w:rStyle w:val="Hyperlink"/>
                  <w:sz w:val="22"/>
                </w:rPr>
                <w:t>Review of current disease threats for cultivated penaeid shrimp in Asia (pdf 5.7mb)</w:t>
              </w:r>
            </w:hyperlink>
            <w:r w:rsidRPr="00F647D7">
              <w:rPr>
                <w:sz w:val="22"/>
              </w:rPr>
              <w:t xml:space="preserve">, </w:t>
            </w:r>
            <w:r w:rsidRPr="00F647D7">
              <w:rPr>
                <w:i/>
                <w:iCs/>
                <w:sz w:val="22"/>
              </w:rPr>
              <w:t>Aquaculture</w:t>
            </w:r>
            <w:r w:rsidRPr="00F647D7">
              <w:rPr>
                <w:sz w:val="22"/>
              </w:rPr>
              <w:t>, vol. 452, pp. 69–87.</w:t>
            </w:r>
          </w:p>
        </w:tc>
      </w:tr>
      <w:tr w:rsidR="004B3A66" w:rsidRPr="00F647D7" w14:paraId="67011AEF" w14:textId="77777777" w:rsidTr="00573539">
        <w:tc>
          <w:tcPr>
            <w:tcW w:w="812" w:type="dxa"/>
            <w:hideMark/>
          </w:tcPr>
          <w:p w14:paraId="4ADF0F12" w14:textId="77777777" w:rsidR="004B3A66" w:rsidRPr="00F647D7" w:rsidRDefault="004B3A66" w:rsidP="00573539">
            <w:pPr>
              <w:tabs>
                <w:tab w:val="clear" w:pos="567"/>
              </w:tabs>
              <w:spacing w:before="40" w:after="40"/>
              <w:rPr>
                <w:sz w:val="22"/>
              </w:rPr>
            </w:pPr>
            <w:r w:rsidRPr="00F647D7">
              <w:rPr>
                <w:sz w:val="22"/>
              </w:rPr>
              <w:t>69</w:t>
            </w:r>
          </w:p>
        </w:tc>
        <w:tc>
          <w:tcPr>
            <w:tcW w:w="8539" w:type="dxa"/>
            <w:hideMark/>
          </w:tcPr>
          <w:p w14:paraId="6A520119" w14:textId="77777777" w:rsidR="004B3A66" w:rsidRPr="00F647D7" w:rsidRDefault="004B3A66" w:rsidP="00573539">
            <w:pPr>
              <w:tabs>
                <w:tab w:val="clear" w:pos="567"/>
              </w:tabs>
              <w:spacing w:before="40" w:after="40"/>
              <w:rPr>
                <w:sz w:val="22"/>
              </w:rPr>
            </w:pPr>
            <w:r w:rsidRPr="00F647D7">
              <w:rPr>
                <w:sz w:val="22"/>
              </w:rPr>
              <w:t xml:space="preserve">Johnson, KN, van Hulten, MC &amp; Barnes, AC 2008, </w:t>
            </w:r>
            <w:hyperlink r:id="rId105" w:history="1">
              <w:r w:rsidRPr="00F647D7">
                <w:rPr>
                  <w:rStyle w:val="Hyperlink"/>
                  <w:sz w:val="22"/>
                </w:rPr>
                <w:t>‘Vaccination’ of shrimp against viral pathogens: phenomenology and underlying mechanisms</w:t>
              </w:r>
            </w:hyperlink>
            <w:r w:rsidRPr="00F647D7">
              <w:rPr>
                <w:sz w:val="22"/>
              </w:rPr>
              <w:t xml:space="preserve">, </w:t>
            </w:r>
            <w:r w:rsidRPr="00F647D7">
              <w:rPr>
                <w:i/>
                <w:iCs/>
                <w:sz w:val="22"/>
              </w:rPr>
              <w:t>Vaccine</w:t>
            </w:r>
            <w:r w:rsidRPr="00F647D7">
              <w:rPr>
                <w:sz w:val="22"/>
              </w:rPr>
              <w:t>, vol. 26, no. 38, pp. 4885–92, doi: 10.1016/j.vaccine.2008.07.019.</w:t>
            </w:r>
          </w:p>
        </w:tc>
      </w:tr>
      <w:tr w:rsidR="004B3A66" w:rsidRPr="00F647D7" w14:paraId="38192D60" w14:textId="77777777" w:rsidTr="00573539">
        <w:tc>
          <w:tcPr>
            <w:tcW w:w="812" w:type="dxa"/>
            <w:hideMark/>
          </w:tcPr>
          <w:p w14:paraId="30733085" w14:textId="77777777" w:rsidR="004B3A66" w:rsidRPr="00F647D7" w:rsidRDefault="004B3A66" w:rsidP="00573539">
            <w:pPr>
              <w:tabs>
                <w:tab w:val="clear" w:pos="567"/>
              </w:tabs>
              <w:spacing w:before="40" w:after="40"/>
              <w:rPr>
                <w:sz w:val="22"/>
              </w:rPr>
            </w:pPr>
            <w:r w:rsidRPr="00F647D7">
              <w:rPr>
                <w:sz w:val="22"/>
              </w:rPr>
              <w:t>70</w:t>
            </w:r>
          </w:p>
        </w:tc>
        <w:tc>
          <w:tcPr>
            <w:tcW w:w="8539" w:type="dxa"/>
            <w:hideMark/>
          </w:tcPr>
          <w:p w14:paraId="4E193528" w14:textId="77777777" w:rsidR="004B3A66" w:rsidRPr="00F647D7" w:rsidRDefault="004B3A66" w:rsidP="00573539">
            <w:pPr>
              <w:tabs>
                <w:tab w:val="clear" w:pos="567"/>
              </w:tabs>
              <w:spacing w:before="40" w:after="40"/>
              <w:rPr>
                <w:sz w:val="22"/>
              </w:rPr>
            </w:pPr>
            <w:r w:rsidRPr="00F647D7">
              <w:rPr>
                <w:sz w:val="22"/>
              </w:rPr>
              <w:t xml:space="preserve">Roekring, S, Nielsen, L, Owens, L, Pattanakitsakul, SN, Malasit, P &amp; Flegel, TW 2002, </w:t>
            </w:r>
            <w:hyperlink r:id="rId106" w:history="1">
              <w:r w:rsidRPr="00F647D7">
                <w:rPr>
                  <w:rStyle w:val="Hyperlink"/>
                  <w:sz w:val="22"/>
                </w:rPr>
                <w:t xml:space="preserve">Comparison of penaeid shrimp and insect parvoviruses suggests that viral transfers may </w:t>
              </w:r>
              <w:r w:rsidRPr="00F647D7">
                <w:rPr>
                  <w:rStyle w:val="Hyperlink"/>
                  <w:sz w:val="22"/>
                </w:rPr>
                <w:lastRenderedPageBreak/>
                <w:t>occur between two distantly related arthropod groups</w:t>
              </w:r>
            </w:hyperlink>
            <w:r w:rsidRPr="00F647D7">
              <w:rPr>
                <w:sz w:val="22"/>
              </w:rPr>
              <w:t xml:space="preserve">, </w:t>
            </w:r>
            <w:r w:rsidRPr="00F647D7">
              <w:rPr>
                <w:i/>
                <w:iCs/>
                <w:sz w:val="22"/>
              </w:rPr>
              <w:t>Virus Research</w:t>
            </w:r>
            <w:r w:rsidRPr="00F647D7">
              <w:rPr>
                <w:sz w:val="22"/>
              </w:rPr>
              <w:t>, vol. 87, no. 1, pp. 79–87, doi: 10.1016/S0168-1702(02)00084-9.</w:t>
            </w:r>
          </w:p>
        </w:tc>
      </w:tr>
      <w:tr w:rsidR="004B3A66" w:rsidRPr="00F647D7" w14:paraId="58619898" w14:textId="77777777" w:rsidTr="00573539">
        <w:tc>
          <w:tcPr>
            <w:tcW w:w="812" w:type="dxa"/>
            <w:hideMark/>
          </w:tcPr>
          <w:p w14:paraId="38EEA0A8" w14:textId="77777777" w:rsidR="004B3A66" w:rsidRPr="00F647D7" w:rsidRDefault="004B3A66" w:rsidP="00573539">
            <w:pPr>
              <w:tabs>
                <w:tab w:val="clear" w:pos="567"/>
              </w:tabs>
              <w:spacing w:before="40" w:after="40"/>
              <w:rPr>
                <w:sz w:val="22"/>
              </w:rPr>
            </w:pPr>
            <w:r w:rsidRPr="00F647D7">
              <w:rPr>
                <w:sz w:val="22"/>
              </w:rPr>
              <w:lastRenderedPageBreak/>
              <w:t>71</w:t>
            </w:r>
          </w:p>
        </w:tc>
        <w:tc>
          <w:tcPr>
            <w:tcW w:w="8539" w:type="dxa"/>
            <w:hideMark/>
          </w:tcPr>
          <w:p w14:paraId="35960C46" w14:textId="77777777" w:rsidR="004B3A66" w:rsidRPr="00F647D7" w:rsidRDefault="004B3A66" w:rsidP="00573539">
            <w:pPr>
              <w:tabs>
                <w:tab w:val="clear" w:pos="567"/>
              </w:tabs>
              <w:spacing w:before="40" w:after="40"/>
              <w:rPr>
                <w:sz w:val="22"/>
              </w:rPr>
            </w:pPr>
            <w:r w:rsidRPr="00F647D7">
              <w:rPr>
                <w:sz w:val="22"/>
              </w:rPr>
              <w:t xml:space="preserve">Lightner, DV, Redman, RM, Pantoja, CR, Tang, KF, Noble, BL, Schofield, P, Mohney, LL, Nunan, LM &amp; Navarro, SA 2012, </w:t>
            </w:r>
            <w:hyperlink r:id="rId107" w:history="1">
              <w:r w:rsidRPr="00F647D7">
                <w:rPr>
                  <w:rStyle w:val="Hyperlink"/>
                  <w:sz w:val="22"/>
                </w:rPr>
                <w:t>Historic emergence, impact and current status of shrimp pathogens in the Americas</w:t>
              </w:r>
            </w:hyperlink>
            <w:r w:rsidRPr="00F647D7">
              <w:rPr>
                <w:sz w:val="22"/>
              </w:rPr>
              <w:t xml:space="preserve">, </w:t>
            </w:r>
            <w:r w:rsidRPr="00F647D7">
              <w:rPr>
                <w:i/>
                <w:iCs/>
                <w:sz w:val="22"/>
              </w:rPr>
              <w:t>Journal of Invertebrate Pathology</w:t>
            </w:r>
            <w:r w:rsidRPr="00F647D7">
              <w:rPr>
                <w:sz w:val="22"/>
              </w:rPr>
              <w:t>, vol. 110, no. 2, pp. 174–83, doi: 10.1016/j.jip.2012.03.006.</w:t>
            </w:r>
          </w:p>
        </w:tc>
      </w:tr>
      <w:tr w:rsidR="004B3A66" w:rsidRPr="00F647D7" w14:paraId="4BE31BC3" w14:textId="77777777" w:rsidTr="00573539">
        <w:tc>
          <w:tcPr>
            <w:tcW w:w="812" w:type="dxa"/>
            <w:hideMark/>
          </w:tcPr>
          <w:p w14:paraId="3327DDC8" w14:textId="77777777" w:rsidR="004B3A66" w:rsidRPr="00F647D7" w:rsidRDefault="004B3A66" w:rsidP="00573539">
            <w:pPr>
              <w:tabs>
                <w:tab w:val="clear" w:pos="567"/>
              </w:tabs>
              <w:spacing w:before="40" w:after="40"/>
              <w:rPr>
                <w:sz w:val="22"/>
              </w:rPr>
            </w:pPr>
            <w:r w:rsidRPr="00F647D7">
              <w:rPr>
                <w:sz w:val="22"/>
              </w:rPr>
              <w:t>72</w:t>
            </w:r>
          </w:p>
        </w:tc>
        <w:tc>
          <w:tcPr>
            <w:tcW w:w="8539" w:type="dxa"/>
            <w:hideMark/>
          </w:tcPr>
          <w:p w14:paraId="1B73FDFA" w14:textId="77777777" w:rsidR="004B3A66" w:rsidRPr="00F647D7" w:rsidRDefault="004B3A66" w:rsidP="00573539">
            <w:pPr>
              <w:tabs>
                <w:tab w:val="clear" w:pos="567"/>
              </w:tabs>
              <w:spacing w:before="40" w:after="40"/>
              <w:rPr>
                <w:sz w:val="22"/>
              </w:rPr>
            </w:pPr>
            <w:r w:rsidRPr="00F647D7">
              <w:rPr>
                <w:sz w:val="22"/>
              </w:rPr>
              <w:t xml:space="preserve">Owens, L &amp; Hall-Mendelin, S 1990, ‘Diseases relevant to penaeid mariculture in tropical Australia’, in FO Perkins &amp; TC Cheng (eds), </w:t>
            </w:r>
            <w:r w:rsidRPr="00F647D7">
              <w:rPr>
                <w:i/>
                <w:iCs/>
                <w:sz w:val="22"/>
              </w:rPr>
              <w:t>Pathology in marine science</w:t>
            </w:r>
            <w:r w:rsidRPr="00F647D7">
              <w:rPr>
                <w:sz w:val="22"/>
              </w:rPr>
              <w:t>, Academic Press, San Diego, United States, pp. 421–32.</w:t>
            </w:r>
          </w:p>
        </w:tc>
      </w:tr>
      <w:tr w:rsidR="004B3A66" w:rsidRPr="00F647D7" w14:paraId="25036300" w14:textId="77777777" w:rsidTr="00573539">
        <w:tc>
          <w:tcPr>
            <w:tcW w:w="812" w:type="dxa"/>
            <w:hideMark/>
          </w:tcPr>
          <w:p w14:paraId="62ACEDAA" w14:textId="77777777" w:rsidR="004B3A66" w:rsidRPr="00F647D7" w:rsidRDefault="004B3A66" w:rsidP="00573539">
            <w:pPr>
              <w:tabs>
                <w:tab w:val="clear" w:pos="567"/>
              </w:tabs>
              <w:spacing w:before="40" w:after="40"/>
              <w:rPr>
                <w:sz w:val="22"/>
                <w:lang w:val="en"/>
              </w:rPr>
            </w:pPr>
            <w:r w:rsidRPr="00F647D7">
              <w:rPr>
                <w:sz w:val="22"/>
                <w:lang w:val="en"/>
              </w:rPr>
              <w:t>73</w:t>
            </w:r>
          </w:p>
        </w:tc>
        <w:tc>
          <w:tcPr>
            <w:tcW w:w="8539" w:type="dxa"/>
            <w:hideMark/>
          </w:tcPr>
          <w:p w14:paraId="1F268D31" w14:textId="77777777" w:rsidR="004B3A66" w:rsidRPr="00F647D7" w:rsidRDefault="004B3A66" w:rsidP="00573539">
            <w:pPr>
              <w:tabs>
                <w:tab w:val="clear" w:pos="567"/>
              </w:tabs>
              <w:spacing w:before="40" w:after="40"/>
              <w:rPr>
                <w:sz w:val="22"/>
                <w:lang w:val="en"/>
              </w:rPr>
            </w:pPr>
            <w:r w:rsidRPr="00F647D7">
              <w:rPr>
                <w:sz w:val="22"/>
                <w:lang w:val="en"/>
              </w:rPr>
              <w:t xml:space="preserve">Lester, RJG, Doubrovsky, A, Paynter, JL, Sambhi, SK &amp; Atherton, JG 1987, ‘Light and electron microscope evidence of baculovirus infection in the prawn </w:t>
            </w:r>
            <w:r w:rsidRPr="00F647D7">
              <w:rPr>
                <w:i/>
                <w:iCs/>
                <w:sz w:val="22"/>
                <w:lang w:val="en"/>
              </w:rPr>
              <w:t>Penaeus plebejus</w:t>
            </w:r>
            <w:r w:rsidRPr="00F647D7">
              <w:rPr>
                <w:iCs/>
                <w:sz w:val="22"/>
                <w:lang w:val="en"/>
              </w:rPr>
              <w:t xml:space="preserve">’, </w:t>
            </w:r>
            <w:r w:rsidRPr="00F647D7">
              <w:rPr>
                <w:i/>
                <w:iCs/>
                <w:sz w:val="22"/>
                <w:lang w:val="en"/>
              </w:rPr>
              <w:t>Diseases of Aquatic Organisms</w:t>
            </w:r>
            <w:r w:rsidRPr="00F647D7">
              <w:rPr>
                <w:iCs/>
                <w:sz w:val="22"/>
                <w:lang w:val="en"/>
              </w:rPr>
              <w:t>, vol. 3, pp. 217–19.</w:t>
            </w:r>
          </w:p>
        </w:tc>
      </w:tr>
      <w:tr w:rsidR="004B3A66" w:rsidRPr="00F647D7" w14:paraId="7F527C1E" w14:textId="77777777" w:rsidTr="00573539">
        <w:tc>
          <w:tcPr>
            <w:tcW w:w="812" w:type="dxa"/>
            <w:hideMark/>
          </w:tcPr>
          <w:p w14:paraId="0DF9B472" w14:textId="77777777" w:rsidR="004B3A66" w:rsidRPr="00F647D7" w:rsidRDefault="004B3A66" w:rsidP="00573539">
            <w:pPr>
              <w:tabs>
                <w:tab w:val="clear" w:pos="567"/>
              </w:tabs>
              <w:spacing w:before="40" w:after="40"/>
              <w:rPr>
                <w:sz w:val="22"/>
              </w:rPr>
            </w:pPr>
            <w:r w:rsidRPr="00F647D7">
              <w:rPr>
                <w:sz w:val="22"/>
              </w:rPr>
              <w:t>74</w:t>
            </w:r>
          </w:p>
        </w:tc>
        <w:tc>
          <w:tcPr>
            <w:tcW w:w="8539" w:type="dxa"/>
            <w:hideMark/>
          </w:tcPr>
          <w:p w14:paraId="3F8C2ACB" w14:textId="0912B1F7" w:rsidR="004B3A66" w:rsidRPr="00F647D7" w:rsidRDefault="004B3A66" w:rsidP="002A55AB">
            <w:pPr>
              <w:tabs>
                <w:tab w:val="clear" w:pos="567"/>
              </w:tabs>
              <w:spacing w:before="40" w:after="40"/>
              <w:rPr>
                <w:sz w:val="22"/>
              </w:rPr>
            </w:pPr>
            <w:r w:rsidRPr="00F647D7">
              <w:rPr>
                <w:sz w:val="22"/>
              </w:rPr>
              <w:t xml:space="preserve">Owens, L 1997, </w:t>
            </w:r>
            <w:r w:rsidR="002A55AB">
              <w:rPr>
                <w:sz w:val="22"/>
              </w:rPr>
              <w:t>‘</w:t>
            </w:r>
            <w:r w:rsidR="00C4386F" w:rsidRPr="002A55AB">
              <w:rPr>
                <w:sz w:val="22"/>
              </w:rPr>
              <w:t>The history of the emergence of viruses in Australian prawn</w:t>
            </w:r>
            <w:r w:rsidR="002A55AB" w:rsidRPr="002A55AB">
              <w:rPr>
                <w:sz w:val="22"/>
              </w:rPr>
              <w:t xml:space="preserve"> </w:t>
            </w:r>
            <w:r w:rsidR="00C4386F" w:rsidRPr="002A55AB">
              <w:rPr>
                <w:sz w:val="22"/>
              </w:rPr>
              <w:t>aquaculture</w:t>
            </w:r>
            <w:r w:rsidR="002A55AB">
              <w:rPr>
                <w:sz w:val="22"/>
              </w:rPr>
              <w:t>’</w:t>
            </w:r>
            <w:r w:rsidRPr="00F647D7">
              <w:rPr>
                <w:sz w:val="22"/>
              </w:rPr>
              <w:t xml:space="preserve">, </w:t>
            </w:r>
            <w:r w:rsidRPr="00F647D7">
              <w:rPr>
                <w:i/>
                <w:iCs/>
                <w:sz w:val="22"/>
              </w:rPr>
              <w:t>World Journal of Microbiology and Biotechnology</w:t>
            </w:r>
            <w:r w:rsidRPr="00F647D7">
              <w:rPr>
                <w:sz w:val="22"/>
              </w:rPr>
              <w:t>, vol. 13, no. 4, pp. 427–31</w:t>
            </w:r>
            <w:r w:rsidR="002A55AB">
              <w:rPr>
                <w:sz w:val="22"/>
              </w:rPr>
              <w:t>.</w:t>
            </w:r>
          </w:p>
        </w:tc>
      </w:tr>
      <w:tr w:rsidR="004B3A66" w:rsidRPr="00F647D7" w14:paraId="1CC00261" w14:textId="77777777" w:rsidTr="00573539">
        <w:tc>
          <w:tcPr>
            <w:tcW w:w="812" w:type="dxa"/>
            <w:hideMark/>
          </w:tcPr>
          <w:p w14:paraId="1A708AF4" w14:textId="77777777" w:rsidR="004B3A66" w:rsidRPr="00F647D7" w:rsidRDefault="004B3A66" w:rsidP="00573539">
            <w:pPr>
              <w:tabs>
                <w:tab w:val="clear" w:pos="567"/>
              </w:tabs>
              <w:spacing w:before="40" w:after="40"/>
              <w:rPr>
                <w:sz w:val="22"/>
              </w:rPr>
            </w:pPr>
            <w:r w:rsidRPr="00F647D7">
              <w:rPr>
                <w:sz w:val="22"/>
              </w:rPr>
              <w:t>75</w:t>
            </w:r>
          </w:p>
        </w:tc>
        <w:tc>
          <w:tcPr>
            <w:tcW w:w="8539" w:type="dxa"/>
            <w:hideMark/>
          </w:tcPr>
          <w:p w14:paraId="6A8F7673" w14:textId="77777777" w:rsidR="004B3A66" w:rsidRPr="00F647D7" w:rsidRDefault="004B3A66" w:rsidP="00573539">
            <w:pPr>
              <w:tabs>
                <w:tab w:val="clear" w:pos="567"/>
              </w:tabs>
              <w:spacing w:before="40" w:after="40"/>
              <w:rPr>
                <w:sz w:val="22"/>
              </w:rPr>
            </w:pPr>
            <w:r w:rsidRPr="00F647D7">
              <w:rPr>
                <w:sz w:val="22"/>
              </w:rPr>
              <w:t xml:space="preserve">Walsh, R, La Fauce, K, Crockford, M, Jones, B &amp; Owens, L 2017, </w:t>
            </w:r>
            <w:hyperlink r:id="rId108" w:history="1">
              <w:r w:rsidRPr="00F647D7">
                <w:rPr>
                  <w:rStyle w:val="Hyperlink"/>
                  <w:sz w:val="22"/>
                </w:rPr>
                <w:t>Genomic heterogeneity and prevalence of hepandensovirus in Penaeus esculentus from Western Australia, and P. merguiensis from the Gulf of Carpentaria, Australia</w:t>
              </w:r>
            </w:hyperlink>
            <w:r w:rsidRPr="00F647D7">
              <w:rPr>
                <w:sz w:val="22"/>
              </w:rPr>
              <w:t xml:space="preserve">, </w:t>
            </w:r>
            <w:r w:rsidRPr="00F647D7">
              <w:rPr>
                <w:i/>
                <w:iCs/>
                <w:sz w:val="22"/>
              </w:rPr>
              <w:t>Aquaculture</w:t>
            </w:r>
            <w:r w:rsidRPr="00F647D7">
              <w:rPr>
                <w:sz w:val="22"/>
              </w:rPr>
              <w:t>, vol. 471, pp. 43–8, doi: 10.1016/j.aquaculture.2017.01.006.</w:t>
            </w:r>
          </w:p>
        </w:tc>
      </w:tr>
      <w:tr w:rsidR="004B3A66" w:rsidRPr="00F647D7" w14:paraId="193425A2" w14:textId="77777777" w:rsidTr="00573539">
        <w:tc>
          <w:tcPr>
            <w:tcW w:w="812" w:type="dxa"/>
            <w:hideMark/>
          </w:tcPr>
          <w:p w14:paraId="0D280C99" w14:textId="77777777" w:rsidR="004B3A66" w:rsidRPr="00F647D7" w:rsidRDefault="004B3A66" w:rsidP="00573539">
            <w:pPr>
              <w:tabs>
                <w:tab w:val="clear" w:pos="567"/>
              </w:tabs>
              <w:spacing w:before="40" w:after="40"/>
              <w:rPr>
                <w:sz w:val="22"/>
              </w:rPr>
            </w:pPr>
            <w:r w:rsidRPr="00F647D7">
              <w:rPr>
                <w:sz w:val="22"/>
              </w:rPr>
              <w:t>76</w:t>
            </w:r>
          </w:p>
        </w:tc>
        <w:tc>
          <w:tcPr>
            <w:tcW w:w="8539" w:type="dxa"/>
            <w:hideMark/>
          </w:tcPr>
          <w:p w14:paraId="5477F663" w14:textId="77777777" w:rsidR="004B3A66" w:rsidRPr="00F647D7" w:rsidRDefault="004B3A66" w:rsidP="00573539">
            <w:pPr>
              <w:tabs>
                <w:tab w:val="clear" w:pos="567"/>
              </w:tabs>
              <w:spacing w:before="40" w:after="40"/>
              <w:rPr>
                <w:sz w:val="22"/>
              </w:rPr>
            </w:pPr>
            <w:r w:rsidRPr="00F647D7">
              <w:rPr>
                <w:sz w:val="22"/>
              </w:rPr>
              <w:t xml:space="preserve">Jaroenram, W, Chaivisuthangkura, P &amp; Owens, L 2015, ‘One base pair deletion and high rate of evolution: keys to viral accommodation of Australian </w:t>
            </w:r>
            <w:r w:rsidRPr="00F647D7">
              <w:rPr>
                <w:i/>
                <w:iCs/>
                <w:sz w:val="22"/>
              </w:rPr>
              <w:t>Penaeus stylirostris densovirus’</w:t>
            </w:r>
            <w:r w:rsidRPr="00F647D7">
              <w:rPr>
                <w:sz w:val="22"/>
              </w:rPr>
              <w:t xml:space="preserve">, </w:t>
            </w:r>
            <w:r w:rsidRPr="00F647D7">
              <w:rPr>
                <w:i/>
                <w:iCs/>
                <w:sz w:val="22"/>
              </w:rPr>
              <w:t>Aquaculture</w:t>
            </w:r>
            <w:r w:rsidRPr="00F647D7">
              <w:rPr>
                <w:sz w:val="22"/>
              </w:rPr>
              <w:t>, vol. 443, pp. 40–8.</w:t>
            </w:r>
          </w:p>
        </w:tc>
      </w:tr>
      <w:tr w:rsidR="004B3A66" w:rsidRPr="00F647D7" w14:paraId="2090111B" w14:textId="77777777" w:rsidTr="00573539">
        <w:tc>
          <w:tcPr>
            <w:tcW w:w="812" w:type="dxa"/>
            <w:hideMark/>
          </w:tcPr>
          <w:p w14:paraId="00948063" w14:textId="77777777" w:rsidR="004B3A66" w:rsidRPr="00F647D7" w:rsidRDefault="004B3A66" w:rsidP="00573539">
            <w:pPr>
              <w:tabs>
                <w:tab w:val="clear" w:pos="567"/>
              </w:tabs>
              <w:spacing w:before="40" w:after="40"/>
              <w:rPr>
                <w:sz w:val="22"/>
              </w:rPr>
            </w:pPr>
            <w:r w:rsidRPr="00F647D7">
              <w:rPr>
                <w:sz w:val="22"/>
              </w:rPr>
              <w:t>77</w:t>
            </w:r>
          </w:p>
        </w:tc>
        <w:tc>
          <w:tcPr>
            <w:tcW w:w="8539" w:type="dxa"/>
            <w:hideMark/>
          </w:tcPr>
          <w:p w14:paraId="5C0E02D8" w14:textId="77777777" w:rsidR="004B3A66" w:rsidRPr="00F647D7" w:rsidRDefault="004B3A66" w:rsidP="00573539">
            <w:pPr>
              <w:tabs>
                <w:tab w:val="clear" w:pos="567"/>
              </w:tabs>
              <w:spacing w:before="40" w:after="40"/>
              <w:rPr>
                <w:sz w:val="22"/>
              </w:rPr>
            </w:pPr>
            <w:r w:rsidRPr="00F647D7">
              <w:rPr>
                <w:sz w:val="22"/>
              </w:rPr>
              <w:t xml:space="preserve">Jones, JB &amp; Stephens, FJ 2006, </w:t>
            </w:r>
            <w:r w:rsidRPr="00F647D7">
              <w:rPr>
                <w:i/>
                <w:iCs/>
                <w:sz w:val="22"/>
              </w:rPr>
              <w:t>Aquatic Animal Health Subprogram: development of a national translocation policy using abalone and prawns as templates for other aquatic species</w:t>
            </w:r>
            <w:r w:rsidRPr="00F647D7">
              <w:rPr>
                <w:sz w:val="22"/>
              </w:rPr>
              <w:t>, FRDC project no. 2004/080, Fisheries Research and Development Corporation, Canberra, October.</w:t>
            </w:r>
          </w:p>
        </w:tc>
      </w:tr>
      <w:tr w:rsidR="004B3A66" w:rsidRPr="00F647D7" w14:paraId="0D01BBC1" w14:textId="77777777" w:rsidTr="00573539">
        <w:tc>
          <w:tcPr>
            <w:tcW w:w="812" w:type="dxa"/>
            <w:hideMark/>
          </w:tcPr>
          <w:p w14:paraId="51ED08AE" w14:textId="77777777" w:rsidR="004B3A66" w:rsidRPr="00F647D7" w:rsidRDefault="004B3A66" w:rsidP="00573539">
            <w:pPr>
              <w:tabs>
                <w:tab w:val="clear" w:pos="567"/>
              </w:tabs>
              <w:spacing w:before="40" w:after="40"/>
              <w:rPr>
                <w:sz w:val="22"/>
              </w:rPr>
            </w:pPr>
            <w:r w:rsidRPr="00F647D7">
              <w:rPr>
                <w:sz w:val="22"/>
              </w:rPr>
              <w:t>78</w:t>
            </w:r>
          </w:p>
        </w:tc>
        <w:tc>
          <w:tcPr>
            <w:tcW w:w="8539" w:type="dxa"/>
            <w:hideMark/>
          </w:tcPr>
          <w:p w14:paraId="0D72ED2E" w14:textId="77777777" w:rsidR="004B3A66" w:rsidRPr="00F647D7" w:rsidRDefault="004B3A66" w:rsidP="00573539">
            <w:pPr>
              <w:tabs>
                <w:tab w:val="clear" w:pos="567"/>
              </w:tabs>
              <w:spacing w:before="40" w:after="40"/>
              <w:rPr>
                <w:sz w:val="22"/>
              </w:rPr>
            </w:pPr>
            <w:r w:rsidRPr="00F647D7">
              <w:rPr>
                <w:sz w:val="22"/>
              </w:rPr>
              <w:t xml:space="preserve">Perera, RP, Jones, BR, Beers, PE, Kleeman, S &amp; McGladdery, S 2008, ‘Maintaining biosecurity in aquaculture systems: a constraint or a challenge’, in MG Bondad-Reantaso, CV Mohan, M Crumlish &amp; RP Subasinghe (eds), </w:t>
            </w:r>
            <w:r w:rsidRPr="00F647D7">
              <w:rPr>
                <w:i/>
                <w:iCs/>
                <w:sz w:val="22"/>
              </w:rPr>
              <w:t>Diseases in Asian aquaculture VI: proceedings of the sixth symposium on diseases in Asian aquaculture,</w:t>
            </w:r>
            <w:r w:rsidRPr="00F647D7">
              <w:rPr>
                <w:iCs/>
                <w:sz w:val="22"/>
              </w:rPr>
              <w:t xml:space="preserve"> </w:t>
            </w:r>
            <w:r w:rsidRPr="00F647D7">
              <w:rPr>
                <w:i/>
                <w:iCs/>
                <w:sz w:val="22"/>
              </w:rPr>
              <w:t>25–28 October 2005, Colombo, Sri Lanka</w:t>
            </w:r>
            <w:r w:rsidRPr="00F647D7">
              <w:rPr>
                <w:sz w:val="22"/>
              </w:rPr>
              <w:t>, Fish Health Section, Asian Fisheries Society, Manila, Philippines, pp. 3–20.</w:t>
            </w:r>
          </w:p>
        </w:tc>
      </w:tr>
      <w:tr w:rsidR="004B3A66" w:rsidRPr="00F647D7" w14:paraId="053B5E22" w14:textId="77777777" w:rsidTr="00573539">
        <w:tc>
          <w:tcPr>
            <w:tcW w:w="812" w:type="dxa"/>
            <w:hideMark/>
          </w:tcPr>
          <w:p w14:paraId="168C9DE1" w14:textId="77777777" w:rsidR="004B3A66" w:rsidRPr="00F647D7" w:rsidRDefault="004B3A66" w:rsidP="00573539">
            <w:pPr>
              <w:tabs>
                <w:tab w:val="clear" w:pos="567"/>
              </w:tabs>
              <w:spacing w:before="40" w:after="40"/>
              <w:rPr>
                <w:sz w:val="22"/>
              </w:rPr>
            </w:pPr>
            <w:r w:rsidRPr="00F647D7">
              <w:rPr>
                <w:sz w:val="22"/>
              </w:rPr>
              <w:t>79</w:t>
            </w:r>
          </w:p>
        </w:tc>
        <w:tc>
          <w:tcPr>
            <w:tcW w:w="8539" w:type="dxa"/>
            <w:hideMark/>
          </w:tcPr>
          <w:p w14:paraId="2B916E25" w14:textId="77777777" w:rsidR="004B3A66" w:rsidRPr="00F647D7" w:rsidRDefault="004B3A66" w:rsidP="00573539">
            <w:pPr>
              <w:tabs>
                <w:tab w:val="clear" w:pos="567"/>
              </w:tabs>
              <w:spacing w:before="40" w:after="40"/>
              <w:rPr>
                <w:sz w:val="22"/>
              </w:rPr>
            </w:pPr>
            <w:r w:rsidRPr="00F647D7">
              <w:rPr>
                <w:sz w:val="22"/>
              </w:rPr>
              <w:t xml:space="preserve">Walker, PJ &amp; Mohan, CV 2009, </w:t>
            </w:r>
            <w:hyperlink r:id="rId109" w:history="1">
              <w:r w:rsidRPr="00F647D7">
                <w:rPr>
                  <w:rStyle w:val="Hyperlink"/>
                  <w:sz w:val="22"/>
                </w:rPr>
                <w:t>Viral disease emergence in shrimp aquaculture: origins, impact and the effectiveness of health management strategies</w:t>
              </w:r>
            </w:hyperlink>
            <w:r w:rsidRPr="00F647D7">
              <w:rPr>
                <w:sz w:val="22"/>
              </w:rPr>
              <w:t xml:space="preserve">, </w:t>
            </w:r>
            <w:r w:rsidRPr="00F647D7">
              <w:rPr>
                <w:i/>
                <w:iCs/>
                <w:sz w:val="22"/>
              </w:rPr>
              <w:t>Reviews in Aquaculture</w:t>
            </w:r>
            <w:r w:rsidRPr="00F647D7">
              <w:rPr>
                <w:sz w:val="22"/>
              </w:rPr>
              <w:t>, vol. 1, no. 2, pp. 125–54, doi: 10.1111/j.1753-5131.2009.01007.x.</w:t>
            </w:r>
          </w:p>
        </w:tc>
      </w:tr>
      <w:tr w:rsidR="004B3A66" w:rsidRPr="00F647D7" w14:paraId="69522BB6" w14:textId="77777777" w:rsidTr="00573539">
        <w:tc>
          <w:tcPr>
            <w:tcW w:w="812" w:type="dxa"/>
            <w:hideMark/>
          </w:tcPr>
          <w:p w14:paraId="5196E5EA" w14:textId="77777777" w:rsidR="004B3A66" w:rsidRPr="00F647D7" w:rsidRDefault="004B3A66" w:rsidP="00573539">
            <w:pPr>
              <w:tabs>
                <w:tab w:val="clear" w:pos="567"/>
              </w:tabs>
              <w:spacing w:before="40" w:after="40"/>
              <w:rPr>
                <w:sz w:val="22"/>
              </w:rPr>
            </w:pPr>
            <w:r w:rsidRPr="00F647D7">
              <w:rPr>
                <w:sz w:val="22"/>
              </w:rPr>
              <w:t>80</w:t>
            </w:r>
          </w:p>
        </w:tc>
        <w:tc>
          <w:tcPr>
            <w:tcW w:w="8539" w:type="dxa"/>
            <w:hideMark/>
          </w:tcPr>
          <w:p w14:paraId="24FF1841" w14:textId="20A36212" w:rsidR="004B3A66" w:rsidRPr="00F647D7" w:rsidRDefault="004B3A66" w:rsidP="000F2491">
            <w:pPr>
              <w:tabs>
                <w:tab w:val="clear" w:pos="567"/>
              </w:tabs>
              <w:spacing w:before="40" w:after="40"/>
              <w:rPr>
                <w:sz w:val="22"/>
              </w:rPr>
            </w:pPr>
            <w:r w:rsidRPr="00F647D7">
              <w:rPr>
                <w:sz w:val="22"/>
              </w:rPr>
              <w:t xml:space="preserve">East, IJ, Black, PF, Findlay, VL &amp; Bernoth, E-M 2005, </w:t>
            </w:r>
            <w:r w:rsidRPr="000F2491">
              <w:rPr>
                <w:sz w:val="22"/>
              </w:rPr>
              <w:t>A national survey to verify freedom from white spot syndrome virus and yellow head virus in Australian crustaceans</w:t>
            </w:r>
            <w:r w:rsidRPr="00F647D7">
              <w:rPr>
                <w:sz w:val="22"/>
              </w:rPr>
              <w:t xml:space="preserve">, in P Walker, R Lester &amp; MG Bondad-Reantaso (eds), </w:t>
            </w:r>
            <w:r w:rsidRPr="00F647D7">
              <w:rPr>
                <w:i/>
                <w:iCs/>
                <w:sz w:val="22"/>
              </w:rPr>
              <w:t>Diseases in Asian aquaculture V: proceedings of the fifth symposium on diseases in Asian aquaculture</w:t>
            </w:r>
            <w:r w:rsidRPr="00F647D7">
              <w:rPr>
                <w:sz w:val="22"/>
              </w:rPr>
              <w:t xml:space="preserve">, </w:t>
            </w:r>
            <w:r w:rsidRPr="00F647D7">
              <w:rPr>
                <w:i/>
                <w:iCs/>
                <w:sz w:val="22"/>
              </w:rPr>
              <w:t>24–28 November 2002, Queensland</w:t>
            </w:r>
            <w:r w:rsidRPr="00F647D7">
              <w:rPr>
                <w:sz w:val="22"/>
              </w:rPr>
              <w:t>, Fish Health Section, Asian Fisheries Society, Manila, Philippines, pp. 15–26.</w:t>
            </w:r>
          </w:p>
        </w:tc>
      </w:tr>
      <w:tr w:rsidR="004B3A66" w:rsidRPr="00F647D7" w14:paraId="7A45F825" w14:textId="77777777" w:rsidTr="00573539">
        <w:tc>
          <w:tcPr>
            <w:tcW w:w="812" w:type="dxa"/>
            <w:hideMark/>
          </w:tcPr>
          <w:p w14:paraId="1063C481" w14:textId="77777777" w:rsidR="004B3A66" w:rsidRPr="00F647D7" w:rsidRDefault="004B3A66" w:rsidP="00573539">
            <w:pPr>
              <w:tabs>
                <w:tab w:val="clear" w:pos="567"/>
              </w:tabs>
              <w:spacing w:before="40" w:after="40"/>
              <w:rPr>
                <w:sz w:val="22"/>
              </w:rPr>
            </w:pPr>
            <w:r w:rsidRPr="00F647D7">
              <w:rPr>
                <w:sz w:val="22"/>
              </w:rPr>
              <w:t>81</w:t>
            </w:r>
          </w:p>
        </w:tc>
        <w:tc>
          <w:tcPr>
            <w:tcW w:w="8539" w:type="dxa"/>
            <w:hideMark/>
          </w:tcPr>
          <w:p w14:paraId="5E76451B" w14:textId="77777777" w:rsidR="004B3A66" w:rsidRPr="00F647D7" w:rsidRDefault="004B3A66" w:rsidP="00573539">
            <w:pPr>
              <w:tabs>
                <w:tab w:val="clear" w:pos="567"/>
              </w:tabs>
              <w:spacing w:before="40" w:after="40"/>
              <w:rPr>
                <w:sz w:val="22"/>
              </w:rPr>
            </w:pPr>
            <w:r w:rsidRPr="00F647D7">
              <w:rPr>
                <w:sz w:val="22"/>
              </w:rPr>
              <w:t xml:space="preserve">Department of Agriculture, Fisheries and Forestry 2000, </w:t>
            </w:r>
            <w:hyperlink r:id="rId110" w:history="1">
              <w:r w:rsidRPr="00F647D7">
                <w:rPr>
                  <w:rStyle w:val="Hyperlink"/>
                  <w:sz w:val="22"/>
                </w:rPr>
                <w:t>Animal biosecurity policy memorandum 2000/57. Uncooked (green prawns): interim conditions (pdf 21kb)</w:t>
              </w:r>
            </w:hyperlink>
            <w:r w:rsidRPr="00F647D7">
              <w:rPr>
                <w:sz w:val="22"/>
              </w:rPr>
              <w:t>, Australian Quarantine and Inspection Service, Department of Agriculture, Fisheries and Forestry, Canberra, 14 December.</w:t>
            </w:r>
          </w:p>
        </w:tc>
      </w:tr>
      <w:tr w:rsidR="004B3A66" w:rsidRPr="00F647D7" w14:paraId="370AC0A4" w14:textId="77777777" w:rsidTr="00573539">
        <w:tc>
          <w:tcPr>
            <w:tcW w:w="812" w:type="dxa"/>
            <w:hideMark/>
          </w:tcPr>
          <w:p w14:paraId="694D8D63" w14:textId="77777777" w:rsidR="004B3A66" w:rsidRPr="00F647D7" w:rsidRDefault="004B3A66" w:rsidP="00573539">
            <w:pPr>
              <w:tabs>
                <w:tab w:val="clear" w:pos="567"/>
              </w:tabs>
              <w:spacing w:before="40" w:after="40"/>
              <w:rPr>
                <w:sz w:val="22"/>
              </w:rPr>
            </w:pPr>
            <w:r w:rsidRPr="00F647D7">
              <w:rPr>
                <w:sz w:val="22"/>
              </w:rPr>
              <w:t>82</w:t>
            </w:r>
          </w:p>
        </w:tc>
        <w:tc>
          <w:tcPr>
            <w:tcW w:w="8539" w:type="dxa"/>
            <w:hideMark/>
          </w:tcPr>
          <w:p w14:paraId="5F36092C" w14:textId="77777777" w:rsidR="004B3A66" w:rsidRPr="00F647D7" w:rsidRDefault="004B3A66" w:rsidP="00573539">
            <w:pPr>
              <w:tabs>
                <w:tab w:val="clear" w:pos="567"/>
              </w:tabs>
              <w:spacing w:before="40" w:after="40"/>
              <w:rPr>
                <w:sz w:val="22"/>
              </w:rPr>
            </w:pPr>
            <w:r w:rsidRPr="00F647D7">
              <w:rPr>
                <w:sz w:val="22"/>
              </w:rPr>
              <w:t xml:space="preserve">Department of Agriculture and Water Resources 2015, </w:t>
            </w:r>
            <w:hyperlink r:id="rId111" w:history="1">
              <w:r w:rsidRPr="00F647D7">
                <w:rPr>
                  <w:rStyle w:val="Hyperlink"/>
                  <w:sz w:val="22"/>
                </w:rPr>
                <w:t>What you can do to protect Australia’s aquatic animal health</w:t>
              </w:r>
            </w:hyperlink>
            <w:r w:rsidRPr="00F647D7">
              <w:rPr>
                <w:sz w:val="22"/>
              </w:rPr>
              <w:t>, Canberra, 6 November, accessed 13 July 2017.</w:t>
            </w:r>
          </w:p>
        </w:tc>
      </w:tr>
      <w:tr w:rsidR="004B3A66" w:rsidRPr="00F647D7" w14:paraId="0C2DB04A" w14:textId="77777777" w:rsidTr="00573539">
        <w:tc>
          <w:tcPr>
            <w:tcW w:w="812" w:type="dxa"/>
            <w:hideMark/>
          </w:tcPr>
          <w:p w14:paraId="328D1D62" w14:textId="77777777" w:rsidR="004B3A66" w:rsidRPr="00F647D7" w:rsidRDefault="004B3A66" w:rsidP="00573539">
            <w:pPr>
              <w:tabs>
                <w:tab w:val="clear" w:pos="567"/>
              </w:tabs>
              <w:spacing w:before="40" w:after="40"/>
              <w:rPr>
                <w:sz w:val="22"/>
              </w:rPr>
            </w:pPr>
            <w:r w:rsidRPr="00F647D7">
              <w:rPr>
                <w:sz w:val="22"/>
              </w:rPr>
              <w:t>83</w:t>
            </w:r>
          </w:p>
        </w:tc>
        <w:tc>
          <w:tcPr>
            <w:tcW w:w="8539" w:type="dxa"/>
            <w:hideMark/>
          </w:tcPr>
          <w:p w14:paraId="6AAD0F37" w14:textId="77777777" w:rsidR="004B3A66" w:rsidRPr="00F647D7" w:rsidRDefault="004B3A66" w:rsidP="00573539">
            <w:pPr>
              <w:tabs>
                <w:tab w:val="clear" w:pos="567"/>
              </w:tabs>
              <w:spacing w:before="40" w:after="40"/>
              <w:rPr>
                <w:sz w:val="22"/>
              </w:rPr>
            </w:pPr>
            <w:r w:rsidRPr="00F647D7">
              <w:rPr>
                <w:sz w:val="22"/>
              </w:rPr>
              <w:t xml:space="preserve">Department of Agriculture, Fisheries and Forestry 2001, </w:t>
            </w:r>
            <w:hyperlink r:id="rId112" w:history="1">
              <w:r w:rsidRPr="00F647D7">
                <w:rPr>
                  <w:rStyle w:val="Hyperlink"/>
                  <w:sz w:val="22"/>
                </w:rPr>
                <w:t>Uncooked (green prawns): tighter import conditions (pdf 38kb)</w:t>
              </w:r>
            </w:hyperlink>
            <w:r w:rsidRPr="00F647D7">
              <w:rPr>
                <w:sz w:val="22"/>
              </w:rPr>
              <w:t>, animal biosecurity policy memorandum 2001/06, Canberra, 7 February.</w:t>
            </w:r>
          </w:p>
        </w:tc>
      </w:tr>
      <w:tr w:rsidR="004B3A66" w:rsidRPr="00F647D7" w14:paraId="5BA7A715" w14:textId="77777777" w:rsidTr="00573539">
        <w:tc>
          <w:tcPr>
            <w:tcW w:w="812" w:type="dxa"/>
            <w:hideMark/>
          </w:tcPr>
          <w:p w14:paraId="4FD0AB4C" w14:textId="77777777" w:rsidR="004B3A66" w:rsidRPr="00F647D7" w:rsidRDefault="004B3A66" w:rsidP="00573539">
            <w:pPr>
              <w:tabs>
                <w:tab w:val="clear" w:pos="567"/>
              </w:tabs>
              <w:spacing w:before="40" w:after="40"/>
              <w:rPr>
                <w:sz w:val="22"/>
              </w:rPr>
            </w:pPr>
            <w:r w:rsidRPr="00F647D7">
              <w:rPr>
                <w:sz w:val="22"/>
              </w:rPr>
              <w:t>84</w:t>
            </w:r>
          </w:p>
        </w:tc>
        <w:tc>
          <w:tcPr>
            <w:tcW w:w="8539" w:type="dxa"/>
            <w:hideMark/>
          </w:tcPr>
          <w:p w14:paraId="13486717" w14:textId="77777777" w:rsidR="004B3A66" w:rsidRPr="00F647D7" w:rsidRDefault="004B3A66" w:rsidP="00573539">
            <w:pPr>
              <w:tabs>
                <w:tab w:val="clear" w:pos="567"/>
              </w:tabs>
              <w:spacing w:before="40" w:after="40"/>
              <w:rPr>
                <w:sz w:val="22"/>
              </w:rPr>
            </w:pPr>
            <w:r w:rsidRPr="00F647D7">
              <w:rPr>
                <w:sz w:val="22"/>
              </w:rPr>
              <w:t xml:space="preserve">World Trade Organization 2000, </w:t>
            </w:r>
            <w:hyperlink r:id="rId113" w:history="1">
              <w:r w:rsidRPr="00F647D7">
                <w:rPr>
                  <w:rStyle w:val="Hyperlink"/>
                  <w:sz w:val="22"/>
                </w:rPr>
                <w:t>Dispute settlement 18 Australia—measures affecting importation of salmon</w:t>
              </w:r>
            </w:hyperlink>
            <w:r w:rsidRPr="00F647D7">
              <w:rPr>
                <w:sz w:val="22"/>
              </w:rPr>
              <w:t>, 18 May, accessed 8 May 2017.</w:t>
            </w:r>
          </w:p>
        </w:tc>
      </w:tr>
      <w:tr w:rsidR="004B3A66" w:rsidRPr="00F647D7" w14:paraId="38B183FC" w14:textId="77777777" w:rsidTr="00573539">
        <w:tc>
          <w:tcPr>
            <w:tcW w:w="812" w:type="dxa"/>
            <w:hideMark/>
          </w:tcPr>
          <w:p w14:paraId="49C1C6A4" w14:textId="77777777" w:rsidR="004B3A66" w:rsidRPr="00F647D7" w:rsidRDefault="004B3A66" w:rsidP="00573539">
            <w:pPr>
              <w:tabs>
                <w:tab w:val="clear" w:pos="567"/>
              </w:tabs>
              <w:spacing w:before="40" w:after="40"/>
              <w:rPr>
                <w:sz w:val="22"/>
              </w:rPr>
            </w:pPr>
            <w:r w:rsidRPr="00F647D7">
              <w:rPr>
                <w:sz w:val="22"/>
              </w:rPr>
              <w:t>85</w:t>
            </w:r>
          </w:p>
        </w:tc>
        <w:tc>
          <w:tcPr>
            <w:tcW w:w="8539" w:type="dxa"/>
            <w:hideMark/>
          </w:tcPr>
          <w:p w14:paraId="29EE5EA4" w14:textId="77777777" w:rsidR="004B3A66" w:rsidRPr="00F647D7" w:rsidRDefault="004B3A66" w:rsidP="00573539">
            <w:pPr>
              <w:tabs>
                <w:tab w:val="clear" w:pos="567"/>
              </w:tabs>
              <w:spacing w:before="40" w:after="40"/>
              <w:rPr>
                <w:sz w:val="22"/>
              </w:rPr>
            </w:pPr>
            <w:r w:rsidRPr="00F647D7">
              <w:rPr>
                <w:sz w:val="22"/>
              </w:rPr>
              <w:t xml:space="preserve">Beale, R, Fairbrother, J, Inglis, A &amp; Trebeck, D 2008, </w:t>
            </w:r>
            <w:hyperlink r:id="rId114" w:history="1">
              <w:r w:rsidRPr="00F647D7">
                <w:rPr>
                  <w:rStyle w:val="Hyperlink"/>
                  <w:sz w:val="22"/>
                </w:rPr>
                <w:t>One biosecurity: a working partnership</w:t>
              </w:r>
            </w:hyperlink>
            <w:r w:rsidRPr="00F647D7">
              <w:rPr>
                <w:sz w:val="22"/>
              </w:rPr>
              <w:t>, The independent review of Australia’s quarantine and biosecurity arrangements, report to the Australian Government, Department of Agriculture, Fisheries and Forestry, Canberra, 30 September.</w:t>
            </w:r>
          </w:p>
        </w:tc>
      </w:tr>
      <w:tr w:rsidR="004B3A66" w:rsidRPr="00F647D7" w14:paraId="0A992AEC" w14:textId="77777777" w:rsidTr="00573539">
        <w:tc>
          <w:tcPr>
            <w:tcW w:w="812" w:type="dxa"/>
            <w:hideMark/>
          </w:tcPr>
          <w:p w14:paraId="0D211C30" w14:textId="77777777" w:rsidR="004B3A66" w:rsidRPr="00F647D7" w:rsidRDefault="004B3A66" w:rsidP="00573539">
            <w:pPr>
              <w:tabs>
                <w:tab w:val="clear" w:pos="567"/>
              </w:tabs>
              <w:spacing w:before="40" w:after="40"/>
              <w:rPr>
                <w:sz w:val="22"/>
              </w:rPr>
            </w:pPr>
            <w:r w:rsidRPr="00F647D7">
              <w:rPr>
                <w:sz w:val="22"/>
              </w:rPr>
              <w:lastRenderedPageBreak/>
              <w:t>86</w:t>
            </w:r>
          </w:p>
        </w:tc>
        <w:tc>
          <w:tcPr>
            <w:tcW w:w="8539" w:type="dxa"/>
            <w:hideMark/>
          </w:tcPr>
          <w:p w14:paraId="4A431569" w14:textId="77777777" w:rsidR="004B3A66" w:rsidRPr="00F647D7" w:rsidRDefault="004B3A66" w:rsidP="00573539">
            <w:pPr>
              <w:tabs>
                <w:tab w:val="clear" w:pos="567"/>
              </w:tabs>
              <w:spacing w:before="40" w:after="40"/>
              <w:rPr>
                <w:sz w:val="22"/>
              </w:rPr>
            </w:pPr>
            <w:r w:rsidRPr="00F647D7">
              <w:rPr>
                <w:sz w:val="22"/>
              </w:rPr>
              <w:t xml:space="preserve">COAG 2012, </w:t>
            </w:r>
            <w:hyperlink r:id="rId115" w:history="1">
              <w:r w:rsidRPr="00F647D7">
                <w:rPr>
                  <w:rStyle w:val="Hyperlink"/>
                  <w:sz w:val="22"/>
                </w:rPr>
                <w:t>Intergovernmental Agreement on Biosecurity</w:t>
              </w:r>
            </w:hyperlink>
            <w:r w:rsidRPr="00F647D7">
              <w:rPr>
                <w:sz w:val="22"/>
              </w:rPr>
              <w:t>, Council of Australian Governments, Canberra, 13 January, accessed 13 July 2017.</w:t>
            </w:r>
          </w:p>
        </w:tc>
      </w:tr>
      <w:tr w:rsidR="004B3A66" w:rsidRPr="00F647D7" w14:paraId="4CD5BDE0" w14:textId="77777777" w:rsidTr="00573539">
        <w:tc>
          <w:tcPr>
            <w:tcW w:w="812" w:type="dxa"/>
            <w:hideMark/>
          </w:tcPr>
          <w:p w14:paraId="3110680B" w14:textId="77777777" w:rsidR="004B3A66" w:rsidRPr="00F647D7" w:rsidRDefault="004B3A66" w:rsidP="00573539">
            <w:pPr>
              <w:tabs>
                <w:tab w:val="clear" w:pos="567"/>
              </w:tabs>
              <w:spacing w:before="40" w:after="40"/>
              <w:rPr>
                <w:sz w:val="22"/>
              </w:rPr>
            </w:pPr>
            <w:r w:rsidRPr="00F647D7">
              <w:rPr>
                <w:sz w:val="22"/>
              </w:rPr>
              <w:t>87</w:t>
            </w:r>
          </w:p>
        </w:tc>
        <w:tc>
          <w:tcPr>
            <w:tcW w:w="8539" w:type="dxa"/>
            <w:hideMark/>
          </w:tcPr>
          <w:p w14:paraId="5D742C56" w14:textId="77777777" w:rsidR="004B3A66" w:rsidRPr="00F647D7" w:rsidRDefault="004B3A66" w:rsidP="00573539">
            <w:pPr>
              <w:tabs>
                <w:tab w:val="clear" w:pos="567"/>
              </w:tabs>
              <w:spacing w:before="40" w:after="40"/>
              <w:rPr>
                <w:sz w:val="22"/>
              </w:rPr>
            </w:pPr>
            <w:r w:rsidRPr="00F647D7">
              <w:rPr>
                <w:sz w:val="22"/>
              </w:rPr>
              <w:t xml:space="preserve">Department of Agriculture and Water Resources 2017, </w:t>
            </w:r>
            <w:hyperlink r:id="rId116" w:history="1">
              <w:r w:rsidRPr="00F647D7">
                <w:rPr>
                  <w:rStyle w:val="Hyperlink"/>
                  <w:sz w:val="22"/>
                </w:rPr>
                <w:t>National Environmental Biosecurity Response Agreement: five year review (pdf 1.54mb)</w:t>
              </w:r>
            </w:hyperlink>
            <w:r w:rsidRPr="00F647D7">
              <w:rPr>
                <w:sz w:val="22"/>
              </w:rPr>
              <w:t>, KPMG, Canberra, May 2017, p. 49.</w:t>
            </w:r>
          </w:p>
        </w:tc>
      </w:tr>
      <w:tr w:rsidR="004B3A66" w:rsidRPr="00F647D7" w14:paraId="2A554DFD" w14:textId="77777777" w:rsidTr="00573539">
        <w:tc>
          <w:tcPr>
            <w:tcW w:w="812" w:type="dxa"/>
            <w:hideMark/>
          </w:tcPr>
          <w:p w14:paraId="3EE22406" w14:textId="77777777" w:rsidR="004B3A66" w:rsidRPr="00F647D7" w:rsidRDefault="004B3A66" w:rsidP="00573539">
            <w:pPr>
              <w:tabs>
                <w:tab w:val="clear" w:pos="567"/>
              </w:tabs>
              <w:spacing w:before="40" w:after="40"/>
              <w:rPr>
                <w:sz w:val="22"/>
              </w:rPr>
            </w:pPr>
            <w:r w:rsidRPr="00F647D7">
              <w:rPr>
                <w:sz w:val="22"/>
              </w:rPr>
              <w:t>88</w:t>
            </w:r>
          </w:p>
        </w:tc>
        <w:tc>
          <w:tcPr>
            <w:tcW w:w="8539" w:type="dxa"/>
            <w:hideMark/>
          </w:tcPr>
          <w:p w14:paraId="048CD85E" w14:textId="77777777" w:rsidR="004B3A66" w:rsidRPr="00F647D7" w:rsidRDefault="004B3A66" w:rsidP="00573539">
            <w:pPr>
              <w:tabs>
                <w:tab w:val="clear" w:pos="567"/>
              </w:tabs>
              <w:spacing w:before="40" w:after="40"/>
              <w:rPr>
                <w:sz w:val="22"/>
              </w:rPr>
            </w:pPr>
            <w:r w:rsidRPr="00F647D7">
              <w:rPr>
                <w:sz w:val="22"/>
              </w:rPr>
              <w:t xml:space="preserve">Animal Health Australia 2015, </w:t>
            </w:r>
            <w:hyperlink r:id="rId117" w:history="1">
              <w:r w:rsidRPr="00F647D7">
                <w:rPr>
                  <w:rStyle w:val="Hyperlink"/>
                  <w:sz w:val="22"/>
                </w:rPr>
                <w:t>The development of emergency aquatic animal disease response arrangements (pdf 435kb)</w:t>
              </w:r>
            </w:hyperlink>
            <w:r w:rsidRPr="00F647D7">
              <w:rPr>
                <w:sz w:val="22"/>
              </w:rPr>
              <w:t>, Animal Health Australia and Department of Agriculture, Canberra.</w:t>
            </w:r>
          </w:p>
        </w:tc>
      </w:tr>
      <w:tr w:rsidR="004B3A66" w:rsidRPr="00F647D7" w14:paraId="7C2C352E" w14:textId="77777777" w:rsidTr="00573539">
        <w:tc>
          <w:tcPr>
            <w:tcW w:w="812" w:type="dxa"/>
            <w:hideMark/>
          </w:tcPr>
          <w:p w14:paraId="259DB376" w14:textId="77777777" w:rsidR="004B3A66" w:rsidRPr="00F647D7" w:rsidRDefault="004B3A66" w:rsidP="00573539">
            <w:pPr>
              <w:tabs>
                <w:tab w:val="clear" w:pos="567"/>
              </w:tabs>
              <w:spacing w:before="40" w:after="40"/>
              <w:rPr>
                <w:sz w:val="22"/>
              </w:rPr>
            </w:pPr>
            <w:r w:rsidRPr="00F647D7">
              <w:rPr>
                <w:sz w:val="22"/>
              </w:rPr>
              <w:t>89</w:t>
            </w:r>
          </w:p>
        </w:tc>
        <w:tc>
          <w:tcPr>
            <w:tcW w:w="8539" w:type="dxa"/>
            <w:hideMark/>
          </w:tcPr>
          <w:p w14:paraId="2DFA7376" w14:textId="77777777" w:rsidR="004B3A66" w:rsidRPr="00F647D7" w:rsidRDefault="004B3A66" w:rsidP="00573539">
            <w:pPr>
              <w:tabs>
                <w:tab w:val="clear" w:pos="567"/>
              </w:tabs>
              <w:spacing w:before="40" w:after="40"/>
              <w:rPr>
                <w:sz w:val="22"/>
              </w:rPr>
            </w:pPr>
            <w:r w:rsidRPr="00F647D7">
              <w:rPr>
                <w:sz w:val="22"/>
              </w:rPr>
              <w:t xml:space="preserve">Craik, W, Palmer, D &amp; Sheldrake, R 2017, </w:t>
            </w:r>
            <w:hyperlink r:id="rId118" w:history="1">
              <w:r w:rsidRPr="00F647D7">
                <w:rPr>
                  <w:rStyle w:val="Hyperlink"/>
                  <w:sz w:val="22"/>
                </w:rPr>
                <w:t>Priorities for Australia’s biosecurity system: an independent review of the capacity of the national biosecurity system and its underpinning intergovernmental agreement (pdf 310mb)</w:t>
              </w:r>
            </w:hyperlink>
            <w:r w:rsidRPr="00F647D7">
              <w:rPr>
                <w:sz w:val="22"/>
              </w:rPr>
              <w:t>, Department of Agriculture and Water Resources, Canberra.</w:t>
            </w:r>
          </w:p>
        </w:tc>
      </w:tr>
      <w:tr w:rsidR="004B3A66" w:rsidRPr="00F647D7" w14:paraId="7FF84A5A" w14:textId="77777777" w:rsidTr="00573539">
        <w:tc>
          <w:tcPr>
            <w:tcW w:w="812" w:type="dxa"/>
            <w:hideMark/>
          </w:tcPr>
          <w:p w14:paraId="47011235" w14:textId="77777777" w:rsidR="004B3A66" w:rsidRPr="00F647D7" w:rsidRDefault="004B3A66" w:rsidP="00573539">
            <w:pPr>
              <w:tabs>
                <w:tab w:val="clear" w:pos="567"/>
              </w:tabs>
              <w:spacing w:before="40" w:after="40"/>
              <w:rPr>
                <w:sz w:val="22"/>
              </w:rPr>
            </w:pPr>
            <w:r w:rsidRPr="00F647D7">
              <w:rPr>
                <w:sz w:val="22"/>
              </w:rPr>
              <w:t>90</w:t>
            </w:r>
          </w:p>
        </w:tc>
        <w:tc>
          <w:tcPr>
            <w:tcW w:w="8539" w:type="dxa"/>
            <w:hideMark/>
          </w:tcPr>
          <w:p w14:paraId="0F2455B2" w14:textId="77777777" w:rsidR="004B3A66" w:rsidRPr="00F647D7" w:rsidRDefault="004B3A66" w:rsidP="00573539">
            <w:pPr>
              <w:tabs>
                <w:tab w:val="clear" w:pos="567"/>
              </w:tabs>
              <w:spacing w:before="40" w:after="40"/>
              <w:rPr>
                <w:sz w:val="22"/>
              </w:rPr>
            </w:pPr>
            <w:r w:rsidRPr="00F647D7">
              <w:rPr>
                <w:sz w:val="22"/>
              </w:rPr>
              <w:t xml:space="preserve">Sub-Committee on Aquatic Animal Health 2016, </w:t>
            </w:r>
            <w:r w:rsidRPr="00F647D7">
              <w:rPr>
                <w:i/>
                <w:iCs/>
                <w:sz w:val="22"/>
              </w:rPr>
              <w:t>Aquaculture Farm Biosecurity Plan: generic guidelines and template,</w:t>
            </w:r>
            <w:r w:rsidRPr="00F647D7">
              <w:rPr>
                <w:sz w:val="22"/>
              </w:rPr>
              <w:t xml:space="preserve"> Canberra.</w:t>
            </w:r>
          </w:p>
        </w:tc>
      </w:tr>
      <w:tr w:rsidR="004B3A66" w:rsidRPr="00F647D7" w14:paraId="3F440A31" w14:textId="77777777" w:rsidTr="00573539">
        <w:tc>
          <w:tcPr>
            <w:tcW w:w="812" w:type="dxa"/>
            <w:hideMark/>
          </w:tcPr>
          <w:p w14:paraId="734963D7" w14:textId="77777777" w:rsidR="004B3A66" w:rsidRPr="00F647D7" w:rsidRDefault="004B3A66" w:rsidP="00573539">
            <w:pPr>
              <w:tabs>
                <w:tab w:val="clear" w:pos="567"/>
              </w:tabs>
              <w:spacing w:before="40" w:after="40"/>
              <w:rPr>
                <w:sz w:val="22"/>
              </w:rPr>
            </w:pPr>
            <w:r w:rsidRPr="00F647D7">
              <w:rPr>
                <w:sz w:val="22"/>
              </w:rPr>
              <w:t>91</w:t>
            </w:r>
          </w:p>
        </w:tc>
        <w:tc>
          <w:tcPr>
            <w:tcW w:w="8539" w:type="dxa"/>
            <w:hideMark/>
          </w:tcPr>
          <w:p w14:paraId="618826C4" w14:textId="77777777" w:rsidR="004B3A66" w:rsidRPr="00F647D7" w:rsidRDefault="004B3A66" w:rsidP="00573539">
            <w:pPr>
              <w:tabs>
                <w:tab w:val="clear" w:pos="567"/>
              </w:tabs>
              <w:spacing w:before="40" w:after="40"/>
              <w:rPr>
                <w:sz w:val="22"/>
              </w:rPr>
            </w:pPr>
            <w:r w:rsidRPr="00F647D7">
              <w:rPr>
                <w:sz w:val="22"/>
              </w:rPr>
              <w:t>Department of Agriculture and Water Resources 2017, ‘Animal health reference laboratories’, Canberra, accessed 10 July 2017.</w:t>
            </w:r>
          </w:p>
        </w:tc>
      </w:tr>
      <w:tr w:rsidR="004B3A66" w:rsidRPr="00F647D7" w14:paraId="14981F56" w14:textId="77777777" w:rsidTr="00573539">
        <w:tc>
          <w:tcPr>
            <w:tcW w:w="812" w:type="dxa"/>
            <w:hideMark/>
          </w:tcPr>
          <w:p w14:paraId="3047BD3D" w14:textId="77777777" w:rsidR="004B3A66" w:rsidRPr="00F647D7" w:rsidRDefault="004B3A66" w:rsidP="00573539">
            <w:pPr>
              <w:tabs>
                <w:tab w:val="clear" w:pos="567"/>
              </w:tabs>
              <w:spacing w:before="40" w:after="40"/>
              <w:rPr>
                <w:sz w:val="22"/>
              </w:rPr>
            </w:pPr>
            <w:r w:rsidRPr="00F647D7">
              <w:rPr>
                <w:sz w:val="22"/>
              </w:rPr>
              <w:t>92</w:t>
            </w:r>
          </w:p>
        </w:tc>
        <w:tc>
          <w:tcPr>
            <w:tcW w:w="8539" w:type="dxa"/>
            <w:hideMark/>
          </w:tcPr>
          <w:p w14:paraId="4B3392EB" w14:textId="77777777" w:rsidR="004B3A66" w:rsidRPr="00F647D7" w:rsidRDefault="004B3A66" w:rsidP="00573539">
            <w:pPr>
              <w:tabs>
                <w:tab w:val="clear" w:pos="567"/>
              </w:tabs>
              <w:spacing w:before="40" w:after="40"/>
              <w:rPr>
                <w:sz w:val="22"/>
              </w:rPr>
            </w:pPr>
            <w:r w:rsidRPr="00F647D7">
              <w:rPr>
                <w:sz w:val="22"/>
              </w:rPr>
              <w:t xml:space="preserve">Higgins, RA 1996, </w:t>
            </w:r>
            <w:r w:rsidRPr="00F647D7">
              <w:rPr>
                <w:i/>
                <w:iCs/>
                <w:sz w:val="22"/>
              </w:rPr>
              <w:t>Report of the National Task Force on Imported Fish and Fish Products: a report into the implications arising from aquatic animal imports</w:t>
            </w:r>
            <w:r w:rsidRPr="00F647D7">
              <w:rPr>
                <w:sz w:val="22"/>
              </w:rPr>
              <w:t>, Department of Primary Industries and Energy, Canberra.</w:t>
            </w:r>
          </w:p>
        </w:tc>
      </w:tr>
      <w:tr w:rsidR="004B3A66" w:rsidRPr="00F647D7" w14:paraId="3D4F2ECF" w14:textId="77777777" w:rsidTr="00573539">
        <w:tc>
          <w:tcPr>
            <w:tcW w:w="812" w:type="dxa"/>
            <w:hideMark/>
          </w:tcPr>
          <w:p w14:paraId="2AF6D12D" w14:textId="77777777" w:rsidR="004B3A66" w:rsidRPr="00F647D7" w:rsidRDefault="004B3A66" w:rsidP="00573539">
            <w:pPr>
              <w:tabs>
                <w:tab w:val="clear" w:pos="567"/>
              </w:tabs>
              <w:spacing w:before="40" w:after="40"/>
              <w:rPr>
                <w:sz w:val="22"/>
              </w:rPr>
            </w:pPr>
            <w:r w:rsidRPr="00F647D7">
              <w:rPr>
                <w:sz w:val="22"/>
              </w:rPr>
              <w:t>93</w:t>
            </w:r>
          </w:p>
        </w:tc>
        <w:tc>
          <w:tcPr>
            <w:tcW w:w="8539" w:type="dxa"/>
            <w:hideMark/>
          </w:tcPr>
          <w:p w14:paraId="59C38842" w14:textId="77777777" w:rsidR="004B3A66" w:rsidRPr="00F647D7" w:rsidRDefault="004B3A66" w:rsidP="00573539">
            <w:pPr>
              <w:tabs>
                <w:tab w:val="clear" w:pos="567"/>
              </w:tabs>
              <w:spacing w:before="40" w:after="40"/>
              <w:rPr>
                <w:sz w:val="22"/>
              </w:rPr>
            </w:pPr>
            <w:r w:rsidRPr="00F647D7">
              <w:rPr>
                <w:sz w:val="22"/>
              </w:rPr>
              <w:t xml:space="preserve">Department of Agriculture, Fisheries and Forestry 2007, </w:t>
            </w:r>
            <w:r w:rsidRPr="00F647D7">
              <w:rPr>
                <w:i/>
                <w:iCs/>
                <w:sz w:val="22"/>
              </w:rPr>
              <w:t>Import risk analysis handbook 2007</w:t>
            </w:r>
            <w:r w:rsidRPr="00F647D7">
              <w:rPr>
                <w:sz w:val="22"/>
              </w:rPr>
              <w:t>, Canberra.</w:t>
            </w:r>
          </w:p>
        </w:tc>
      </w:tr>
      <w:tr w:rsidR="004B3A66" w:rsidRPr="00F647D7" w14:paraId="614CD903" w14:textId="77777777" w:rsidTr="00573539">
        <w:tc>
          <w:tcPr>
            <w:tcW w:w="812" w:type="dxa"/>
            <w:hideMark/>
          </w:tcPr>
          <w:p w14:paraId="21C38515" w14:textId="77777777" w:rsidR="004B3A66" w:rsidRPr="00F647D7" w:rsidRDefault="004B3A66" w:rsidP="00573539">
            <w:pPr>
              <w:tabs>
                <w:tab w:val="clear" w:pos="567"/>
              </w:tabs>
              <w:spacing w:before="40" w:after="40"/>
              <w:rPr>
                <w:sz w:val="22"/>
              </w:rPr>
            </w:pPr>
            <w:r w:rsidRPr="00F647D7">
              <w:rPr>
                <w:sz w:val="22"/>
              </w:rPr>
              <w:t>94</w:t>
            </w:r>
          </w:p>
        </w:tc>
        <w:tc>
          <w:tcPr>
            <w:tcW w:w="8539" w:type="dxa"/>
            <w:hideMark/>
          </w:tcPr>
          <w:p w14:paraId="64D52DD9" w14:textId="77777777" w:rsidR="004B3A66" w:rsidRPr="00F647D7" w:rsidRDefault="004B3A66" w:rsidP="00573539">
            <w:pPr>
              <w:tabs>
                <w:tab w:val="clear" w:pos="567"/>
              </w:tabs>
              <w:spacing w:before="40" w:after="40"/>
              <w:rPr>
                <w:sz w:val="22"/>
              </w:rPr>
            </w:pPr>
            <w:r w:rsidRPr="00F647D7">
              <w:rPr>
                <w:sz w:val="22"/>
              </w:rPr>
              <w:t xml:space="preserve">OIE 2006, </w:t>
            </w:r>
            <w:r w:rsidRPr="00F647D7">
              <w:rPr>
                <w:i/>
                <w:sz w:val="22"/>
              </w:rPr>
              <w:t>Aquatic Animal Health Code</w:t>
            </w:r>
            <w:r w:rsidRPr="00F647D7">
              <w:rPr>
                <w:sz w:val="22"/>
              </w:rPr>
              <w:t>, Edition 9, World Organisation for Animal Health, Paris.</w:t>
            </w:r>
          </w:p>
        </w:tc>
      </w:tr>
      <w:tr w:rsidR="004B3A66" w:rsidRPr="00F647D7" w14:paraId="5A969C30" w14:textId="77777777" w:rsidTr="00573539">
        <w:tc>
          <w:tcPr>
            <w:tcW w:w="812" w:type="dxa"/>
            <w:hideMark/>
          </w:tcPr>
          <w:p w14:paraId="5C2E399B" w14:textId="77777777" w:rsidR="004B3A66" w:rsidRPr="00F647D7" w:rsidRDefault="004B3A66" w:rsidP="00573539">
            <w:pPr>
              <w:tabs>
                <w:tab w:val="clear" w:pos="567"/>
              </w:tabs>
              <w:spacing w:before="40" w:after="40"/>
              <w:rPr>
                <w:sz w:val="22"/>
              </w:rPr>
            </w:pPr>
            <w:r w:rsidRPr="00F647D7">
              <w:rPr>
                <w:sz w:val="22"/>
              </w:rPr>
              <w:t>95</w:t>
            </w:r>
          </w:p>
        </w:tc>
        <w:tc>
          <w:tcPr>
            <w:tcW w:w="8539" w:type="dxa"/>
            <w:hideMark/>
          </w:tcPr>
          <w:p w14:paraId="7464D043" w14:textId="77777777" w:rsidR="004B3A66" w:rsidRPr="00F647D7" w:rsidRDefault="004B3A66" w:rsidP="00573539">
            <w:pPr>
              <w:tabs>
                <w:tab w:val="clear" w:pos="567"/>
              </w:tabs>
              <w:spacing w:before="40" w:after="40"/>
              <w:rPr>
                <w:sz w:val="22"/>
              </w:rPr>
            </w:pPr>
            <w:r w:rsidRPr="00F647D7">
              <w:rPr>
                <w:sz w:val="22"/>
              </w:rPr>
              <w:t xml:space="preserve">Flegel, TW 2009, </w:t>
            </w:r>
            <w:hyperlink r:id="rId119" w:history="1">
              <w:r w:rsidRPr="00F647D7">
                <w:rPr>
                  <w:rStyle w:val="Hyperlink"/>
                  <w:sz w:val="22"/>
                </w:rPr>
                <w:t>Review of disease transmission risks from prawn products exported for human consumption</w:t>
              </w:r>
            </w:hyperlink>
            <w:r w:rsidRPr="00F647D7">
              <w:rPr>
                <w:sz w:val="22"/>
              </w:rPr>
              <w:t xml:space="preserve">, </w:t>
            </w:r>
            <w:r w:rsidRPr="00F647D7">
              <w:rPr>
                <w:i/>
                <w:iCs/>
                <w:sz w:val="22"/>
              </w:rPr>
              <w:t>Aquaculture</w:t>
            </w:r>
            <w:r w:rsidRPr="00F647D7">
              <w:rPr>
                <w:sz w:val="22"/>
              </w:rPr>
              <w:t>, vol. 290, no. 3, pp. 179–89, doi: 10.1016/j.aquaculture.2009.02.036.</w:t>
            </w:r>
          </w:p>
        </w:tc>
      </w:tr>
      <w:tr w:rsidR="004B3A66" w:rsidRPr="00F647D7" w14:paraId="5F4126AA" w14:textId="77777777" w:rsidTr="00573539">
        <w:tc>
          <w:tcPr>
            <w:tcW w:w="812" w:type="dxa"/>
            <w:hideMark/>
          </w:tcPr>
          <w:p w14:paraId="5EF2D565" w14:textId="77777777" w:rsidR="004B3A66" w:rsidRPr="00F647D7" w:rsidRDefault="004B3A66" w:rsidP="00573539">
            <w:pPr>
              <w:tabs>
                <w:tab w:val="clear" w:pos="567"/>
              </w:tabs>
              <w:spacing w:before="40" w:after="40"/>
              <w:rPr>
                <w:sz w:val="22"/>
              </w:rPr>
            </w:pPr>
            <w:r w:rsidRPr="00F647D7">
              <w:rPr>
                <w:sz w:val="22"/>
              </w:rPr>
              <w:t>96</w:t>
            </w:r>
          </w:p>
        </w:tc>
        <w:tc>
          <w:tcPr>
            <w:tcW w:w="8539" w:type="dxa"/>
            <w:hideMark/>
          </w:tcPr>
          <w:p w14:paraId="24F17C7A" w14:textId="77777777" w:rsidR="004B3A66" w:rsidRPr="00F647D7" w:rsidRDefault="004B3A66" w:rsidP="00573539">
            <w:pPr>
              <w:tabs>
                <w:tab w:val="clear" w:pos="567"/>
              </w:tabs>
              <w:spacing w:before="40" w:after="40"/>
              <w:rPr>
                <w:sz w:val="22"/>
              </w:rPr>
            </w:pPr>
            <w:r w:rsidRPr="00F647D7">
              <w:rPr>
                <w:sz w:val="22"/>
              </w:rPr>
              <w:t xml:space="preserve">Carnie, G 2002, </w:t>
            </w:r>
            <w:r w:rsidRPr="00F647D7">
              <w:rPr>
                <w:i/>
                <w:iCs/>
                <w:sz w:val="22"/>
              </w:rPr>
              <w:t>Handling prawns at sea: a guide for prawn trawler crew at level 1</w:t>
            </w:r>
            <w:r w:rsidRPr="00F647D7">
              <w:rPr>
                <w:sz w:val="22"/>
              </w:rPr>
              <w:t>, Australian Prawn Promotion Association, Canberra.</w:t>
            </w:r>
          </w:p>
        </w:tc>
      </w:tr>
      <w:tr w:rsidR="004B3A66" w:rsidRPr="00F647D7" w14:paraId="4C7ED620" w14:textId="77777777" w:rsidTr="00573539">
        <w:tc>
          <w:tcPr>
            <w:tcW w:w="812" w:type="dxa"/>
            <w:hideMark/>
          </w:tcPr>
          <w:p w14:paraId="6175397F" w14:textId="77777777" w:rsidR="004B3A66" w:rsidRPr="00F647D7" w:rsidRDefault="004B3A66" w:rsidP="00573539">
            <w:pPr>
              <w:tabs>
                <w:tab w:val="clear" w:pos="567"/>
              </w:tabs>
              <w:spacing w:before="40" w:after="40"/>
              <w:rPr>
                <w:sz w:val="22"/>
              </w:rPr>
            </w:pPr>
            <w:r w:rsidRPr="00F647D7">
              <w:rPr>
                <w:sz w:val="22"/>
              </w:rPr>
              <w:t>97</w:t>
            </w:r>
          </w:p>
        </w:tc>
        <w:tc>
          <w:tcPr>
            <w:tcW w:w="8539" w:type="dxa"/>
            <w:hideMark/>
          </w:tcPr>
          <w:p w14:paraId="692BB2FF" w14:textId="77777777" w:rsidR="004B3A66" w:rsidRPr="00F647D7" w:rsidRDefault="004B3A66" w:rsidP="00573539">
            <w:pPr>
              <w:tabs>
                <w:tab w:val="clear" w:pos="567"/>
              </w:tabs>
              <w:spacing w:before="40" w:after="40"/>
              <w:rPr>
                <w:sz w:val="22"/>
              </w:rPr>
            </w:pPr>
            <w:r w:rsidRPr="00F647D7">
              <w:rPr>
                <w:sz w:val="22"/>
              </w:rPr>
              <w:t xml:space="preserve">FAO 2001, </w:t>
            </w:r>
            <w:hyperlink r:id="rId120" w:history="1">
              <w:r w:rsidRPr="00F647D7">
                <w:rPr>
                  <w:rStyle w:val="Hyperlink"/>
                  <w:sz w:val="22"/>
                </w:rPr>
                <w:t>Handling and processing of shrimp</w:t>
              </w:r>
            </w:hyperlink>
            <w:r w:rsidRPr="00F647D7">
              <w:rPr>
                <w:sz w:val="22"/>
              </w:rPr>
              <w:t>, Department of Trade and Industry, Torry Research Station, Torry advisory note no. 54, Food and Agriculture Organization of the United Nations, Rome.</w:t>
            </w:r>
          </w:p>
        </w:tc>
      </w:tr>
      <w:tr w:rsidR="004B3A66" w:rsidRPr="00F647D7" w14:paraId="01E3CACF" w14:textId="77777777" w:rsidTr="00573539">
        <w:tc>
          <w:tcPr>
            <w:tcW w:w="812" w:type="dxa"/>
            <w:hideMark/>
          </w:tcPr>
          <w:p w14:paraId="38E95C46" w14:textId="77777777" w:rsidR="004B3A66" w:rsidRPr="00F647D7" w:rsidRDefault="004B3A66" w:rsidP="00573539">
            <w:pPr>
              <w:tabs>
                <w:tab w:val="clear" w:pos="567"/>
              </w:tabs>
              <w:spacing w:before="40" w:after="40"/>
              <w:rPr>
                <w:sz w:val="22"/>
              </w:rPr>
            </w:pPr>
            <w:r w:rsidRPr="00F647D7">
              <w:rPr>
                <w:sz w:val="22"/>
              </w:rPr>
              <w:t>98</w:t>
            </w:r>
          </w:p>
        </w:tc>
        <w:tc>
          <w:tcPr>
            <w:tcW w:w="8539" w:type="dxa"/>
            <w:hideMark/>
          </w:tcPr>
          <w:p w14:paraId="6B85AA51" w14:textId="77777777" w:rsidR="004B3A66" w:rsidRPr="00F647D7" w:rsidRDefault="004B3A66" w:rsidP="00573539">
            <w:pPr>
              <w:tabs>
                <w:tab w:val="clear" w:pos="567"/>
              </w:tabs>
              <w:spacing w:before="40" w:after="40"/>
              <w:rPr>
                <w:sz w:val="22"/>
              </w:rPr>
            </w:pPr>
            <w:r w:rsidRPr="00F647D7">
              <w:rPr>
                <w:sz w:val="22"/>
              </w:rPr>
              <w:t xml:space="preserve">Winkel, C 1998, </w:t>
            </w:r>
            <w:r w:rsidRPr="00F647D7">
              <w:rPr>
                <w:i/>
                <w:iCs/>
                <w:sz w:val="22"/>
              </w:rPr>
              <w:t>Evaluation of the cooking process on farmed black tiger prawns (‘Penaeus monodon’)</w:t>
            </w:r>
            <w:r w:rsidRPr="00F647D7">
              <w:rPr>
                <w:i/>
                <w:sz w:val="22"/>
              </w:rPr>
              <w:t>,</w:t>
            </w:r>
            <w:r w:rsidRPr="00F647D7">
              <w:rPr>
                <w:sz w:val="22"/>
              </w:rPr>
              <w:t xml:space="preserve"> NSC 97/485, National Seafood Centre, Seafood Services Australia, Brisbane.</w:t>
            </w:r>
          </w:p>
        </w:tc>
      </w:tr>
      <w:tr w:rsidR="004B3A66" w:rsidRPr="00F647D7" w14:paraId="3C31FED4" w14:textId="77777777" w:rsidTr="00573539">
        <w:tc>
          <w:tcPr>
            <w:tcW w:w="812" w:type="dxa"/>
            <w:hideMark/>
          </w:tcPr>
          <w:p w14:paraId="3B38288A" w14:textId="77777777" w:rsidR="004B3A66" w:rsidRPr="00F647D7" w:rsidRDefault="004B3A66" w:rsidP="00573539">
            <w:pPr>
              <w:tabs>
                <w:tab w:val="clear" w:pos="567"/>
              </w:tabs>
              <w:spacing w:before="40" w:after="40"/>
              <w:rPr>
                <w:sz w:val="22"/>
              </w:rPr>
            </w:pPr>
            <w:r w:rsidRPr="00F647D7">
              <w:rPr>
                <w:sz w:val="22"/>
              </w:rPr>
              <w:t>99</w:t>
            </w:r>
          </w:p>
        </w:tc>
        <w:tc>
          <w:tcPr>
            <w:tcW w:w="8539" w:type="dxa"/>
            <w:hideMark/>
          </w:tcPr>
          <w:p w14:paraId="74780A59" w14:textId="77777777" w:rsidR="004B3A66" w:rsidRPr="00F647D7" w:rsidRDefault="004B3A66" w:rsidP="00573539">
            <w:pPr>
              <w:tabs>
                <w:tab w:val="clear" w:pos="567"/>
              </w:tabs>
              <w:spacing w:before="40" w:after="40"/>
              <w:rPr>
                <w:sz w:val="22"/>
              </w:rPr>
            </w:pPr>
            <w:r w:rsidRPr="00F647D7">
              <w:rPr>
                <w:sz w:val="22"/>
              </w:rPr>
              <w:t xml:space="preserve">Kewagama Research 2002, </w:t>
            </w:r>
            <w:hyperlink r:id="rId121" w:history="1">
              <w:r w:rsidRPr="00F647D7">
                <w:rPr>
                  <w:rStyle w:val="Hyperlink"/>
                  <w:sz w:val="22"/>
                </w:rPr>
                <w:t>National survey of bait and berley use by recreational fishers (pdf 1.67mb)</w:t>
              </w:r>
            </w:hyperlink>
            <w:r w:rsidRPr="00F647D7">
              <w:rPr>
                <w:sz w:val="22"/>
              </w:rPr>
              <w:t>, report to Biosecurity Australia, Department of Agriculture, Fisheries and Forestry, Canberra, December.</w:t>
            </w:r>
          </w:p>
        </w:tc>
      </w:tr>
      <w:tr w:rsidR="004B3A66" w:rsidRPr="00F647D7" w14:paraId="558DD933" w14:textId="77777777" w:rsidTr="00573539">
        <w:tc>
          <w:tcPr>
            <w:tcW w:w="812" w:type="dxa"/>
            <w:hideMark/>
          </w:tcPr>
          <w:p w14:paraId="6509E6A7" w14:textId="77777777" w:rsidR="004B3A66" w:rsidRPr="00F647D7" w:rsidRDefault="004B3A66" w:rsidP="00573539">
            <w:pPr>
              <w:tabs>
                <w:tab w:val="clear" w:pos="567"/>
              </w:tabs>
              <w:spacing w:before="40" w:after="40"/>
              <w:rPr>
                <w:sz w:val="22"/>
              </w:rPr>
            </w:pPr>
            <w:r w:rsidRPr="00F647D7">
              <w:rPr>
                <w:sz w:val="22"/>
              </w:rPr>
              <w:t>100</w:t>
            </w:r>
          </w:p>
        </w:tc>
        <w:tc>
          <w:tcPr>
            <w:tcW w:w="8539" w:type="dxa"/>
            <w:hideMark/>
          </w:tcPr>
          <w:p w14:paraId="47E27420" w14:textId="77777777" w:rsidR="004B3A66" w:rsidRPr="00F647D7" w:rsidRDefault="004B3A66" w:rsidP="00573539">
            <w:pPr>
              <w:tabs>
                <w:tab w:val="clear" w:pos="567"/>
              </w:tabs>
              <w:spacing w:before="40" w:after="40"/>
              <w:rPr>
                <w:sz w:val="22"/>
              </w:rPr>
            </w:pPr>
            <w:r w:rsidRPr="00F647D7">
              <w:rPr>
                <w:sz w:val="22"/>
              </w:rPr>
              <w:t xml:space="preserve">Kewagama Research 2007, </w:t>
            </w:r>
            <w:hyperlink r:id="rId122" w:history="1">
              <w:r w:rsidRPr="00F647D7">
                <w:rPr>
                  <w:rStyle w:val="Hyperlink"/>
                  <w:sz w:val="22"/>
                </w:rPr>
                <w:t>National survey of bait and berley use by recreational fishers: a follow-up survey focusing on prawns/shrimps (pdf 1.0mb)</w:t>
              </w:r>
            </w:hyperlink>
            <w:r w:rsidRPr="00F647D7">
              <w:rPr>
                <w:sz w:val="22"/>
              </w:rPr>
              <w:t>, report to Biosecurity Australia, Department of Agriculture, Fisheries and Forestry, Canberra, January.</w:t>
            </w:r>
          </w:p>
        </w:tc>
      </w:tr>
      <w:tr w:rsidR="004B3A66" w:rsidRPr="00F647D7" w14:paraId="1D05ED82" w14:textId="77777777" w:rsidTr="00573539">
        <w:tc>
          <w:tcPr>
            <w:tcW w:w="812" w:type="dxa"/>
            <w:hideMark/>
          </w:tcPr>
          <w:p w14:paraId="3DD250BF" w14:textId="77777777" w:rsidR="004B3A66" w:rsidRPr="00F647D7" w:rsidRDefault="004B3A66" w:rsidP="00573539">
            <w:pPr>
              <w:tabs>
                <w:tab w:val="clear" w:pos="567"/>
              </w:tabs>
              <w:spacing w:before="40" w:after="40"/>
              <w:rPr>
                <w:sz w:val="22"/>
              </w:rPr>
            </w:pPr>
            <w:r w:rsidRPr="00F647D7">
              <w:rPr>
                <w:sz w:val="22"/>
              </w:rPr>
              <w:t>101</w:t>
            </w:r>
          </w:p>
        </w:tc>
        <w:tc>
          <w:tcPr>
            <w:tcW w:w="8539" w:type="dxa"/>
            <w:hideMark/>
          </w:tcPr>
          <w:p w14:paraId="48707359" w14:textId="77777777" w:rsidR="004B3A66" w:rsidRPr="00F647D7" w:rsidRDefault="004B3A66" w:rsidP="00573539">
            <w:pPr>
              <w:tabs>
                <w:tab w:val="clear" w:pos="567"/>
              </w:tabs>
              <w:spacing w:before="40" w:after="40"/>
              <w:rPr>
                <w:sz w:val="22"/>
              </w:rPr>
            </w:pPr>
            <w:r w:rsidRPr="00F647D7">
              <w:rPr>
                <w:sz w:val="22"/>
              </w:rPr>
              <w:t xml:space="preserve">Durand, SV, Redman, RM, Mohney, LL, Tang-Nelson, K, Bonami, JR &amp; Lightner, DV 2003, </w:t>
            </w:r>
            <w:hyperlink r:id="rId123" w:history="1">
              <w:r w:rsidRPr="00F647D7">
                <w:rPr>
                  <w:rStyle w:val="Hyperlink"/>
                  <w:sz w:val="22"/>
                </w:rPr>
                <w:t>Qualitative and quantitative studies on the relative virus load of tails and heads of shrimp acutely infected with WSSV</w:t>
              </w:r>
            </w:hyperlink>
            <w:r w:rsidRPr="00F647D7">
              <w:rPr>
                <w:sz w:val="22"/>
              </w:rPr>
              <w:t xml:space="preserve">, </w:t>
            </w:r>
            <w:r w:rsidRPr="00F647D7">
              <w:rPr>
                <w:i/>
                <w:iCs/>
                <w:sz w:val="22"/>
              </w:rPr>
              <w:t>Aquaculture</w:t>
            </w:r>
            <w:r w:rsidRPr="00F647D7">
              <w:rPr>
                <w:sz w:val="22"/>
              </w:rPr>
              <w:t>, vol. 216, nos 1–4, pp. 9–18, doi: 10.1016/S0044-8486(02)00230-2.</w:t>
            </w:r>
          </w:p>
        </w:tc>
      </w:tr>
      <w:tr w:rsidR="004B3A66" w:rsidRPr="00F647D7" w14:paraId="3035054E" w14:textId="77777777" w:rsidTr="00573539">
        <w:tc>
          <w:tcPr>
            <w:tcW w:w="812" w:type="dxa"/>
            <w:hideMark/>
          </w:tcPr>
          <w:p w14:paraId="07755558" w14:textId="77777777" w:rsidR="004B3A66" w:rsidRPr="00F647D7" w:rsidRDefault="004B3A66" w:rsidP="00573539">
            <w:pPr>
              <w:tabs>
                <w:tab w:val="clear" w:pos="567"/>
              </w:tabs>
              <w:spacing w:before="40" w:after="40"/>
              <w:rPr>
                <w:sz w:val="22"/>
              </w:rPr>
            </w:pPr>
            <w:r w:rsidRPr="00F647D7">
              <w:rPr>
                <w:sz w:val="22"/>
              </w:rPr>
              <w:t>102</w:t>
            </w:r>
          </w:p>
        </w:tc>
        <w:tc>
          <w:tcPr>
            <w:tcW w:w="8539" w:type="dxa"/>
            <w:hideMark/>
          </w:tcPr>
          <w:p w14:paraId="3B57BE87" w14:textId="77777777" w:rsidR="004B3A66" w:rsidRPr="00F647D7" w:rsidRDefault="004B3A66" w:rsidP="00573539">
            <w:pPr>
              <w:tabs>
                <w:tab w:val="clear" w:pos="567"/>
              </w:tabs>
              <w:spacing w:before="40" w:after="40"/>
              <w:rPr>
                <w:sz w:val="22"/>
              </w:rPr>
            </w:pPr>
            <w:r w:rsidRPr="00F647D7">
              <w:rPr>
                <w:sz w:val="22"/>
              </w:rPr>
              <w:t xml:space="preserve">Department of Agriculture, Fisheries and Forestry 2000, </w:t>
            </w:r>
            <w:hyperlink r:id="rId124" w:history="1">
              <w:r w:rsidRPr="00F647D7">
                <w:rPr>
                  <w:rStyle w:val="Hyperlink"/>
                  <w:sz w:val="22"/>
                </w:rPr>
                <w:t>Import risk analysis: prawns and prawn products draft, import risk analysis paper (pdf 16.7kb)</w:t>
              </w:r>
            </w:hyperlink>
            <w:r w:rsidRPr="00F647D7">
              <w:rPr>
                <w:sz w:val="22"/>
              </w:rPr>
              <w:t>, animal quarantine policy memorandum 2000/41, Australian Quarantine and Inspection Service and Department of Agriculture, Fisheries and Forestry, Canberra, 25 August.</w:t>
            </w:r>
          </w:p>
        </w:tc>
      </w:tr>
      <w:tr w:rsidR="004B3A66" w:rsidRPr="00F647D7" w14:paraId="4EA317B1" w14:textId="77777777" w:rsidTr="00573539">
        <w:tc>
          <w:tcPr>
            <w:tcW w:w="812" w:type="dxa"/>
            <w:hideMark/>
          </w:tcPr>
          <w:p w14:paraId="7D194704" w14:textId="77777777" w:rsidR="004B3A66" w:rsidRPr="00F647D7" w:rsidRDefault="004B3A66" w:rsidP="00573539">
            <w:pPr>
              <w:tabs>
                <w:tab w:val="clear" w:pos="567"/>
              </w:tabs>
              <w:spacing w:before="40" w:after="40"/>
              <w:rPr>
                <w:sz w:val="22"/>
              </w:rPr>
            </w:pPr>
            <w:r w:rsidRPr="00F647D7">
              <w:rPr>
                <w:sz w:val="22"/>
              </w:rPr>
              <w:t>103</w:t>
            </w:r>
          </w:p>
        </w:tc>
        <w:tc>
          <w:tcPr>
            <w:tcW w:w="8539" w:type="dxa"/>
            <w:hideMark/>
          </w:tcPr>
          <w:p w14:paraId="4DC661CF" w14:textId="77777777" w:rsidR="004B3A66" w:rsidRPr="00F647D7" w:rsidRDefault="004B3A66" w:rsidP="00573539">
            <w:pPr>
              <w:tabs>
                <w:tab w:val="clear" w:pos="567"/>
              </w:tabs>
              <w:spacing w:before="40" w:after="40"/>
              <w:rPr>
                <w:sz w:val="22"/>
              </w:rPr>
            </w:pPr>
            <w:r w:rsidRPr="00F647D7">
              <w:rPr>
                <w:sz w:val="22"/>
              </w:rPr>
              <w:t xml:space="preserve">Department of Agriculture, Fisheries and Forestry 2001, </w:t>
            </w:r>
            <w:hyperlink r:id="rId125" w:history="1">
              <w:r w:rsidRPr="00F647D7">
                <w:rPr>
                  <w:rStyle w:val="Hyperlink"/>
                  <w:sz w:val="22"/>
                </w:rPr>
                <w:t>Importation of uncooked prawns and prawn products advice on quarantine measures, attachment A: interim conditions for the import of uncooked prawns (pdf 31kb)</w:t>
              </w:r>
            </w:hyperlink>
            <w:r w:rsidRPr="00F647D7">
              <w:rPr>
                <w:sz w:val="22"/>
              </w:rPr>
              <w:t>, animal biosecurity policy memorandum 2000/41, Canberra, 28 May.</w:t>
            </w:r>
          </w:p>
        </w:tc>
      </w:tr>
      <w:tr w:rsidR="004B3A66" w:rsidRPr="00F647D7" w14:paraId="22386C0A" w14:textId="77777777" w:rsidTr="00573539">
        <w:tc>
          <w:tcPr>
            <w:tcW w:w="812" w:type="dxa"/>
            <w:hideMark/>
          </w:tcPr>
          <w:p w14:paraId="61D0C4CE" w14:textId="77777777" w:rsidR="004B3A66" w:rsidRPr="00F647D7" w:rsidRDefault="004B3A66" w:rsidP="00573539">
            <w:pPr>
              <w:tabs>
                <w:tab w:val="clear" w:pos="567"/>
              </w:tabs>
              <w:spacing w:before="40" w:after="40"/>
              <w:rPr>
                <w:sz w:val="22"/>
              </w:rPr>
            </w:pPr>
            <w:r w:rsidRPr="00F647D7">
              <w:rPr>
                <w:sz w:val="22"/>
              </w:rPr>
              <w:t>104</w:t>
            </w:r>
          </w:p>
        </w:tc>
        <w:tc>
          <w:tcPr>
            <w:tcW w:w="8539" w:type="dxa"/>
            <w:hideMark/>
          </w:tcPr>
          <w:p w14:paraId="211AF512" w14:textId="77777777" w:rsidR="004B3A66" w:rsidRPr="00F647D7" w:rsidRDefault="004B3A66" w:rsidP="00573539">
            <w:pPr>
              <w:tabs>
                <w:tab w:val="clear" w:pos="567"/>
              </w:tabs>
              <w:spacing w:before="40" w:after="40"/>
              <w:rPr>
                <w:sz w:val="22"/>
              </w:rPr>
            </w:pPr>
            <w:r w:rsidRPr="00F647D7">
              <w:rPr>
                <w:sz w:val="22"/>
              </w:rPr>
              <w:t xml:space="preserve">Department of Agriculture, Fisheries and Forestry 2002, </w:t>
            </w:r>
            <w:hyperlink r:id="rId126" w:history="1">
              <w:r w:rsidRPr="00F647D7">
                <w:rPr>
                  <w:rStyle w:val="Hyperlink"/>
                  <w:sz w:val="22"/>
                </w:rPr>
                <w:t>Quarantine review—highly processed prawn products, attachment A: interim conditions for highly processed prawns (pdf 29kb)</w:t>
              </w:r>
            </w:hyperlink>
            <w:r w:rsidRPr="00F647D7">
              <w:rPr>
                <w:sz w:val="22"/>
              </w:rPr>
              <w:t>, animal biosecurity policy memorandum 2002/33, Canberra, 25 June.</w:t>
            </w:r>
          </w:p>
        </w:tc>
      </w:tr>
      <w:tr w:rsidR="004B3A66" w:rsidRPr="00F647D7" w14:paraId="07075C44" w14:textId="77777777" w:rsidTr="00573539">
        <w:tc>
          <w:tcPr>
            <w:tcW w:w="812" w:type="dxa"/>
            <w:hideMark/>
          </w:tcPr>
          <w:p w14:paraId="69956D75" w14:textId="77777777" w:rsidR="004B3A66" w:rsidRPr="00F647D7" w:rsidRDefault="004B3A66" w:rsidP="00573539">
            <w:pPr>
              <w:tabs>
                <w:tab w:val="clear" w:pos="567"/>
              </w:tabs>
              <w:spacing w:before="40" w:after="40"/>
              <w:rPr>
                <w:sz w:val="22"/>
              </w:rPr>
            </w:pPr>
            <w:r w:rsidRPr="00F647D7">
              <w:rPr>
                <w:sz w:val="22"/>
              </w:rPr>
              <w:lastRenderedPageBreak/>
              <w:t>105</w:t>
            </w:r>
          </w:p>
        </w:tc>
        <w:tc>
          <w:tcPr>
            <w:tcW w:w="8539" w:type="dxa"/>
            <w:hideMark/>
          </w:tcPr>
          <w:p w14:paraId="249519B1" w14:textId="77777777" w:rsidR="004B3A66" w:rsidRPr="00F647D7" w:rsidRDefault="004B3A66" w:rsidP="00573539">
            <w:pPr>
              <w:tabs>
                <w:tab w:val="clear" w:pos="567"/>
              </w:tabs>
              <w:spacing w:before="40" w:after="40"/>
              <w:rPr>
                <w:sz w:val="22"/>
              </w:rPr>
            </w:pPr>
            <w:r w:rsidRPr="00F647D7">
              <w:rPr>
                <w:sz w:val="22"/>
              </w:rPr>
              <w:t xml:space="preserve">Department of Agriculture, Fisheries and Forestry 2006, </w:t>
            </w:r>
            <w:hyperlink r:id="rId127" w:history="1">
              <w:r w:rsidRPr="00F647D7">
                <w:rPr>
                  <w:rStyle w:val="Hyperlink"/>
                  <w:sz w:val="22"/>
                </w:rPr>
                <w:t>Revised draft import risk analysis report for prawns and prawn products (pdf 44kb)</w:t>
              </w:r>
            </w:hyperlink>
            <w:r w:rsidRPr="00F647D7">
              <w:rPr>
                <w:sz w:val="22"/>
              </w:rPr>
              <w:t>, policy memorandum 2006/35, Canberra, 23 November.</w:t>
            </w:r>
          </w:p>
        </w:tc>
      </w:tr>
      <w:tr w:rsidR="004B3A66" w:rsidRPr="00F647D7" w14:paraId="428AA1FC" w14:textId="77777777" w:rsidTr="00573539">
        <w:tc>
          <w:tcPr>
            <w:tcW w:w="812" w:type="dxa"/>
            <w:hideMark/>
          </w:tcPr>
          <w:p w14:paraId="406B62B0" w14:textId="77777777" w:rsidR="004B3A66" w:rsidRPr="00F647D7" w:rsidRDefault="004B3A66" w:rsidP="00573539">
            <w:pPr>
              <w:tabs>
                <w:tab w:val="clear" w:pos="567"/>
              </w:tabs>
              <w:spacing w:before="40" w:after="40"/>
              <w:rPr>
                <w:sz w:val="22"/>
              </w:rPr>
            </w:pPr>
            <w:r w:rsidRPr="00F647D7">
              <w:rPr>
                <w:sz w:val="22"/>
              </w:rPr>
              <w:t>106</w:t>
            </w:r>
          </w:p>
        </w:tc>
        <w:tc>
          <w:tcPr>
            <w:tcW w:w="8539" w:type="dxa"/>
            <w:hideMark/>
          </w:tcPr>
          <w:p w14:paraId="72B5C670" w14:textId="77777777" w:rsidR="004B3A66" w:rsidRPr="00F647D7" w:rsidRDefault="004B3A66" w:rsidP="00573539">
            <w:pPr>
              <w:tabs>
                <w:tab w:val="clear" w:pos="567"/>
              </w:tabs>
              <w:spacing w:before="40" w:after="40"/>
              <w:rPr>
                <w:sz w:val="22"/>
              </w:rPr>
            </w:pPr>
            <w:r w:rsidRPr="00F647D7">
              <w:rPr>
                <w:sz w:val="22"/>
              </w:rPr>
              <w:t xml:space="preserve">Department of Agriculture, Fisheries and Forestry 2007, </w:t>
            </w:r>
            <w:hyperlink r:id="rId128" w:history="1">
              <w:r w:rsidRPr="00F647D7">
                <w:rPr>
                  <w:rStyle w:val="Hyperlink"/>
                  <w:sz w:val="22"/>
                </w:rPr>
                <w:t>Import risk analysis of prawns and prawn products: status report (pdf 32kb)</w:t>
              </w:r>
            </w:hyperlink>
            <w:r w:rsidRPr="00F647D7">
              <w:rPr>
                <w:sz w:val="22"/>
              </w:rPr>
              <w:t>, Biosecurity Australia policy memorandum 2007/13, Canberra, 20 June.</w:t>
            </w:r>
          </w:p>
        </w:tc>
      </w:tr>
      <w:tr w:rsidR="004B3A66" w:rsidRPr="00F647D7" w14:paraId="5785857B" w14:textId="77777777" w:rsidTr="00573539">
        <w:tc>
          <w:tcPr>
            <w:tcW w:w="812" w:type="dxa"/>
            <w:hideMark/>
          </w:tcPr>
          <w:p w14:paraId="5B751E95" w14:textId="77777777" w:rsidR="004B3A66" w:rsidRPr="00F647D7" w:rsidRDefault="004B3A66" w:rsidP="00573539">
            <w:pPr>
              <w:tabs>
                <w:tab w:val="clear" w:pos="567"/>
              </w:tabs>
              <w:spacing w:before="40" w:after="40"/>
              <w:rPr>
                <w:sz w:val="22"/>
              </w:rPr>
            </w:pPr>
            <w:r w:rsidRPr="00F647D7">
              <w:rPr>
                <w:sz w:val="22"/>
              </w:rPr>
              <w:t>107</w:t>
            </w:r>
          </w:p>
        </w:tc>
        <w:tc>
          <w:tcPr>
            <w:tcW w:w="8539" w:type="dxa"/>
            <w:hideMark/>
          </w:tcPr>
          <w:p w14:paraId="37231265" w14:textId="77777777" w:rsidR="004B3A66" w:rsidRPr="00F647D7" w:rsidRDefault="004B3A66" w:rsidP="00573539">
            <w:pPr>
              <w:tabs>
                <w:tab w:val="clear" w:pos="567"/>
              </w:tabs>
              <w:spacing w:before="40" w:after="40"/>
              <w:rPr>
                <w:sz w:val="22"/>
              </w:rPr>
            </w:pPr>
            <w:r w:rsidRPr="00F647D7">
              <w:rPr>
                <w:sz w:val="22"/>
              </w:rPr>
              <w:t xml:space="preserve">Department of Agriculture, Fisheries and Forestry 2007, </w:t>
            </w:r>
            <w:hyperlink r:id="rId129" w:history="1">
              <w:r w:rsidRPr="00F647D7">
                <w:rPr>
                  <w:rStyle w:val="Hyperlink"/>
                  <w:sz w:val="22"/>
                </w:rPr>
                <w:t>Importation of prawns and prawn products—revised interim quarantine measures (pdf 101kb)</w:t>
              </w:r>
            </w:hyperlink>
            <w:r w:rsidRPr="00F647D7">
              <w:rPr>
                <w:sz w:val="22"/>
              </w:rPr>
              <w:t>, Biosecurity Australia policy memorandum 2007/16, Canberra, 24 July.</w:t>
            </w:r>
          </w:p>
        </w:tc>
      </w:tr>
      <w:tr w:rsidR="004B3A66" w:rsidRPr="00F647D7" w14:paraId="70CEB96A" w14:textId="77777777" w:rsidTr="00573539">
        <w:tc>
          <w:tcPr>
            <w:tcW w:w="812" w:type="dxa"/>
            <w:hideMark/>
          </w:tcPr>
          <w:p w14:paraId="385EA2E4" w14:textId="77777777" w:rsidR="004B3A66" w:rsidRPr="00F647D7" w:rsidRDefault="004B3A66" w:rsidP="00573539">
            <w:pPr>
              <w:tabs>
                <w:tab w:val="clear" w:pos="567"/>
              </w:tabs>
              <w:spacing w:before="40" w:after="40"/>
              <w:rPr>
                <w:sz w:val="22"/>
              </w:rPr>
            </w:pPr>
            <w:r w:rsidRPr="00F647D7">
              <w:rPr>
                <w:sz w:val="22"/>
              </w:rPr>
              <w:t>108</w:t>
            </w:r>
          </w:p>
        </w:tc>
        <w:tc>
          <w:tcPr>
            <w:tcW w:w="8539" w:type="dxa"/>
            <w:hideMark/>
          </w:tcPr>
          <w:p w14:paraId="219BCB30" w14:textId="77777777" w:rsidR="004B3A66" w:rsidRPr="00F647D7" w:rsidRDefault="004B3A66" w:rsidP="00573539">
            <w:pPr>
              <w:tabs>
                <w:tab w:val="clear" w:pos="567"/>
              </w:tabs>
              <w:spacing w:before="40" w:after="40"/>
              <w:rPr>
                <w:sz w:val="22"/>
              </w:rPr>
            </w:pPr>
            <w:r w:rsidRPr="00F647D7">
              <w:rPr>
                <w:sz w:val="22"/>
              </w:rPr>
              <w:t xml:space="preserve">Seafood Importers Association of Australasia Inc. 2017, </w:t>
            </w:r>
            <w:hyperlink r:id="rId130" w:history="1">
              <w:r w:rsidRPr="00F647D7">
                <w:rPr>
                  <w:rStyle w:val="Hyperlink"/>
                  <w:sz w:val="22"/>
                </w:rPr>
                <w:t>Submission 4 (pdf 636kb)</w:t>
              </w:r>
            </w:hyperlink>
            <w:r w:rsidRPr="00F647D7">
              <w:rPr>
                <w:sz w:val="22"/>
              </w:rPr>
              <w:t>, submission to the Inspector-General of Biosecurity, Review of the circumstances leading to the 2017 suspension of uncooked prawn imports into Australia &amp; biosecurity considerations relevant to future trade, Canberra.</w:t>
            </w:r>
          </w:p>
        </w:tc>
      </w:tr>
      <w:tr w:rsidR="004B3A66" w:rsidRPr="00F647D7" w14:paraId="3EB4093C" w14:textId="77777777" w:rsidTr="00573539">
        <w:tc>
          <w:tcPr>
            <w:tcW w:w="812" w:type="dxa"/>
            <w:hideMark/>
          </w:tcPr>
          <w:p w14:paraId="45AC1490" w14:textId="77777777" w:rsidR="004B3A66" w:rsidRPr="00F647D7" w:rsidRDefault="004B3A66" w:rsidP="00573539">
            <w:pPr>
              <w:tabs>
                <w:tab w:val="clear" w:pos="567"/>
              </w:tabs>
              <w:spacing w:before="40" w:after="40"/>
              <w:rPr>
                <w:sz w:val="22"/>
              </w:rPr>
            </w:pPr>
            <w:r w:rsidRPr="00F647D7">
              <w:rPr>
                <w:sz w:val="22"/>
              </w:rPr>
              <w:t>109</w:t>
            </w:r>
          </w:p>
        </w:tc>
        <w:tc>
          <w:tcPr>
            <w:tcW w:w="8539" w:type="dxa"/>
            <w:hideMark/>
          </w:tcPr>
          <w:p w14:paraId="759DB84B" w14:textId="77777777" w:rsidR="004B3A66" w:rsidRPr="00F647D7" w:rsidRDefault="004B3A66" w:rsidP="00573539">
            <w:pPr>
              <w:tabs>
                <w:tab w:val="clear" w:pos="567"/>
              </w:tabs>
              <w:spacing w:before="40" w:after="40"/>
              <w:rPr>
                <w:sz w:val="22"/>
              </w:rPr>
            </w:pPr>
            <w:r w:rsidRPr="00F647D7">
              <w:rPr>
                <w:sz w:val="22"/>
              </w:rPr>
              <w:t xml:space="preserve">Saksmerprome, V, Puiprom, O, Noonin, C &amp; Flegel, TW 2010, </w:t>
            </w:r>
            <w:hyperlink r:id="rId131" w:history="1">
              <w:r w:rsidRPr="00F647D7">
                <w:rPr>
                  <w:rStyle w:val="Hyperlink"/>
                  <w:sz w:val="22"/>
                </w:rPr>
                <w:t>Detection of infectious hypodermal and haematopoietic necrosis virus (IHHNV) in farmed Australian Penaeus monodon by PCR analysis and DNA sequencing</w:t>
              </w:r>
            </w:hyperlink>
            <w:r w:rsidRPr="00F647D7">
              <w:rPr>
                <w:sz w:val="22"/>
              </w:rPr>
              <w:t xml:space="preserve">, </w:t>
            </w:r>
            <w:r w:rsidRPr="00F647D7">
              <w:rPr>
                <w:i/>
                <w:iCs/>
                <w:sz w:val="22"/>
              </w:rPr>
              <w:t>Aquaculture</w:t>
            </w:r>
            <w:r w:rsidRPr="00F647D7">
              <w:rPr>
                <w:sz w:val="22"/>
              </w:rPr>
              <w:t>, vol. 298, no. 3–4, pp. 190–3, doi: 10.1016/j.aquaculture.2009.11.012.</w:t>
            </w:r>
          </w:p>
        </w:tc>
      </w:tr>
      <w:tr w:rsidR="004B3A66" w:rsidRPr="00F647D7" w14:paraId="38A56DCC" w14:textId="77777777" w:rsidTr="00573539">
        <w:tc>
          <w:tcPr>
            <w:tcW w:w="812" w:type="dxa"/>
            <w:hideMark/>
          </w:tcPr>
          <w:p w14:paraId="1BD32388" w14:textId="77777777" w:rsidR="004B3A66" w:rsidRPr="00F647D7" w:rsidRDefault="004B3A66" w:rsidP="00573539">
            <w:pPr>
              <w:tabs>
                <w:tab w:val="clear" w:pos="567"/>
              </w:tabs>
              <w:spacing w:before="40" w:after="40"/>
              <w:rPr>
                <w:sz w:val="22"/>
              </w:rPr>
            </w:pPr>
            <w:r w:rsidRPr="00F647D7">
              <w:rPr>
                <w:sz w:val="22"/>
              </w:rPr>
              <w:t>110</w:t>
            </w:r>
          </w:p>
        </w:tc>
        <w:tc>
          <w:tcPr>
            <w:tcW w:w="8539" w:type="dxa"/>
            <w:hideMark/>
          </w:tcPr>
          <w:p w14:paraId="0E06DEFE" w14:textId="77777777" w:rsidR="004B3A66" w:rsidRPr="00F647D7" w:rsidRDefault="004B3A66" w:rsidP="00573539">
            <w:pPr>
              <w:tabs>
                <w:tab w:val="clear" w:pos="567"/>
              </w:tabs>
              <w:spacing w:before="40" w:after="40"/>
              <w:rPr>
                <w:sz w:val="22"/>
              </w:rPr>
            </w:pPr>
            <w:r w:rsidRPr="00F647D7">
              <w:rPr>
                <w:sz w:val="22"/>
              </w:rPr>
              <w:t xml:space="preserve">Department of Agriculture, Fisheries and Forestry 2008, </w:t>
            </w:r>
            <w:hyperlink r:id="rId132" w:history="1">
              <w:r w:rsidRPr="00F647D7">
                <w:rPr>
                  <w:rStyle w:val="Hyperlink"/>
                  <w:sz w:val="22"/>
                </w:rPr>
                <w:t>Importation of prawns and prawn products: amended interim quarantine measures (pdf 26kb)</w:t>
              </w:r>
            </w:hyperlink>
            <w:r w:rsidRPr="00F647D7">
              <w:rPr>
                <w:sz w:val="22"/>
              </w:rPr>
              <w:t>, Biosecurity Australia advice 2008/30, Canberra, 12 September.</w:t>
            </w:r>
          </w:p>
        </w:tc>
      </w:tr>
      <w:tr w:rsidR="004B3A66" w:rsidRPr="00F647D7" w14:paraId="075F374E" w14:textId="77777777" w:rsidTr="00573539">
        <w:tc>
          <w:tcPr>
            <w:tcW w:w="812" w:type="dxa"/>
            <w:hideMark/>
          </w:tcPr>
          <w:p w14:paraId="3D71F570" w14:textId="77777777" w:rsidR="004B3A66" w:rsidRPr="00F647D7" w:rsidRDefault="004B3A66" w:rsidP="00573539">
            <w:pPr>
              <w:tabs>
                <w:tab w:val="clear" w:pos="567"/>
              </w:tabs>
              <w:spacing w:before="40" w:after="40"/>
              <w:rPr>
                <w:sz w:val="22"/>
              </w:rPr>
            </w:pPr>
            <w:r w:rsidRPr="00F647D7">
              <w:rPr>
                <w:sz w:val="22"/>
              </w:rPr>
              <w:t>111</w:t>
            </w:r>
          </w:p>
        </w:tc>
        <w:tc>
          <w:tcPr>
            <w:tcW w:w="8539" w:type="dxa"/>
            <w:hideMark/>
          </w:tcPr>
          <w:p w14:paraId="57E1AAB8" w14:textId="77777777" w:rsidR="004B3A66" w:rsidRPr="00F647D7" w:rsidRDefault="004B3A66" w:rsidP="00573539">
            <w:pPr>
              <w:tabs>
                <w:tab w:val="clear" w:pos="567"/>
              </w:tabs>
              <w:spacing w:before="40" w:after="40"/>
              <w:rPr>
                <w:sz w:val="22"/>
              </w:rPr>
            </w:pPr>
            <w:r w:rsidRPr="00F647D7">
              <w:rPr>
                <w:sz w:val="22"/>
              </w:rPr>
              <w:t xml:space="preserve">Rai, P, Safeena, MP, Krabsetsve, K, La Fauce, K, Owens, L &amp; Karunasagar, I 2012, </w:t>
            </w:r>
            <w:hyperlink r:id="rId133" w:history="1">
              <w:r w:rsidRPr="00F647D7">
                <w:rPr>
                  <w:rStyle w:val="Hyperlink"/>
                  <w:sz w:val="22"/>
                </w:rPr>
                <w:t>Genomics, molecular epidemiology and diagnostics of infectious hypodermal and hematopoietic necrosis virus</w:t>
              </w:r>
            </w:hyperlink>
            <w:r w:rsidRPr="00F647D7">
              <w:rPr>
                <w:sz w:val="22"/>
              </w:rPr>
              <w:t xml:space="preserve">, </w:t>
            </w:r>
            <w:r w:rsidRPr="00F647D7">
              <w:rPr>
                <w:i/>
                <w:iCs/>
                <w:sz w:val="22"/>
              </w:rPr>
              <w:t>Indian Journal of Virology</w:t>
            </w:r>
            <w:r w:rsidRPr="00F647D7">
              <w:rPr>
                <w:sz w:val="22"/>
              </w:rPr>
              <w:t>, vol. 23, no. 2, pp. 203–14, doi: 10.1007/s13337-012-0083-2, accessed 31 July 2017.</w:t>
            </w:r>
          </w:p>
        </w:tc>
      </w:tr>
      <w:tr w:rsidR="004B3A66" w:rsidRPr="00F647D7" w14:paraId="0106E457" w14:textId="77777777" w:rsidTr="00573539">
        <w:tc>
          <w:tcPr>
            <w:tcW w:w="812" w:type="dxa"/>
            <w:hideMark/>
          </w:tcPr>
          <w:p w14:paraId="6AD9525F" w14:textId="77777777" w:rsidR="004B3A66" w:rsidRPr="00F647D7" w:rsidRDefault="004B3A66" w:rsidP="00573539">
            <w:pPr>
              <w:tabs>
                <w:tab w:val="clear" w:pos="567"/>
              </w:tabs>
              <w:spacing w:before="40" w:after="40"/>
              <w:rPr>
                <w:sz w:val="22"/>
              </w:rPr>
            </w:pPr>
            <w:r w:rsidRPr="00F647D7">
              <w:rPr>
                <w:sz w:val="22"/>
              </w:rPr>
              <w:t>112</w:t>
            </w:r>
          </w:p>
        </w:tc>
        <w:tc>
          <w:tcPr>
            <w:tcW w:w="8539" w:type="dxa"/>
            <w:hideMark/>
          </w:tcPr>
          <w:p w14:paraId="2E39F8B4" w14:textId="77777777" w:rsidR="004B3A66" w:rsidRPr="00F647D7" w:rsidRDefault="004B3A66" w:rsidP="00573539">
            <w:pPr>
              <w:tabs>
                <w:tab w:val="clear" w:pos="567"/>
              </w:tabs>
              <w:spacing w:before="40" w:after="40"/>
              <w:rPr>
                <w:sz w:val="22"/>
              </w:rPr>
            </w:pPr>
            <w:r w:rsidRPr="00F647D7">
              <w:rPr>
                <w:sz w:val="22"/>
              </w:rPr>
              <w:t xml:space="preserve">Department of Agriculture, Fisheries and Forestry 2009, </w:t>
            </w:r>
            <w:hyperlink r:id="rId134" w:history="1">
              <w:r w:rsidRPr="00F647D7">
                <w:rPr>
                  <w:rStyle w:val="Hyperlink"/>
                  <w:sz w:val="22"/>
                </w:rPr>
                <w:t>Prawns and prawn products import risk analysis update (pdf 29kb)</w:t>
              </w:r>
            </w:hyperlink>
            <w:r w:rsidRPr="00F647D7">
              <w:rPr>
                <w:sz w:val="22"/>
              </w:rPr>
              <w:t>, Biosecurity Australia advice 2009/08, Canberra, 23 April.</w:t>
            </w:r>
          </w:p>
        </w:tc>
      </w:tr>
      <w:tr w:rsidR="004B3A66" w:rsidRPr="00F647D7" w14:paraId="394A2499" w14:textId="77777777" w:rsidTr="00573539">
        <w:tc>
          <w:tcPr>
            <w:tcW w:w="812" w:type="dxa"/>
            <w:hideMark/>
          </w:tcPr>
          <w:p w14:paraId="00729402" w14:textId="77777777" w:rsidR="004B3A66" w:rsidRPr="00F647D7" w:rsidRDefault="004B3A66" w:rsidP="00573539">
            <w:pPr>
              <w:tabs>
                <w:tab w:val="clear" w:pos="567"/>
              </w:tabs>
              <w:spacing w:before="40" w:after="40"/>
              <w:rPr>
                <w:sz w:val="22"/>
              </w:rPr>
            </w:pPr>
            <w:r w:rsidRPr="00F647D7">
              <w:rPr>
                <w:sz w:val="22"/>
              </w:rPr>
              <w:t>113</w:t>
            </w:r>
          </w:p>
        </w:tc>
        <w:tc>
          <w:tcPr>
            <w:tcW w:w="8539" w:type="dxa"/>
            <w:hideMark/>
          </w:tcPr>
          <w:p w14:paraId="46A4BF42" w14:textId="77777777" w:rsidR="004B3A66" w:rsidRPr="00F647D7" w:rsidRDefault="004B3A66" w:rsidP="00573539">
            <w:pPr>
              <w:tabs>
                <w:tab w:val="clear" w:pos="567"/>
              </w:tabs>
              <w:spacing w:before="40" w:after="40"/>
              <w:rPr>
                <w:sz w:val="22"/>
              </w:rPr>
            </w:pPr>
            <w:r w:rsidRPr="00F647D7">
              <w:rPr>
                <w:sz w:val="22"/>
              </w:rPr>
              <w:t xml:space="preserve">Department of Agriculture, Fisheries and Forestry 2009, </w:t>
            </w:r>
            <w:hyperlink r:id="rId135" w:history="1">
              <w:r w:rsidRPr="00F647D7">
                <w:rPr>
                  <w:rStyle w:val="Hyperlink"/>
                  <w:sz w:val="22"/>
                </w:rPr>
                <w:t>Release of final import risk analysis report for prawns and prawn products (pdf 91kb)</w:t>
              </w:r>
            </w:hyperlink>
            <w:r w:rsidRPr="00F647D7">
              <w:rPr>
                <w:sz w:val="22"/>
              </w:rPr>
              <w:t>, Biosecurity Australia advice 2009/25, Canberra, 7 October.</w:t>
            </w:r>
          </w:p>
        </w:tc>
      </w:tr>
      <w:tr w:rsidR="004B3A66" w:rsidRPr="00F647D7" w14:paraId="15C63283" w14:textId="77777777" w:rsidTr="00573539">
        <w:tc>
          <w:tcPr>
            <w:tcW w:w="812" w:type="dxa"/>
            <w:hideMark/>
          </w:tcPr>
          <w:p w14:paraId="6C6AD619" w14:textId="77777777" w:rsidR="004B3A66" w:rsidRPr="00F647D7" w:rsidRDefault="004B3A66" w:rsidP="00573539">
            <w:pPr>
              <w:tabs>
                <w:tab w:val="clear" w:pos="567"/>
              </w:tabs>
              <w:spacing w:before="40" w:after="40"/>
              <w:rPr>
                <w:sz w:val="22"/>
              </w:rPr>
            </w:pPr>
            <w:r w:rsidRPr="00F647D7">
              <w:rPr>
                <w:sz w:val="22"/>
              </w:rPr>
              <w:t>114</w:t>
            </w:r>
          </w:p>
        </w:tc>
        <w:tc>
          <w:tcPr>
            <w:tcW w:w="8539" w:type="dxa"/>
            <w:hideMark/>
          </w:tcPr>
          <w:p w14:paraId="59A47916" w14:textId="77777777" w:rsidR="004B3A66" w:rsidRPr="00F647D7" w:rsidRDefault="004B3A66" w:rsidP="00573539">
            <w:pPr>
              <w:tabs>
                <w:tab w:val="clear" w:pos="567"/>
              </w:tabs>
              <w:spacing w:before="40" w:after="40"/>
              <w:rPr>
                <w:sz w:val="22"/>
              </w:rPr>
            </w:pPr>
            <w:r w:rsidRPr="00F647D7">
              <w:rPr>
                <w:sz w:val="22"/>
              </w:rPr>
              <w:t xml:space="preserve">Department of Agriculture, Fisheries and Forestry 2009a, </w:t>
            </w:r>
            <w:hyperlink r:id="rId136" w:history="1">
              <w:r w:rsidRPr="00F647D7">
                <w:rPr>
                  <w:rStyle w:val="Hyperlink"/>
                  <w:sz w:val="22"/>
                </w:rPr>
                <w:t>Import risk analysis appeal panel—findings report: final generic import risk analysis report for prawns and prawn products</w:t>
              </w:r>
            </w:hyperlink>
            <w:r w:rsidRPr="00F647D7">
              <w:rPr>
                <w:sz w:val="22"/>
              </w:rPr>
              <w:t>, Canberra.</w:t>
            </w:r>
          </w:p>
        </w:tc>
      </w:tr>
      <w:tr w:rsidR="004B3A66" w:rsidRPr="00F647D7" w14:paraId="33C429E9" w14:textId="77777777" w:rsidTr="00573539">
        <w:tc>
          <w:tcPr>
            <w:tcW w:w="812" w:type="dxa"/>
            <w:hideMark/>
          </w:tcPr>
          <w:p w14:paraId="6F8C862E" w14:textId="77777777" w:rsidR="004B3A66" w:rsidRPr="00F647D7" w:rsidRDefault="004B3A66" w:rsidP="00573539">
            <w:pPr>
              <w:tabs>
                <w:tab w:val="clear" w:pos="567"/>
              </w:tabs>
              <w:spacing w:before="40" w:after="40"/>
              <w:rPr>
                <w:sz w:val="22"/>
                <w:lang w:val="en"/>
              </w:rPr>
            </w:pPr>
            <w:r w:rsidRPr="00F647D7">
              <w:rPr>
                <w:sz w:val="22"/>
              </w:rPr>
              <w:t>115</w:t>
            </w:r>
          </w:p>
        </w:tc>
        <w:tc>
          <w:tcPr>
            <w:tcW w:w="8539" w:type="dxa"/>
            <w:hideMark/>
          </w:tcPr>
          <w:p w14:paraId="7D04948F" w14:textId="77777777" w:rsidR="004B3A66" w:rsidRPr="00F647D7" w:rsidRDefault="004B3A66" w:rsidP="00573539">
            <w:pPr>
              <w:tabs>
                <w:tab w:val="clear" w:pos="567"/>
              </w:tabs>
              <w:spacing w:before="40" w:after="40"/>
              <w:rPr>
                <w:sz w:val="22"/>
                <w:lang w:val="en"/>
              </w:rPr>
            </w:pPr>
            <w:r w:rsidRPr="00F647D7">
              <w:rPr>
                <w:sz w:val="22"/>
              </w:rPr>
              <w:t>Department of Agriculture, Fisheries and Forestry</w:t>
            </w:r>
            <w:r w:rsidRPr="00F647D7">
              <w:rPr>
                <w:sz w:val="22"/>
                <w:lang w:val="en"/>
              </w:rPr>
              <w:t xml:space="preserve"> 2010, </w:t>
            </w:r>
            <w:hyperlink r:id="rId137" w:history="1">
              <w:r w:rsidRPr="00F647D7">
                <w:rPr>
                  <w:rStyle w:val="Hyperlink"/>
                  <w:sz w:val="22"/>
                </w:rPr>
                <w:t>Quarantine policy determination for prawns and prawn products (pdf 85kb)</w:t>
              </w:r>
            </w:hyperlink>
            <w:r w:rsidRPr="00F647D7">
              <w:rPr>
                <w:sz w:val="22"/>
              </w:rPr>
              <w:t>, Biosecurity Australia advice 2010/11, Canberra, 22 April.</w:t>
            </w:r>
          </w:p>
        </w:tc>
      </w:tr>
      <w:tr w:rsidR="004B3A66" w:rsidRPr="00F647D7" w14:paraId="4DD1A1F3" w14:textId="77777777" w:rsidTr="00573539">
        <w:tc>
          <w:tcPr>
            <w:tcW w:w="812" w:type="dxa"/>
            <w:hideMark/>
          </w:tcPr>
          <w:p w14:paraId="0788A225" w14:textId="77777777" w:rsidR="004B3A66" w:rsidRPr="00F647D7" w:rsidRDefault="004B3A66" w:rsidP="00573539">
            <w:pPr>
              <w:tabs>
                <w:tab w:val="clear" w:pos="567"/>
              </w:tabs>
              <w:spacing w:before="40" w:after="40"/>
              <w:rPr>
                <w:sz w:val="22"/>
              </w:rPr>
            </w:pPr>
            <w:r w:rsidRPr="00F647D7">
              <w:rPr>
                <w:sz w:val="22"/>
                <w:lang w:val="en"/>
              </w:rPr>
              <w:t>116</w:t>
            </w:r>
          </w:p>
        </w:tc>
        <w:tc>
          <w:tcPr>
            <w:tcW w:w="8539" w:type="dxa"/>
            <w:hideMark/>
          </w:tcPr>
          <w:p w14:paraId="1FC11865" w14:textId="77777777" w:rsidR="004B3A66" w:rsidRPr="00F647D7" w:rsidRDefault="004B3A66" w:rsidP="00573539">
            <w:pPr>
              <w:tabs>
                <w:tab w:val="clear" w:pos="567"/>
              </w:tabs>
              <w:spacing w:before="40" w:after="40"/>
              <w:rPr>
                <w:sz w:val="22"/>
              </w:rPr>
            </w:pPr>
            <w:r w:rsidRPr="00F647D7">
              <w:rPr>
                <w:sz w:val="22"/>
              </w:rPr>
              <w:t xml:space="preserve">O’Connell, L 2017, </w:t>
            </w:r>
            <w:hyperlink r:id="rId138" w:history="1">
              <w:r w:rsidRPr="00F647D7">
                <w:rPr>
                  <w:rStyle w:val="Hyperlink"/>
                  <w:sz w:val="22"/>
                </w:rPr>
                <w:t>Evidence to Rural and Regional Affairs and Transport Legislation Committee (pdf 1.24mb)</w:t>
              </w:r>
            </w:hyperlink>
            <w:r w:rsidRPr="00F647D7">
              <w:rPr>
                <w:sz w:val="22"/>
              </w:rPr>
              <w:t>, Canberra, 24 May, p. 29.</w:t>
            </w:r>
          </w:p>
        </w:tc>
      </w:tr>
      <w:tr w:rsidR="004B3A66" w:rsidRPr="00F647D7" w14:paraId="2A7A500C" w14:textId="77777777" w:rsidTr="00573539">
        <w:tc>
          <w:tcPr>
            <w:tcW w:w="812" w:type="dxa"/>
            <w:hideMark/>
          </w:tcPr>
          <w:p w14:paraId="7E3EB726" w14:textId="77777777" w:rsidR="004B3A66" w:rsidRPr="00F647D7" w:rsidRDefault="004B3A66" w:rsidP="00573539">
            <w:pPr>
              <w:tabs>
                <w:tab w:val="clear" w:pos="567"/>
              </w:tabs>
              <w:spacing w:before="40" w:after="40"/>
              <w:rPr>
                <w:sz w:val="22"/>
              </w:rPr>
            </w:pPr>
            <w:r w:rsidRPr="00F647D7">
              <w:rPr>
                <w:sz w:val="22"/>
              </w:rPr>
              <w:t>117</w:t>
            </w:r>
          </w:p>
        </w:tc>
        <w:tc>
          <w:tcPr>
            <w:tcW w:w="8539" w:type="dxa"/>
            <w:hideMark/>
          </w:tcPr>
          <w:p w14:paraId="47051EC5" w14:textId="77777777" w:rsidR="004B3A66" w:rsidRPr="00F647D7" w:rsidRDefault="004B3A66" w:rsidP="00573539">
            <w:pPr>
              <w:tabs>
                <w:tab w:val="clear" w:pos="567"/>
              </w:tabs>
              <w:spacing w:before="40" w:after="40"/>
              <w:rPr>
                <w:sz w:val="22"/>
              </w:rPr>
            </w:pPr>
            <w:r w:rsidRPr="00F647D7">
              <w:rPr>
                <w:sz w:val="22"/>
              </w:rPr>
              <w:t xml:space="preserve">Boyd, CE, McNevin, AA, Racine, P, Tinh, HQ, Minh, HN, Viriyatum, R, Paungkaew, D &amp; Engle, C 2017, </w:t>
            </w:r>
            <w:hyperlink r:id="rId139" w:history="1">
              <w:r w:rsidRPr="00F647D7">
                <w:rPr>
                  <w:rStyle w:val="Hyperlink"/>
                  <w:sz w:val="22"/>
                </w:rPr>
                <w:t>Resource use assessment of shrimp, Litopenaeus vannamei and Penaeus monodon, production in Thailand and Vietnam</w:t>
              </w:r>
            </w:hyperlink>
            <w:r w:rsidRPr="00F647D7">
              <w:rPr>
                <w:sz w:val="22"/>
              </w:rPr>
              <w:t xml:space="preserve">, </w:t>
            </w:r>
            <w:r w:rsidRPr="00F647D7">
              <w:rPr>
                <w:i/>
                <w:iCs/>
                <w:sz w:val="22"/>
              </w:rPr>
              <w:t>Journal of the World Aquaculture Society</w:t>
            </w:r>
            <w:r w:rsidRPr="00F647D7">
              <w:rPr>
                <w:sz w:val="22"/>
              </w:rPr>
              <w:t xml:space="preserve">, vol. </w:t>
            </w:r>
            <w:r w:rsidRPr="00F647D7">
              <w:rPr>
                <w:iCs/>
                <w:sz w:val="22"/>
              </w:rPr>
              <w:t xml:space="preserve">48, no. </w:t>
            </w:r>
            <w:r w:rsidRPr="00F647D7">
              <w:rPr>
                <w:sz w:val="22"/>
              </w:rPr>
              <w:t>2, pp. 201–26, doi: 10.1111/jwas.12394.</w:t>
            </w:r>
          </w:p>
        </w:tc>
      </w:tr>
      <w:tr w:rsidR="004B3A66" w:rsidRPr="00F647D7" w14:paraId="19D6536D" w14:textId="77777777" w:rsidTr="00573539">
        <w:tc>
          <w:tcPr>
            <w:tcW w:w="812" w:type="dxa"/>
            <w:hideMark/>
          </w:tcPr>
          <w:p w14:paraId="315DA617" w14:textId="77777777" w:rsidR="004B3A66" w:rsidRPr="00F647D7" w:rsidRDefault="004B3A66" w:rsidP="00573539">
            <w:pPr>
              <w:tabs>
                <w:tab w:val="clear" w:pos="567"/>
              </w:tabs>
              <w:spacing w:before="40" w:after="40"/>
              <w:rPr>
                <w:sz w:val="22"/>
              </w:rPr>
            </w:pPr>
            <w:r w:rsidRPr="00F647D7">
              <w:rPr>
                <w:sz w:val="22"/>
              </w:rPr>
              <w:t>118</w:t>
            </w:r>
          </w:p>
        </w:tc>
        <w:tc>
          <w:tcPr>
            <w:tcW w:w="8539" w:type="dxa"/>
            <w:hideMark/>
          </w:tcPr>
          <w:p w14:paraId="70B99000" w14:textId="77777777" w:rsidR="004B3A66" w:rsidRPr="00F647D7" w:rsidRDefault="004B3A66" w:rsidP="00573539">
            <w:pPr>
              <w:tabs>
                <w:tab w:val="clear" w:pos="567"/>
              </w:tabs>
              <w:spacing w:before="40" w:after="40"/>
              <w:rPr>
                <w:sz w:val="22"/>
              </w:rPr>
            </w:pPr>
            <w:r w:rsidRPr="00F647D7">
              <w:rPr>
                <w:sz w:val="22"/>
              </w:rPr>
              <w:t xml:space="preserve">OIE 2017, </w:t>
            </w:r>
            <w:hyperlink r:id="rId140" w:history="1">
              <w:r w:rsidRPr="00F647D7">
                <w:rPr>
                  <w:rStyle w:val="Hyperlink"/>
                  <w:sz w:val="22"/>
                  <w:lang w:val="en"/>
                </w:rPr>
                <w:t>Article 1.4.8: Design of surveillance programmes to demonstrate freedom from disease</w:t>
              </w:r>
            </w:hyperlink>
            <w:r w:rsidRPr="00F647D7">
              <w:rPr>
                <w:sz w:val="22"/>
              </w:rPr>
              <w:t>, Aquatic animal health surveillance, Aquatic Animal Health Code, ch. 1.4, World Organisation for Animal Health, Paris, accessed 27 September 2017.</w:t>
            </w:r>
          </w:p>
        </w:tc>
      </w:tr>
      <w:tr w:rsidR="004B3A66" w:rsidRPr="00F647D7" w14:paraId="3B3FB91E" w14:textId="77777777" w:rsidTr="00573539">
        <w:tc>
          <w:tcPr>
            <w:tcW w:w="812" w:type="dxa"/>
            <w:hideMark/>
          </w:tcPr>
          <w:p w14:paraId="4E4B4727" w14:textId="77777777" w:rsidR="004B3A66" w:rsidRPr="00F647D7" w:rsidRDefault="004B3A66" w:rsidP="00573539">
            <w:pPr>
              <w:tabs>
                <w:tab w:val="clear" w:pos="567"/>
              </w:tabs>
              <w:spacing w:before="40" w:after="40"/>
              <w:rPr>
                <w:sz w:val="22"/>
              </w:rPr>
            </w:pPr>
            <w:r w:rsidRPr="00F647D7">
              <w:rPr>
                <w:sz w:val="22"/>
              </w:rPr>
              <w:t>119</w:t>
            </w:r>
          </w:p>
        </w:tc>
        <w:tc>
          <w:tcPr>
            <w:tcW w:w="8539" w:type="dxa"/>
            <w:hideMark/>
          </w:tcPr>
          <w:p w14:paraId="38F572BE" w14:textId="77777777" w:rsidR="004B3A66" w:rsidRPr="00F647D7" w:rsidRDefault="004B3A66" w:rsidP="00573539">
            <w:pPr>
              <w:tabs>
                <w:tab w:val="clear" w:pos="567"/>
              </w:tabs>
              <w:spacing w:before="40" w:after="40"/>
              <w:rPr>
                <w:sz w:val="22"/>
              </w:rPr>
            </w:pPr>
            <w:r w:rsidRPr="00F647D7">
              <w:rPr>
                <w:sz w:val="22"/>
              </w:rPr>
              <w:t>Hood, G &amp; Grossel, G 2007, ‘Implications of false positive results in a sampling scheme for prawns imported into Australia’, Bureau of Rural Sciences, Department of Agriculture, Fisheries and Forestry, Canberra, unpublished manuscript.</w:t>
            </w:r>
          </w:p>
        </w:tc>
      </w:tr>
      <w:tr w:rsidR="004B3A66" w:rsidRPr="00F647D7" w14:paraId="2B37E9C8" w14:textId="77777777" w:rsidTr="00573539">
        <w:tc>
          <w:tcPr>
            <w:tcW w:w="812" w:type="dxa"/>
            <w:hideMark/>
          </w:tcPr>
          <w:p w14:paraId="16AD826D" w14:textId="77777777" w:rsidR="004B3A66" w:rsidRPr="00F647D7" w:rsidRDefault="004B3A66" w:rsidP="00573539">
            <w:pPr>
              <w:tabs>
                <w:tab w:val="clear" w:pos="567"/>
              </w:tabs>
              <w:spacing w:before="40" w:after="40"/>
              <w:rPr>
                <w:sz w:val="22"/>
              </w:rPr>
            </w:pPr>
            <w:r w:rsidRPr="00F647D7">
              <w:rPr>
                <w:sz w:val="22"/>
              </w:rPr>
              <w:t>120</w:t>
            </w:r>
          </w:p>
        </w:tc>
        <w:tc>
          <w:tcPr>
            <w:tcW w:w="8539" w:type="dxa"/>
            <w:hideMark/>
          </w:tcPr>
          <w:p w14:paraId="197150DD" w14:textId="77777777" w:rsidR="004B3A66" w:rsidRPr="00F647D7" w:rsidRDefault="004B3A66" w:rsidP="00573539">
            <w:pPr>
              <w:tabs>
                <w:tab w:val="clear" w:pos="567"/>
              </w:tabs>
              <w:spacing w:before="40" w:after="40"/>
              <w:rPr>
                <w:sz w:val="22"/>
              </w:rPr>
            </w:pPr>
            <w:r w:rsidRPr="00F647D7">
              <w:rPr>
                <w:sz w:val="22"/>
              </w:rPr>
              <w:t xml:space="preserve">Morris, RS, Cogger, N, Peeler, EJ &amp; McIntyre, L 2007, </w:t>
            </w:r>
            <w:hyperlink r:id="rId141" w:history="1">
              <w:r w:rsidRPr="00F647D7">
                <w:rPr>
                  <w:rStyle w:val="Hyperlink"/>
                  <w:sz w:val="22"/>
                </w:rPr>
                <w:t>Peer review of the Biosecurity Australia’s ‘Revised draft generic import risk analysis report for prawns and prawn products’ (pdf 669kb)</w:t>
              </w:r>
            </w:hyperlink>
            <w:r w:rsidRPr="00F647D7">
              <w:rPr>
                <w:sz w:val="22"/>
              </w:rPr>
              <w:t>, Department of Agriculture, Fisheries and Forestry, Canberra, February.</w:t>
            </w:r>
          </w:p>
        </w:tc>
      </w:tr>
      <w:tr w:rsidR="004B3A66" w:rsidRPr="00F647D7" w14:paraId="6F43821A" w14:textId="77777777" w:rsidTr="00573539">
        <w:tc>
          <w:tcPr>
            <w:tcW w:w="812" w:type="dxa"/>
            <w:hideMark/>
          </w:tcPr>
          <w:p w14:paraId="1B1059AD" w14:textId="77777777" w:rsidR="004B3A66" w:rsidRPr="00F647D7" w:rsidRDefault="004B3A66" w:rsidP="00573539">
            <w:pPr>
              <w:tabs>
                <w:tab w:val="clear" w:pos="567"/>
              </w:tabs>
              <w:spacing w:before="40" w:after="40"/>
              <w:rPr>
                <w:sz w:val="22"/>
              </w:rPr>
            </w:pPr>
            <w:r w:rsidRPr="00F647D7">
              <w:rPr>
                <w:sz w:val="22"/>
              </w:rPr>
              <w:t>121</w:t>
            </w:r>
          </w:p>
        </w:tc>
        <w:tc>
          <w:tcPr>
            <w:tcW w:w="8539" w:type="dxa"/>
            <w:hideMark/>
          </w:tcPr>
          <w:p w14:paraId="5D4D0847" w14:textId="77777777" w:rsidR="004B3A66" w:rsidRPr="00F647D7" w:rsidRDefault="004B3A66" w:rsidP="00573539">
            <w:pPr>
              <w:tabs>
                <w:tab w:val="clear" w:pos="567"/>
              </w:tabs>
              <w:spacing w:before="40" w:after="40"/>
              <w:rPr>
                <w:sz w:val="22"/>
              </w:rPr>
            </w:pPr>
            <w:r w:rsidRPr="00F647D7">
              <w:rPr>
                <w:sz w:val="22"/>
              </w:rPr>
              <w:t xml:space="preserve">Caraguel, CGB, Stryhn, H, Gagné, N, Dohoo, IR &amp; Hammell, KL 2011, </w:t>
            </w:r>
            <w:hyperlink r:id="rId142" w:history="1">
              <w:r w:rsidRPr="00F647D7">
                <w:rPr>
                  <w:rStyle w:val="Hyperlink"/>
                  <w:sz w:val="22"/>
                </w:rPr>
                <w:t>Selection of a cutoff value for real-time polymerase chain reaction results to fit a diagnostic purpose: analytical and epidemiologic approaches</w:t>
              </w:r>
            </w:hyperlink>
            <w:r w:rsidRPr="00F647D7">
              <w:rPr>
                <w:sz w:val="22"/>
              </w:rPr>
              <w:t xml:space="preserve">, </w:t>
            </w:r>
            <w:r w:rsidRPr="00F647D7">
              <w:rPr>
                <w:i/>
                <w:iCs/>
                <w:sz w:val="22"/>
              </w:rPr>
              <w:t>Journal of Veterinary Diagnostic Investigation</w:t>
            </w:r>
            <w:r w:rsidRPr="00F647D7">
              <w:rPr>
                <w:sz w:val="22"/>
              </w:rPr>
              <w:t>, vol. 23, no. 1, pp. 2–15.</w:t>
            </w:r>
          </w:p>
        </w:tc>
      </w:tr>
      <w:tr w:rsidR="004B3A66" w:rsidRPr="00F647D7" w14:paraId="6BB7948E" w14:textId="77777777" w:rsidTr="00573539">
        <w:tc>
          <w:tcPr>
            <w:tcW w:w="812" w:type="dxa"/>
            <w:hideMark/>
          </w:tcPr>
          <w:p w14:paraId="0BE31862" w14:textId="77777777" w:rsidR="004B3A66" w:rsidRPr="00F647D7" w:rsidRDefault="004B3A66" w:rsidP="00573539">
            <w:pPr>
              <w:tabs>
                <w:tab w:val="clear" w:pos="567"/>
              </w:tabs>
              <w:spacing w:before="40" w:after="40"/>
              <w:rPr>
                <w:sz w:val="22"/>
              </w:rPr>
            </w:pPr>
            <w:r w:rsidRPr="00F647D7">
              <w:rPr>
                <w:sz w:val="22"/>
              </w:rPr>
              <w:lastRenderedPageBreak/>
              <w:t>122</w:t>
            </w:r>
          </w:p>
        </w:tc>
        <w:tc>
          <w:tcPr>
            <w:tcW w:w="8539" w:type="dxa"/>
            <w:hideMark/>
          </w:tcPr>
          <w:p w14:paraId="222B21AC" w14:textId="77777777" w:rsidR="004B3A66" w:rsidRPr="00F647D7" w:rsidRDefault="004B3A66" w:rsidP="00573539">
            <w:pPr>
              <w:tabs>
                <w:tab w:val="clear" w:pos="567"/>
              </w:tabs>
              <w:spacing w:before="40" w:after="40"/>
              <w:rPr>
                <w:sz w:val="22"/>
              </w:rPr>
            </w:pPr>
            <w:r w:rsidRPr="00F647D7">
              <w:rPr>
                <w:sz w:val="22"/>
              </w:rPr>
              <w:t xml:space="preserve">Burns, M &amp; Valdivia, H 2008, </w:t>
            </w:r>
            <w:hyperlink r:id="rId143" w:history="1">
              <w:r w:rsidRPr="00F647D7">
                <w:rPr>
                  <w:rStyle w:val="Hyperlink"/>
                  <w:sz w:val="22"/>
                </w:rPr>
                <w:t>Modelling the limit of detection in real-time quantitative PCR</w:t>
              </w:r>
            </w:hyperlink>
            <w:r w:rsidRPr="00F647D7">
              <w:rPr>
                <w:sz w:val="22"/>
              </w:rPr>
              <w:t xml:space="preserve">, </w:t>
            </w:r>
            <w:r w:rsidRPr="00F647D7">
              <w:rPr>
                <w:i/>
                <w:iCs/>
                <w:sz w:val="22"/>
              </w:rPr>
              <w:t>European Food Research and Technology</w:t>
            </w:r>
            <w:r w:rsidRPr="00F647D7">
              <w:rPr>
                <w:sz w:val="22"/>
              </w:rPr>
              <w:t>, vol. 226, pp. 1513–24.</w:t>
            </w:r>
          </w:p>
        </w:tc>
      </w:tr>
      <w:tr w:rsidR="004B3A66" w:rsidRPr="00F647D7" w14:paraId="71375E71" w14:textId="77777777" w:rsidTr="00573539">
        <w:tc>
          <w:tcPr>
            <w:tcW w:w="812" w:type="dxa"/>
            <w:hideMark/>
          </w:tcPr>
          <w:p w14:paraId="7CCAF9F4" w14:textId="77777777" w:rsidR="004B3A66" w:rsidRPr="00F647D7" w:rsidRDefault="004B3A66" w:rsidP="00573539">
            <w:pPr>
              <w:tabs>
                <w:tab w:val="clear" w:pos="567"/>
              </w:tabs>
              <w:spacing w:before="40" w:after="40"/>
              <w:rPr>
                <w:sz w:val="22"/>
              </w:rPr>
            </w:pPr>
            <w:r w:rsidRPr="00F647D7">
              <w:rPr>
                <w:sz w:val="22"/>
              </w:rPr>
              <w:t>123</w:t>
            </w:r>
          </w:p>
        </w:tc>
        <w:tc>
          <w:tcPr>
            <w:tcW w:w="8539" w:type="dxa"/>
            <w:hideMark/>
          </w:tcPr>
          <w:p w14:paraId="11E3F4EA" w14:textId="77777777" w:rsidR="004B3A66" w:rsidRPr="00F647D7" w:rsidRDefault="004B3A66" w:rsidP="00573539">
            <w:pPr>
              <w:tabs>
                <w:tab w:val="clear" w:pos="567"/>
              </w:tabs>
              <w:spacing w:before="40" w:after="40"/>
              <w:rPr>
                <w:sz w:val="22"/>
              </w:rPr>
            </w:pPr>
            <w:r w:rsidRPr="00F647D7">
              <w:rPr>
                <w:sz w:val="22"/>
              </w:rPr>
              <w:t xml:space="preserve">Bustin, SA, Benes, V, Garson, JA, Hellemans, J, Huggett, J, Kubista, M, Mueller, R, Nolan, T, Pfaffl, MW, Shipley, GL, Vandesompele, J &amp; Wittwer, CT 2009, </w:t>
            </w:r>
            <w:hyperlink r:id="rId144" w:history="1">
              <w:r w:rsidRPr="00F647D7">
                <w:rPr>
                  <w:rStyle w:val="Hyperlink"/>
                  <w:sz w:val="22"/>
                </w:rPr>
                <w:t>The MIQE guidelines: minimum information for publication of quantitative real-time PCR experiments</w:t>
              </w:r>
            </w:hyperlink>
            <w:r w:rsidRPr="00F647D7">
              <w:rPr>
                <w:sz w:val="22"/>
              </w:rPr>
              <w:t xml:space="preserve">, </w:t>
            </w:r>
            <w:r w:rsidRPr="00F647D7">
              <w:rPr>
                <w:i/>
                <w:iCs/>
                <w:sz w:val="22"/>
              </w:rPr>
              <w:t>Clinical Chemistry</w:t>
            </w:r>
            <w:r w:rsidRPr="00F647D7">
              <w:rPr>
                <w:sz w:val="22"/>
              </w:rPr>
              <w:t xml:space="preserve">, vol. </w:t>
            </w:r>
            <w:r w:rsidRPr="00F647D7">
              <w:rPr>
                <w:iCs/>
                <w:sz w:val="22"/>
              </w:rPr>
              <w:t xml:space="preserve">55, no. </w:t>
            </w:r>
            <w:r w:rsidRPr="00F647D7">
              <w:rPr>
                <w:sz w:val="22"/>
              </w:rPr>
              <w:t>4, pp. 611–22, doi: 10.1373/clinchem.2008.112797.</w:t>
            </w:r>
          </w:p>
        </w:tc>
      </w:tr>
      <w:tr w:rsidR="004B3A66" w:rsidRPr="00F647D7" w14:paraId="0A252AEE" w14:textId="77777777" w:rsidTr="00573539">
        <w:tc>
          <w:tcPr>
            <w:tcW w:w="812" w:type="dxa"/>
            <w:hideMark/>
          </w:tcPr>
          <w:p w14:paraId="742F000C" w14:textId="77777777" w:rsidR="004B3A66" w:rsidRPr="00F647D7" w:rsidRDefault="004B3A66" w:rsidP="00573539">
            <w:pPr>
              <w:tabs>
                <w:tab w:val="clear" w:pos="567"/>
              </w:tabs>
              <w:spacing w:before="40" w:after="40"/>
              <w:rPr>
                <w:sz w:val="22"/>
              </w:rPr>
            </w:pPr>
            <w:r w:rsidRPr="00F647D7">
              <w:rPr>
                <w:sz w:val="22"/>
              </w:rPr>
              <w:t>124</w:t>
            </w:r>
          </w:p>
        </w:tc>
        <w:tc>
          <w:tcPr>
            <w:tcW w:w="8539" w:type="dxa"/>
            <w:hideMark/>
          </w:tcPr>
          <w:p w14:paraId="4A21B4E2" w14:textId="77777777" w:rsidR="004B3A66" w:rsidRPr="00F647D7" w:rsidRDefault="004B3A66" w:rsidP="00573539">
            <w:pPr>
              <w:tabs>
                <w:tab w:val="clear" w:pos="567"/>
              </w:tabs>
              <w:spacing w:before="40" w:after="40"/>
              <w:rPr>
                <w:sz w:val="22"/>
              </w:rPr>
            </w:pPr>
            <w:r w:rsidRPr="00F647D7">
              <w:rPr>
                <w:sz w:val="22"/>
              </w:rPr>
              <w:t xml:space="preserve">Lo, CF, Leu, JH, Ho, CH, Chen, CH, Peng, SE, Chen, YT, Chou, CM, Yeh, PY, Huang, CJ, Chou, HY, Wang, CH &amp; Kou, GH 1996, </w:t>
            </w:r>
            <w:hyperlink r:id="rId145" w:history="1">
              <w:r w:rsidRPr="00F647D7">
                <w:rPr>
                  <w:rStyle w:val="Hyperlink"/>
                  <w:sz w:val="22"/>
                </w:rPr>
                <w:t>Detection of baculovirus associated with white spot syndrome (WSBV) in penaeid shrimps using polymerase chain reaction</w:t>
              </w:r>
            </w:hyperlink>
            <w:r w:rsidRPr="00F647D7">
              <w:rPr>
                <w:sz w:val="22"/>
              </w:rPr>
              <w:t xml:space="preserve">, </w:t>
            </w:r>
            <w:r w:rsidRPr="00F647D7">
              <w:rPr>
                <w:i/>
                <w:iCs/>
                <w:sz w:val="22"/>
              </w:rPr>
              <w:t>Diseases of Aquatic Organisms</w:t>
            </w:r>
            <w:r w:rsidRPr="00F647D7">
              <w:rPr>
                <w:sz w:val="22"/>
              </w:rPr>
              <w:t>, vol. 25, nos 1–2, pp. 133–41, doi: 10.3354/dao025133.</w:t>
            </w:r>
          </w:p>
        </w:tc>
      </w:tr>
      <w:tr w:rsidR="004B3A66" w:rsidRPr="00F647D7" w14:paraId="6DFCB7DC" w14:textId="77777777" w:rsidTr="00573539">
        <w:tc>
          <w:tcPr>
            <w:tcW w:w="812" w:type="dxa"/>
            <w:hideMark/>
          </w:tcPr>
          <w:p w14:paraId="4EECA45B" w14:textId="77777777" w:rsidR="004B3A66" w:rsidRPr="00F647D7" w:rsidRDefault="004B3A66" w:rsidP="00573539">
            <w:pPr>
              <w:tabs>
                <w:tab w:val="clear" w:pos="567"/>
              </w:tabs>
              <w:spacing w:before="40" w:after="40"/>
              <w:rPr>
                <w:sz w:val="22"/>
              </w:rPr>
            </w:pPr>
            <w:r w:rsidRPr="00F647D7">
              <w:rPr>
                <w:sz w:val="22"/>
              </w:rPr>
              <w:t>125</w:t>
            </w:r>
          </w:p>
        </w:tc>
        <w:tc>
          <w:tcPr>
            <w:tcW w:w="8539" w:type="dxa"/>
            <w:hideMark/>
          </w:tcPr>
          <w:p w14:paraId="676A243A" w14:textId="77777777" w:rsidR="004B3A66" w:rsidRPr="00F647D7" w:rsidRDefault="004B3A66" w:rsidP="00573539">
            <w:pPr>
              <w:tabs>
                <w:tab w:val="clear" w:pos="567"/>
              </w:tabs>
              <w:spacing w:before="40" w:after="40"/>
              <w:rPr>
                <w:sz w:val="22"/>
              </w:rPr>
            </w:pPr>
            <w:r w:rsidRPr="00F647D7">
              <w:rPr>
                <w:sz w:val="22"/>
              </w:rPr>
              <w:t xml:space="preserve">Genereach 2015, </w:t>
            </w:r>
            <w:hyperlink r:id="rId146" w:history="1">
              <w:r w:rsidRPr="00F647D7">
                <w:rPr>
                  <w:rStyle w:val="Hyperlink"/>
                  <w:sz w:val="22"/>
                </w:rPr>
                <w:t>IQ2000 WSSV Detection and Prevention System</w:t>
              </w:r>
            </w:hyperlink>
            <w:r w:rsidRPr="00F647D7">
              <w:rPr>
                <w:sz w:val="22"/>
              </w:rPr>
              <w:t>, GeneReach Biotechnology Corporation, Taiwan.</w:t>
            </w:r>
          </w:p>
        </w:tc>
      </w:tr>
      <w:tr w:rsidR="004B3A66" w:rsidRPr="00F647D7" w14:paraId="0894918C" w14:textId="77777777" w:rsidTr="00573539">
        <w:tc>
          <w:tcPr>
            <w:tcW w:w="812" w:type="dxa"/>
            <w:hideMark/>
          </w:tcPr>
          <w:p w14:paraId="13265741" w14:textId="77777777" w:rsidR="004B3A66" w:rsidRPr="00F647D7" w:rsidRDefault="004B3A66" w:rsidP="00573539">
            <w:pPr>
              <w:tabs>
                <w:tab w:val="clear" w:pos="567"/>
              </w:tabs>
              <w:spacing w:before="40" w:after="40"/>
              <w:rPr>
                <w:sz w:val="22"/>
              </w:rPr>
            </w:pPr>
            <w:r w:rsidRPr="00F647D7">
              <w:rPr>
                <w:sz w:val="22"/>
              </w:rPr>
              <w:t>126</w:t>
            </w:r>
          </w:p>
        </w:tc>
        <w:tc>
          <w:tcPr>
            <w:tcW w:w="8539" w:type="dxa"/>
            <w:hideMark/>
          </w:tcPr>
          <w:p w14:paraId="40EE147B" w14:textId="77777777" w:rsidR="004B3A66" w:rsidRPr="00F647D7" w:rsidRDefault="004B3A66" w:rsidP="00573539">
            <w:pPr>
              <w:tabs>
                <w:tab w:val="clear" w:pos="567"/>
              </w:tabs>
              <w:spacing w:before="40" w:after="40"/>
              <w:rPr>
                <w:sz w:val="22"/>
              </w:rPr>
            </w:pPr>
            <w:r w:rsidRPr="00F647D7">
              <w:rPr>
                <w:sz w:val="22"/>
              </w:rPr>
              <w:t xml:space="preserve">Sritunyalucksana, K, Srisala, J, McColl, K, Nielsen, L &amp; Flegel, TW 2006, </w:t>
            </w:r>
            <w:hyperlink r:id="rId147" w:history="1">
              <w:r w:rsidRPr="00F647D7">
                <w:rPr>
                  <w:rStyle w:val="Hyperlink"/>
                  <w:sz w:val="22"/>
                </w:rPr>
                <w:t>Comparison of PCR testing methods for white spot syndrome virus (WSSV) infections in penaeid shrimp</w:t>
              </w:r>
            </w:hyperlink>
            <w:r w:rsidRPr="00F647D7">
              <w:rPr>
                <w:sz w:val="22"/>
              </w:rPr>
              <w:t xml:space="preserve">, </w:t>
            </w:r>
            <w:r w:rsidRPr="00F647D7">
              <w:rPr>
                <w:i/>
                <w:iCs/>
                <w:sz w:val="22"/>
              </w:rPr>
              <w:t>Aquaculture</w:t>
            </w:r>
            <w:r w:rsidRPr="00F647D7">
              <w:rPr>
                <w:sz w:val="22"/>
              </w:rPr>
              <w:t>, vol. 255, no. 1, pp. 95–104, doi: 10.1016/j.aquaculture.2005.12.002.</w:t>
            </w:r>
          </w:p>
        </w:tc>
      </w:tr>
      <w:tr w:rsidR="004B3A66" w:rsidRPr="00F647D7" w14:paraId="0647A7CE" w14:textId="77777777" w:rsidTr="00573539">
        <w:tc>
          <w:tcPr>
            <w:tcW w:w="812" w:type="dxa"/>
            <w:hideMark/>
          </w:tcPr>
          <w:p w14:paraId="46A059B0" w14:textId="77777777" w:rsidR="004B3A66" w:rsidRPr="00F647D7" w:rsidRDefault="004B3A66" w:rsidP="00573539">
            <w:pPr>
              <w:tabs>
                <w:tab w:val="clear" w:pos="567"/>
              </w:tabs>
              <w:spacing w:before="40" w:after="40"/>
              <w:rPr>
                <w:sz w:val="22"/>
              </w:rPr>
            </w:pPr>
            <w:r w:rsidRPr="00F647D7">
              <w:rPr>
                <w:sz w:val="22"/>
              </w:rPr>
              <w:t>127</w:t>
            </w:r>
          </w:p>
        </w:tc>
        <w:tc>
          <w:tcPr>
            <w:tcW w:w="8539" w:type="dxa"/>
            <w:hideMark/>
          </w:tcPr>
          <w:p w14:paraId="109D86C3" w14:textId="77777777" w:rsidR="004B3A66" w:rsidRPr="00F647D7" w:rsidRDefault="004B3A66" w:rsidP="00573539">
            <w:pPr>
              <w:tabs>
                <w:tab w:val="clear" w:pos="567"/>
              </w:tabs>
              <w:spacing w:before="40" w:after="40"/>
              <w:rPr>
                <w:sz w:val="22"/>
              </w:rPr>
            </w:pPr>
            <w:r w:rsidRPr="00F647D7">
              <w:rPr>
                <w:sz w:val="22"/>
              </w:rPr>
              <w:t xml:space="preserve">Knight, A, Li, D, Uyttendaele, M &amp; Jaykus, LA 2013, </w:t>
            </w:r>
            <w:hyperlink r:id="rId148" w:history="1">
              <w:r w:rsidRPr="00F647D7">
                <w:rPr>
                  <w:rStyle w:val="Hyperlink"/>
                  <w:sz w:val="22"/>
                </w:rPr>
                <w:t>A critical review of methods for detecting human noroviruses and predicting their infectivity</w:t>
              </w:r>
            </w:hyperlink>
            <w:r w:rsidRPr="00F647D7">
              <w:rPr>
                <w:sz w:val="22"/>
              </w:rPr>
              <w:t xml:space="preserve">, </w:t>
            </w:r>
            <w:r w:rsidRPr="00F647D7">
              <w:rPr>
                <w:i/>
                <w:iCs/>
                <w:sz w:val="22"/>
              </w:rPr>
              <w:t>Critical Reviews in Microbiology</w:t>
            </w:r>
            <w:r w:rsidRPr="00F647D7">
              <w:rPr>
                <w:sz w:val="22"/>
              </w:rPr>
              <w:t xml:space="preserve">, vol. </w:t>
            </w:r>
            <w:r w:rsidRPr="00F647D7">
              <w:rPr>
                <w:iCs/>
                <w:sz w:val="22"/>
              </w:rPr>
              <w:t xml:space="preserve">39, no. </w:t>
            </w:r>
            <w:r w:rsidRPr="00F647D7">
              <w:rPr>
                <w:sz w:val="22"/>
              </w:rPr>
              <w:t>3, pp. 295–309, doi: 10.3109/1040841X.2012.709820.</w:t>
            </w:r>
          </w:p>
        </w:tc>
      </w:tr>
      <w:tr w:rsidR="004B3A66" w:rsidRPr="00F647D7" w14:paraId="348DEBAE" w14:textId="77777777" w:rsidTr="00573539">
        <w:tc>
          <w:tcPr>
            <w:tcW w:w="812" w:type="dxa"/>
            <w:hideMark/>
          </w:tcPr>
          <w:p w14:paraId="05FD4FD3" w14:textId="77777777" w:rsidR="004B3A66" w:rsidRPr="00F647D7" w:rsidRDefault="004B3A66" w:rsidP="00573539">
            <w:pPr>
              <w:tabs>
                <w:tab w:val="clear" w:pos="567"/>
              </w:tabs>
              <w:spacing w:before="40" w:after="40"/>
              <w:rPr>
                <w:sz w:val="22"/>
              </w:rPr>
            </w:pPr>
            <w:r w:rsidRPr="00F647D7">
              <w:rPr>
                <w:sz w:val="22"/>
              </w:rPr>
              <w:t>128</w:t>
            </w:r>
          </w:p>
        </w:tc>
        <w:tc>
          <w:tcPr>
            <w:tcW w:w="8539" w:type="dxa"/>
            <w:hideMark/>
          </w:tcPr>
          <w:p w14:paraId="61EBF7CA" w14:textId="77777777" w:rsidR="004B3A66" w:rsidRPr="00F647D7" w:rsidRDefault="004B3A66" w:rsidP="00573539">
            <w:pPr>
              <w:tabs>
                <w:tab w:val="clear" w:pos="567"/>
              </w:tabs>
              <w:spacing w:before="40" w:after="40"/>
              <w:rPr>
                <w:sz w:val="22"/>
              </w:rPr>
            </w:pPr>
            <w:r w:rsidRPr="00F647D7">
              <w:rPr>
                <w:sz w:val="22"/>
              </w:rPr>
              <w:t xml:space="preserve">Reddy, DA, Jeyasekaran, G &amp; Shakila, JR 2011, </w:t>
            </w:r>
            <w:hyperlink r:id="rId149" w:history="1">
              <w:r w:rsidRPr="00F647D7">
                <w:rPr>
                  <w:rStyle w:val="Hyperlink"/>
                  <w:sz w:val="22"/>
                </w:rPr>
                <w:t>Effect of processing treatments on the white spot syndrome virus DNA in farmed shrimps (Penaeus monodon)</w:t>
              </w:r>
            </w:hyperlink>
            <w:r w:rsidRPr="00F647D7">
              <w:rPr>
                <w:sz w:val="22"/>
              </w:rPr>
              <w:t xml:space="preserve">, </w:t>
            </w:r>
            <w:r w:rsidRPr="00F647D7">
              <w:rPr>
                <w:i/>
                <w:iCs/>
                <w:sz w:val="22"/>
              </w:rPr>
              <w:t>Letters in Applied Microbiology</w:t>
            </w:r>
            <w:r w:rsidRPr="00F647D7">
              <w:rPr>
                <w:sz w:val="22"/>
              </w:rPr>
              <w:t>, vol. 52, no. 4, pp. 393–8, doi: 10.1111/j.1472-765X.2011.03026.x.</w:t>
            </w:r>
          </w:p>
        </w:tc>
      </w:tr>
      <w:tr w:rsidR="004B3A66" w:rsidRPr="00F647D7" w14:paraId="38DF05F5" w14:textId="77777777" w:rsidTr="00573539">
        <w:tc>
          <w:tcPr>
            <w:tcW w:w="812" w:type="dxa"/>
            <w:hideMark/>
          </w:tcPr>
          <w:p w14:paraId="4397503F" w14:textId="77777777" w:rsidR="004B3A66" w:rsidRPr="00F647D7" w:rsidRDefault="004B3A66" w:rsidP="00573539">
            <w:pPr>
              <w:tabs>
                <w:tab w:val="clear" w:pos="567"/>
              </w:tabs>
              <w:spacing w:before="40" w:after="40"/>
              <w:rPr>
                <w:sz w:val="22"/>
              </w:rPr>
            </w:pPr>
            <w:r w:rsidRPr="00F647D7">
              <w:rPr>
                <w:sz w:val="22"/>
              </w:rPr>
              <w:t>129</w:t>
            </w:r>
          </w:p>
        </w:tc>
        <w:tc>
          <w:tcPr>
            <w:tcW w:w="8539" w:type="dxa"/>
            <w:hideMark/>
          </w:tcPr>
          <w:p w14:paraId="1EEE5928" w14:textId="77777777" w:rsidR="004B3A66" w:rsidRPr="00F647D7" w:rsidRDefault="004B3A66" w:rsidP="00573539">
            <w:pPr>
              <w:tabs>
                <w:tab w:val="clear" w:pos="567"/>
              </w:tabs>
              <w:spacing w:before="40" w:after="40"/>
              <w:rPr>
                <w:sz w:val="22"/>
              </w:rPr>
            </w:pPr>
            <w:r w:rsidRPr="00F647D7">
              <w:rPr>
                <w:sz w:val="22"/>
              </w:rPr>
              <w:t xml:space="preserve">Booth, TF, Kournikakis, B, Bastien, N, Ho, J, Kobasa, D, Stadnyk, L, Li, Y, Spence, M, Paton, S, Henry, B, Mederski, B, White, D, Low, DE, McGeer, A, Simor, A, Vearncombe, M, Downey, J, Jamieson, FB, Tang, P &amp; Plummer, F 2005, </w:t>
            </w:r>
            <w:hyperlink r:id="rId150" w:history="1">
              <w:r w:rsidRPr="00F647D7">
                <w:rPr>
                  <w:rStyle w:val="Hyperlink"/>
                  <w:sz w:val="22"/>
                </w:rPr>
                <w:t>Detection of airborne severe acute respiratory syndrome (SARS) coronavirus and environmental contamination in SARS outbreak units</w:t>
              </w:r>
            </w:hyperlink>
            <w:r w:rsidRPr="00F647D7">
              <w:rPr>
                <w:sz w:val="22"/>
              </w:rPr>
              <w:t xml:space="preserve">, </w:t>
            </w:r>
            <w:r w:rsidRPr="00F647D7">
              <w:rPr>
                <w:i/>
                <w:iCs/>
                <w:sz w:val="22"/>
              </w:rPr>
              <w:t>The Journal of Infectious Diseases</w:t>
            </w:r>
            <w:r w:rsidRPr="00F647D7">
              <w:rPr>
                <w:sz w:val="22"/>
              </w:rPr>
              <w:t xml:space="preserve">, vol. </w:t>
            </w:r>
            <w:r w:rsidRPr="00F647D7">
              <w:rPr>
                <w:iCs/>
                <w:sz w:val="22"/>
              </w:rPr>
              <w:t xml:space="preserve">191, no. </w:t>
            </w:r>
            <w:r w:rsidRPr="00F647D7">
              <w:rPr>
                <w:sz w:val="22"/>
              </w:rPr>
              <w:t>9, pp. 1472–7, doi: 10.1086/429634.</w:t>
            </w:r>
          </w:p>
        </w:tc>
      </w:tr>
      <w:tr w:rsidR="004B3A66" w:rsidRPr="00F647D7" w14:paraId="607B8BCC" w14:textId="77777777" w:rsidTr="00573539">
        <w:tc>
          <w:tcPr>
            <w:tcW w:w="812" w:type="dxa"/>
            <w:hideMark/>
          </w:tcPr>
          <w:p w14:paraId="5EF46B35" w14:textId="77777777" w:rsidR="004B3A66" w:rsidRPr="00F647D7" w:rsidRDefault="004B3A66" w:rsidP="00573539">
            <w:pPr>
              <w:tabs>
                <w:tab w:val="clear" w:pos="567"/>
              </w:tabs>
              <w:spacing w:before="40" w:after="40"/>
              <w:rPr>
                <w:sz w:val="22"/>
              </w:rPr>
            </w:pPr>
            <w:r w:rsidRPr="00F647D7">
              <w:rPr>
                <w:sz w:val="22"/>
              </w:rPr>
              <w:t>130</w:t>
            </w:r>
          </w:p>
        </w:tc>
        <w:tc>
          <w:tcPr>
            <w:tcW w:w="8539" w:type="dxa"/>
            <w:hideMark/>
          </w:tcPr>
          <w:p w14:paraId="61C1BCF9" w14:textId="77777777" w:rsidR="004B3A66" w:rsidRPr="00F647D7" w:rsidRDefault="004B3A66" w:rsidP="00573539">
            <w:pPr>
              <w:tabs>
                <w:tab w:val="clear" w:pos="567"/>
              </w:tabs>
              <w:spacing w:before="40" w:after="40"/>
              <w:rPr>
                <w:sz w:val="22"/>
              </w:rPr>
            </w:pPr>
            <w:r w:rsidRPr="00F647D7">
              <w:rPr>
                <w:sz w:val="22"/>
              </w:rPr>
              <w:t xml:space="preserve">Department of Agriculture and Water Resources </w:t>
            </w:r>
            <w:r w:rsidRPr="00F647D7">
              <w:rPr>
                <w:sz w:val="22"/>
                <w:lang w:val="x-none"/>
              </w:rPr>
              <w:t xml:space="preserve">2015, </w:t>
            </w:r>
            <w:hyperlink r:id="rId151" w:history="1">
              <w:r w:rsidRPr="00F647D7">
                <w:rPr>
                  <w:rStyle w:val="Hyperlink"/>
                  <w:sz w:val="22"/>
                  <w:lang w:val="x-none"/>
                </w:rPr>
                <w:t>Biosecurity Import Conditions System (BICON)</w:t>
              </w:r>
            </w:hyperlink>
            <w:r w:rsidRPr="00F647D7">
              <w:rPr>
                <w:sz w:val="22"/>
                <w:lang w:val="x-none"/>
              </w:rPr>
              <w:t xml:space="preserve">, Canberra, accessed </w:t>
            </w:r>
            <w:r w:rsidRPr="00F647D7">
              <w:rPr>
                <w:sz w:val="22"/>
              </w:rPr>
              <w:t>23 November 2017</w:t>
            </w:r>
            <w:r w:rsidRPr="00F647D7">
              <w:rPr>
                <w:sz w:val="22"/>
                <w:lang w:val="x-none"/>
              </w:rPr>
              <w:t>.</w:t>
            </w:r>
          </w:p>
        </w:tc>
      </w:tr>
      <w:tr w:rsidR="004B3A66" w:rsidRPr="00F647D7" w14:paraId="7033D547" w14:textId="77777777" w:rsidTr="00573539">
        <w:tc>
          <w:tcPr>
            <w:tcW w:w="812" w:type="dxa"/>
            <w:hideMark/>
          </w:tcPr>
          <w:p w14:paraId="7EAF0E29" w14:textId="77777777" w:rsidR="004B3A66" w:rsidRPr="00F647D7" w:rsidRDefault="004B3A66" w:rsidP="00573539">
            <w:pPr>
              <w:tabs>
                <w:tab w:val="clear" w:pos="567"/>
              </w:tabs>
              <w:spacing w:before="40" w:after="40"/>
              <w:rPr>
                <w:sz w:val="22"/>
              </w:rPr>
            </w:pPr>
            <w:r w:rsidRPr="00F647D7">
              <w:rPr>
                <w:sz w:val="22"/>
              </w:rPr>
              <w:t>131</w:t>
            </w:r>
          </w:p>
        </w:tc>
        <w:tc>
          <w:tcPr>
            <w:tcW w:w="8539" w:type="dxa"/>
            <w:hideMark/>
          </w:tcPr>
          <w:p w14:paraId="1CBF412B" w14:textId="77777777" w:rsidR="004B3A66" w:rsidRPr="00F647D7" w:rsidRDefault="004B3A66" w:rsidP="00573539">
            <w:pPr>
              <w:tabs>
                <w:tab w:val="clear" w:pos="567"/>
              </w:tabs>
              <w:spacing w:before="40" w:after="40"/>
              <w:rPr>
                <w:sz w:val="22"/>
              </w:rPr>
            </w:pPr>
            <w:r w:rsidRPr="00F647D7">
              <w:rPr>
                <w:sz w:val="22"/>
              </w:rPr>
              <w:t xml:space="preserve">Department of Agriculture 2015, </w:t>
            </w:r>
            <w:hyperlink r:id="rId152" w:history="1">
              <w:r w:rsidRPr="00F647D7">
                <w:rPr>
                  <w:rStyle w:val="Hyperlink"/>
                  <w:sz w:val="22"/>
                </w:rPr>
                <w:t>New conditions for the import of raw frozen wild caught Australian prawns from approved processing factories in Thailand (pdf 475kb)</w:t>
              </w:r>
            </w:hyperlink>
            <w:r w:rsidRPr="00F647D7">
              <w:rPr>
                <w:sz w:val="22"/>
              </w:rPr>
              <w:t>, import industry advice notice 69-2015, Canberra, 27 August.</w:t>
            </w:r>
          </w:p>
        </w:tc>
      </w:tr>
      <w:tr w:rsidR="004B3A66" w:rsidRPr="00F647D7" w14:paraId="69C481BC" w14:textId="77777777" w:rsidTr="00573539">
        <w:tc>
          <w:tcPr>
            <w:tcW w:w="812" w:type="dxa"/>
            <w:hideMark/>
          </w:tcPr>
          <w:p w14:paraId="0F89E9A6" w14:textId="77777777" w:rsidR="004B3A66" w:rsidRPr="00F647D7" w:rsidRDefault="004B3A66" w:rsidP="00573539">
            <w:pPr>
              <w:tabs>
                <w:tab w:val="clear" w:pos="567"/>
              </w:tabs>
              <w:spacing w:before="40" w:after="40"/>
              <w:rPr>
                <w:sz w:val="22"/>
              </w:rPr>
            </w:pPr>
            <w:r w:rsidRPr="00F647D7">
              <w:rPr>
                <w:sz w:val="22"/>
              </w:rPr>
              <w:t>132</w:t>
            </w:r>
          </w:p>
        </w:tc>
        <w:tc>
          <w:tcPr>
            <w:tcW w:w="8539" w:type="dxa"/>
            <w:hideMark/>
          </w:tcPr>
          <w:p w14:paraId="38D54BAA" w14:textId="77777777" w:rsidR="004B3A66" w:rsidRPr="00F647D7" w:rsidRDefault="004B3A66" w:rsidP="00573539">
            <w:pPr>
              <w:tabs>
                <w:tab w:val="clear" w:pos="567"/>
              </w:tabs>
              <w:spacing w:before="40" w:after="40"/>
              <w:rPr>
                <w:sz w:val="22"/>
              </w:rPr>
            </w:pPr>
            <w:r w:rsidRPr="00F647D7">
              <w:rPr>
                <w:sz w:val="22"/>
              </w:rPr>
              <w:t xml:space="preserve">Department of Agriculture, Fisheries and Forestry 2013, </w:t>
            </w:r>
            <w:r w:rsidRPr="00F647D7">
              <w:rPr>
                <w:i/>
                <w:iCs/>
                <w:sz w:val="22"/>
              </w:rPr>
              <w:t xml:space="preserve">Instruction &amp; guideline: Prawn sampling for disease testing, version 3.0 </w:t>
            </w:r>
            <w:r w:rsidRPr="00F647D7">
              <w:rPr>
                <w:sz w:val="22"/>
              </w:rPr>
              <w:t>[internal document], Canberra, 28 May.</w:t>
            </w:r>
          </w:p>
        </w:tc>
      </w:tr>
      <w:tr w:rsidR="004B3A66" w:rsidRPr="00F647D7" w14:paraId="139422F8" w14:textId="77777777" w:rsidTr="00573539">
        <w:tc>
          <w:tcPr>
            <w:tcW w:w="812" w:type="dxa"/>
            <w:hideMark/>
          </w:tcPr>
          <w:p w14:paraId="32B2065A" w14:textId="77777777" w:rsidR="004B3A66" w:rsidRPr="00F647D7" w:rsidRDefault="004B3A66" w:rsidP="00573539">
            <w:pPr>
              <w:tabs>
                <w:tab w:val="clear" w:pos="567"/>
              </w:tabs>
              <w:spacing w:before="40" w:after="40"/>
              <w:rPr>
                <w:sz w:val="22"/>
              </w:rPr>
            </w:pPr>
            <w:r w:rsidRPr="00F647D7">
              <w:rPr>
                <w:sz w:val="22"/>
              </w:rPr>
              <w:t>133</w:t>
            </w:r>
          </w:p>
        </w:tc>
        <w:tc>
          <w:tcPr>
            <w:tcW w:w="8539" w:type="dxa"/>
            <w:hideMark/>
          </w:tcPr>
          <w:p w14:paraId="72AA8A9A" w14:textId="77777777" w:rsidR="004B3A66" w:rsidRPr="00F647D7" w:rsidRDefault="004B3A66" w:rsidP="00573539">
            <w:pPr>
              <w:tabs>
                <w:tab w:val="clear" w:pos="567"/>
              </w:tabs>
              <w:spacing w:before="40" w:after="40"/>
              <w:rPr>
                <w:sz w:val="22"/>
              </w:rPr>
            </w:pPr>
            <w:r w:rsidRPr="00F647D7">
              <w:rPr>
                <w:sz w:val="22"/>
              </w:rPr>
              <w:t xml:space="preserve">Interim Inspector-General of Biosecurity 2010, </w:t>
            </w:r>
            <w:hyperlink r:id="rId153" w:history="1">
              <w:r w:rsidRPr="00F647D7">
                <w:rPr>
                  <w:rStyle w:val="Hyperlink"/>
                  <w:sz w:val="22"/>
                </w:rPr>
                <w:t>Incident review part I: an examination of what caused a consignment of imported raw peeled prawns that tested positive for white spot syndrome virus (WSSV) to be mistakenly released into Australia by the Biosecurity Services Group (BSG) (pdf 422kb)</w:t>
              </w:r>
            </w:hyperlink>
            <w:r w:rsidRPr="00F647D7">
              <w:rPr>
                <w:sz w:val="22"/>
              </w:rPr>
              <w:t>,</w:t>
            </w:r>
            <w:r w:rsidRPr="00F647D7">
              <w:rPr>
                <w:iCs/>
                <w:sz w:val="22"/>
              </w:rPr>
              <w:t xml:space="preserve"> </w:t>
            </w:r>
            <w:r w:rsidRPr="00F647D7">
              <w:rPr>
                <w:sz w:val="22"/>
              </w:rPr>
              <w:t>Canberra, 22 November.</w:t>
            </w:r>
          </w:p>
        </w:tc>
      </w:tr>
      <w:tr w:rsidR="004B3A66" w:rsidRPr="00F647D7" w14:paraId="0DA83054" w14:textId="77777777" w:rsidTr="00573539">
        <w:tc>
          <w:tcPr>
            <w:tcW w:w="812" w:type="dxa"/>
            <w:hideMark/>
          </w:tcPr>
          <w:p w14:paraId="350E42A9" w14:textId="77777777" w:rsidR="004B3A66" w:rsidRPr="00F647D7" w:rsidRDefault="004B3A66" w:rsidP="00573539">
            <w:pPr>
              <w:tabs>
                <w:tab w:val="clear" w:pos="567"/>
              </w:tabs>
              <w:spacing w:before="40" w:after="40"/>
              <w:rPr>
                <w:sz w:val="22"/>
              </w:rPr>
            </w:pPr>
            <w:r w:rsidRPr="00F647D7">
              <w:rPr>
                <w:sz w:val="22"/>
              </w:rPr>
              <w:t>134</w:t>
            </w:r>
          </w:p>
        </w:tc>
        <w:tc>
          <w:tcPr>
            <w:tcW w:w="8539" w:type="dxa"/>
            <w:hideMark/>
          </w:tcPr>
          <w:p w14:paraId="7F201A91" w14:textId="77777777" w:rsidR="004B3A66" w:rsidRPr="00F647D7" w:rsidRDefault="004B3A66" w:rsidP="00573539">
            <w:pPr>
              <w:tabs>
                <w:tab w:val="clear" w:pos="567"/>
              </w:tabs>
              <w:spacing w:before="40" w:after="40"/>
              <w:rPr>
                <w:sz w:val="22"/>
              </w:rPr>
            </w:pPr>
            <w:r w:rsidRPr="00F647D7">
              <w:rPr>
                <w:sz w:val="22"/>
              </w:rPr>
              <w:t xml:space="preserve">Interim Inspector-General of Biosecurity 2011, </w:t>
            </w:r>
            <w:hyperlink r:id="rId154" w:history="1">
              <w:r w:rsidRPr="00F647D7">
                <w:rPr>
                  <w:rStyle w:val="Hyperlink"/>
                  <w:sz w:val="22"/>
                </w:rPr>
                <w:t>Incident review part II: An examination of the likelihood of imported raw peeled prawns that tested positive for white spot syndrome virus (WSSV) and were mistakenly released into Australia by the Biosecurity Services Group (BSG) entering high risk pathways and of then causing WSSV to establish in Australia (pdf 250kb)</w:t>
              </w:r>
            </w:hyperlink>
            <w:r w:rsidRPr="00F647D7">
              <w:rPr>
                <w:sz w:val="22"/>
              </w:rPr>
              <w:t>, Canberra, 4 January.</w:t>
            </w:r>
          </w:p>
        </w:tc>
      </w:tr>
      <w:tr w:rsidR="004B3A66" w:rsidRPr="00F647D7" w14:paraId="0CF5B737" w14:textId="77777777" w:rsidTr="00573539">
        <w:tc>
          <w:tcPr>
            <w:tcW w:w="812" w:type="dxa"/>
            <w:hideMark/>
          </w:tcPr>
          <w:p w14:paraId="0852BF8A" w14:textId="77777777" w:rsidR="004B3A66" w:rsidRPr="00F647D7" w:rsidRDefault="004B3A66" w:rsidP="00573539">
            <w:pPr>
              <w:tabs>
                <w:tab w:val="clear" w:pos="567"/>
              </w:tabs>
              <w:spacing w:before="40" w:after="40"/>
              <w:rPr>
                <w:sz w:val="22"/>
              </w:rPr>
            </w:pPr>
            <w:r w:rsidRPr="00F647D7">
              <w:rPr>
                <w:sz w:val="22"/>
              </w:rPr>
              <w:t>135</w:t>
            </w:r>
          </w:p>
        </w:tc>
        <w:tc>
          <w:tcPr>
            <w:tcW w:w="8539" w:type="dxa"/>
            <w:hideMark/>
          </w:tcPr>
          <w:p w14:paraId="698ACD5F" w14:textId="77777777" w:rsidR="004B3A66" w:rsidRPr="00F647D7" w:rsidRDefault="004B3A66" w:rsidP="00573539">
            <w:pPr>
              <w:tabs>
                <w:tab w:val="clear" w:pos="567"/>
              </w:tabs>
              <w:spacing w:before="40" w:after="40"/>
              <w:rPr>
                <w:sz w:val="22"/>
              </w:rPr>
            </w:pPr>
            <w:r w:rsidRPr="00F647D7">
              <w:rPr>
                <w:sz w:val="22"/>
              </w:rPr>
              <w:t xml:space="preserve">Department of Agriculture and Water Resources 2017, </w:t>
            </w:r>
            <w:hyperlink r:id="rId155" w:history="1">
              <w:r w:rsidRPr="00F647D7">
                <w:rPr>
                  <w:rStyle w:val="Hyperlink"/>
                  <w:sz w:val="22"/>
                </w:rPr>
                <w:t>Minimum documentary and import declaration requirements policy</w:t>
              </w:r>
            </w:hyperlink>
            <w:r w:rsidRPr="00F647D7">
              <w:rPr>
                <w:sz w:val="22"/>
              </w:rPr>
              <w:t>, Canberra, accessed 7 August 2017.</w:t>
            </w:r>
          </w:p>
        </w:tc>
      </w:tr>
      <w:tr w:rsidR="004B3A66" w:rsidRPr="00F647D7" w14:paraId="28BC043B" w14:textId="77777777" w:rsidTr="00573539">
        <w:tc>
          <w:tcPr>
            <w:tcW w:w="812" w:type="dxa"/>
            <w:hideMark/>
          </w:tcPr>
          <w:p w14:paraId="49827C91" w14:textId="77777777" w:rsidR="004B3A66" w:rsidRPr="00F647D7" w:rsidRDefault="004B3A66" w:rsidP="00573539">
            <w:pPr>
              <w:tabs>
                <w:tab w:val="clear" w:pos="567"/>
              </w:tabs>
              <w:spacing w:before="40" w:after="40"/>
              <w:rPr>
                <w:sz w:val="22"/>
              </w:rPr>
            </w:pPr>
            <w:r w:rsidRPr="00F647D7">
              <w:rPr>
                <w:sz w:val="22"/>
              </w:rPr>
              <w:t>136</w:t>
            </w:r>
          </w:p>
        </w:tc>
        <w:tc>
          <w:tcPr>
            <w:tcW w:w="8539" w:type="dxa"/>
            <w:hideMark/>
          </w:tcPr>
          <w:p w14:paraId="2DF19A5F" w14:textId="77777777" w:rsidR="004B3A66" w:rsidRPr="00F647D7" w:rsidRDefault="004B3A66" w:rsidP="00573539">
            <w:pPr>
              <w:tabs>
                <w:tab w:val="clear" w:pos="567"/>
              </w:tabs>
              <w:spacing w:before="40" w:after="40"/>
              <w:rPr>
                <w:sz w:val="22"/>
              </w:rPr>
            </w:pPr>
            <w:r w:rsidRPr="00F647D7">
              <w:rPr>
                <w:sz w:val="22"/>
              </w:rPr>
              <w:t xml:space="preserve">O’Connell, L 2017, </w:t>
            </w:r>
            <w:hyperlink r:id="rId156" w:history="1">
              <w:r w:rsidRPr="00F647D7">
                <w:rPr>
                  <w:rStyle w:val="Hyperlink"/>
                  <w:sz w:val="22"/>
                </w:rPr>
                <w:t>Evidence to Rural and Regional Affairs and Transport Legislation Committee (pdf 1.4mb)</w:t>
              </w:r>
            </w:hyperlink>
            <w:r w:rsidRPr="00F647D7">
              <w:rPr>
                <w:sz w:val="22"/>
              </w:rPr>
              <w:t>, Parliament of Australia, Canberra, 28 February, p. 139.</w:t>
            </w:r>
          </w:p>
        </w:tc>
      </w:tr>
      <w:tr w:rsidR="004B3A66" w:rsidRPr="00F647D7" w14:paraId="6D287A34" w14:textId="77777777" w:rsidTr="00573539">
        <w:tc>
          <w:tcPr>
            <w:tcW w:w="812" w:type="dxa"/>
            <w:hideMark/>
          </w:tcPr>
          <w:p w14:paraId="4FFB1D7B" w14:textId="77777777" w:rsidR="004B3A66" w:rsidRPr="00F647D7" w:rsidRDefault="004B3A66" w:rsidP="00573539">
            <w:pPr>
              <w:tabs>
                <w:tab w:val="clear" w:pos="567"/>
              </w:tabs>
              <w:spacing w:before="40" w:after="40"/>
              <w:rPr>
                <w:sz w:val="22"/>
              </w:rPr>
            </w:pPr>
            <w:r w:rsidRPr="00F647D7">
              <w:rPr>
                <w:iCs/>
                <w:sz w:val="22"/>
              </w:rPr>
              <w:t>137</w:t>
            </w:r>
          </w:p>
        </w:tc>
        <w:tc>
          <w:tcPr>
            <w:tcW w:w="8539" w:type="dxa"/>
            <w:hideMark/>
          </w:tcPr>
          <w:p w14:paraId="6FA6CD8D" w14:textId="77777777" w:rsidR="004B3A66" w:rsidRPr="00F647D7" w:rsidRDefault="004B3A66" w:rsidP="00573539">
            <w:pPr>
              <w:tabs>
                <w:tab w:val="clear" w:pos="567"/>
              </w:tabs>
              <w:spacing w:before="40" w:after="40"/>
              <w:rPr>
                <w:sz w:val="22"/>
              </w:rPr>
            </w:pPr>
            <w:r w:rsidRPr="00F647D7">
              <w:rPr>
                <w:sz w:val="22"/>
              </w:rPr>
              <w:t xml:space="preserve">Department of Agriculture and Water Resources 2016, </w:t>
            </w:r>
            <w:r w:rsidRPr="00F647D7">
              <w:rPr>
                <w:i/>
                <w:iCs/>
                <w:sz w:val="22"/>
              </w:rPr>
              <w:t>Work instruction: Raw prawn inspection and sampling for disease testing, version 1.0</w:t>
            </w:r>
            <w:r w:rsidRPr="00F647D7">
              <w:rPr>
                <w:sz w:val="22"/>
              </w:rPr>
              <w:t xml:space="preserve"> [internal document], Canberra, 15 August.</w:t>
            </w:r>
          </w:p>
        </w:tc>
      </w:tr>
      <w:tr w:rsidR="004B3A66" w:rsidRPr="00F647D7" w14:paraId="788EFA4C" w14:textId="77777777" w:rsidTr="00573539">
        <w:tc>
          <w:tcPr>
            <w:tcW w:w="812" w:type="dxa"/>
            <w:hideMark/>
          </w:tcPr>
          <w:p w14:paraId="44E510F4" w14:textId="77777777" w:rsidR="004B3A66" w:rsidRPr="00F647D7" w:rsidRDefault="004B3A66" w:rsidP="00573539">
            <w:pPr>
              <w:tabs>
                <w:tab w:val="clear" w:pos="567"/>
              </w:tabs>
              <w:spacing w:before="40" w:after="40"/>
              <w:rPr>
                <w:iCs/>
                <w:sz w:val="22"/>
              </w:rPr>
            </w:pPr>
            <w:r w:rsidRPr="00F647D7">
              <w:rPr>
                <w:sz w:val="22"/>
              </w:rPr>
              <w:t>138</w:t>
            </w:r>
          </w:p>
        </w:tc>
        <w:tc>
          <w:tcPr>
            <w:tcW w:w="8539" w:type="dxa"/>
            <w:hideMark/>
          </w:tcPr>
          <w:p w14:paraId="22C8486B" w14:textId="77777777" w:rsidR="004B3A66" w:rsidRPr="00F647D7" w:rsidRDefault="004B3A66" w:rsidP="00573539">
            <w:pPr>
              <w:tabs>
                <w:tab w:val="clear" w:pos="567"/>
              </w:tabs>
              <w:spacing w:before="40" w:after="40"/>
              <w:rPr>
                <w:iCs/>
                <w:sz w:val="22"/>
              </w:rPr>
            </w:pPr>
            <w:r w:rsidRPr="00F647D7">
              <w:rPr>
                <w:sz w:val="22"/>
              </w:rPr>
              <w:t>Department of Agriculture and Water Resources</w:t>
            </w:r>
            <w:r w:rsidRPr="00F647D7">
              <w:rPr>
                <w:iCs/>
                <w:sz w:val="22"/>
              </w:rPr>
              <w:t xml:space="preserve"> 2017, </w:t>
            </w:r>
            <w:hyperlink r:id="rId157" w:history="1">
              <w:r w:rsidRPr="00F647D7">
                <w:rPr>
                  <w:rStyle w:val="Hyperlink"/>
                  <w:sz w:val="22"/>
                </w:rPr>
                <w:t>Submission to the Senate inquiry into biosecurity risks associated with the importation of seafood and seafood products (including uncooked prawns and uncooked prawn meat) into Australia (pdf 1.4mb)</w:t>
              </w:r>
            </w:hyperlink>
            <w:r w:rsidRPr="00F647D7">
              <w:rPr>
                <w:sz w:val="22"/>
              </w:rPr>
              <w:t>, Senate Rural and Regional Affairs and Transport References Committee Inquiry into biosecurity risks associated with the importation of seafood and seafood products (including uncooked prawns and uncooked prawn meat) into Australia, 13 April.</w:t>
            </w:r>
          </w:p>
        </w:tc>
      </w:tr>
      <w:tr w:rsidR="004B3A66" w:rsidRPr="00F647D7" w14:paraId="7B12E49E" w14:textId="77777777" w:rsidTr="00573539">
        <w:tc>
          <w:tcPr>
            <w:tcW w:w="812" w:type="dxa"/>
            <w:hideMark/>
          </w:tcPr>
          <w:p w14:paraId="2025361D" w14:textId="77777777" w:rsidR="004B3A66" w:rsidRPr="00F647D7" w:rsidRDefault="004B3A66" w:rsidP="00573539">
            <w:pPr>
              <w:tabs>
                <w:tab w:val="clear" w:pos="567"/>
              </w:tabs>
              <w:spacing w:before="40" w:after="40"/>
              <w:rPr>
                <w:sz w:val="22"/>
              </w:rPr>
            </w:pPr>
            <w:r w:rsidRPr="00F647D7">
              <w:rPr>
                <w:iCs/>
                <w:sz w:val="22"/>
              </w:rPr>
              <w:lastRenderedPageBreak/>
              <w:t>139</w:t>
            </w:r>
          </w:p>
        </w:tc>
        <w:tc>
          <w:tcPr>
            <w:tcW w:w="8539" w:type="dxa"/>
            <w:hideMark/>
          </w:tcPr>
          <w:p w14:paraId="4E99BDCB" w14:textId="77777777" w:rsidR="004B3A66" w:rsidRPr="00F647D7" w:rsidRDefault="004B3A66" w:rsidP="00573539">
            <w:pPr>
              <w:tabs>
                <w:tab w:val="clear" w:pos="567"/>
              </w:tabs>
              <w:spacing w:before="40" w:after="40"/>
              <w:rPr>
                <w:sz w:val="22"/>
              </w:rPr>
            </w:pPr>
            <w:r w:rsidRPr="00F647D7">
              <w:rPr>
                <w:sz w:val="22"/>
              </w:rPr>
              <w:t xml:space="preserve">Monckton Consulting Pty Ltd 2017, </w:t>
            </w:r>
            <w:hyperlink r:id="rId158" w:history="1">
              <w:r w:rsidRPr="00F647D7">
                <w:rPr>
                  <w:rStyle w:val="Hyperlink"/>
                  <w:sz w:val="22"/>
                </w:rPr>
                <w:t>Submission 5 (pdf 592kb)</w:t>
              </w:r>
            </w:hyperlink>
            <w:r w:rsidRPr="00F647D7">
              <w:rPr>
                <w:sz w:val="22"/>
              </w:rPr>
              <w:t>, submission to the Inspector-General of Biosecurity, Review of the circumstances leading to the 2017 suspension of uncooked prawn imports into Australia &amp; biosecurity considerations relevant to future trade, Canberra., Inspector-General of Biosecurity, Canberra.</w:t>
            </w:r>
          </w:p>
        </w:tc>
      </w:tr>
      <w:tr w:rsidR="004B3A66" w:rsidRPr="00F647D7" w14:paraId="7EF0496E" w14:textId="77777777" w:rsidTr="00573539">
        <w:tc>
          <w:tcPr>
            <w:tcW w:w="812" w:type="dxa"/>
            <w:hideMark/>
          </w:tcPr>
          <w:p w14:paraId="1ED9735E" w14:textId="77777777" w:rsidR="004B3A66" w:rsidRPr="00F647D7" w:rsidRDefault="004B3A66" w:rsidP="00573539">
            <w:pPr>
              <w:tabs>
                <w:tab w:val="clear" w:pos="567"/>
              </w:tabs>
              <w:spacing w:before="40" w:after="40"/>
              <w:rPr>
                <w:sz w:val="22"/>
              </w:rPr>
            </w:pPr>
            <w:r w:rsidRPr="00F647D7">
              <w:rPr>
                <w:sz w:val="22"/>
              </w:rPr>
              <w:t>140</w:t>
            </w:r>
          </w:p>
        </w:tc>
        <w:tc>
          <w:tcPr>
            <w:tcW w:w="8539" w:type="dxa"/>
            <w:hideMark/>
          </w:tcPr>
          <w:p w14:paraId="172B9B44" w14:textId="77777777" w:rsidR="004B3A66" w:rsidRPr="00F647D7" w:rsidRDefault="004B3A66" w:rsidP="00573539">
            <w:pPr>
              <w:tabs>
                <w:tab w:val="clear" w:pos="567"/>
              </w:tabs>
              <w:spacing w:before="40" w:after="40"/>
              <w:rPr>
                <w:sz w:val="22"/>
              </w:rPr>
            </w:pPr>
            <w:r w:rsidRPr="00F647D7">
              <w:rPr>
                <w:sz w:val="22"/>
              </w:rPr>
              <w:t xml:space="preserve">Chapman, T 2017, </w:t>
            </w:r>
            <w:hyperlink r:id="rId159" w:history="1">
              <w:r w:rsidRPr="00F647D7">
                <w:rPr>
                  <w:rStyle w:val="Hyperlink"/>
                  <w:sz w:val="22"/>
                </w:rPr>
                <w:t>Evidence to Rural and Regional Affairs and Transport References Committee (pdf 302kb)</w:t>
              </w:r>
            </w:hyperlink>
            <w:r w:rsidRPr="00F647D7">
              <w:rPr>
                <w:sz w:val="22"/>
              </w:rPr>
              <w:t>, Parliament of Australia, Canberra, 28 March, pp. 7–8.</w:t>
            </w:r>
          </w:p>
        </w:tc>
      </w:tr>
      <w:tr w:rsidR="004B3A66" w:rsidRPr="00F647D7" w14:paraId="23501798" w14:textId="77777777" w:rsidTr="00573539">
        <w:tc>
          <w:tcPr>
            <w:tcW w:w="812" w:type="dxa"/>
            <w:hideMark/>
          </w:tcPr>
          <w:p w14:paraId="633DF6F9" w14:textId="77777777" w:rsidR="004B3A66" w:rsidRPr="00F647D7" w:rsidRDefault="004B3A66" w:rsidP="00573539">
            <w:pPr>
              <w:tabs>
                <w:tab w:val="clear" w:pos="567"/>
              </w:tabs>
              <w:spacing w:before="40" w:after="40"/>
              <w:rPr>
                <w:iCs/>
                <w:sz w:val="22"/>
              </w:rPr>
            </w:pPr>
            <w:r w:rsidRPr="00F647D7">
              <w:rPr>
                <w:iCs/>
                <w:sz w:val="22"/>
              </w:rPr>
              <w:t>141</w:t>
            </w:r>
          </w:p>
        </w:tc>
        <w:tc>
          <w:tcPr>
            <w:tcW w:w="8539" w:type="dxa"/>
            <w:hideMark/>
          </w:tcPr>
          <w:p w14:paraId="5B388B97" w14:textId="77777777" w:rsidR="004B3A66" w:rsidRPr="00F647D7" w:rsidRDefault="004B3A66" w:rsidP="00573539">
            <w:pPr>
              <w:tabs>
                <w:tab w:val="clear" w:pos="567"/>
              </w:tabs>
              <w:spacing w:before="40" w:after="40"/>
              <w:rPr>
                <w:sz w:val="22"/>
              </w:rPr>
            </w:pPr>
            <w:r w:rsidRPr="00F647D7">
              <w:rPr>
                <w:sz w:val="22"/>
              </w:rPr>
              <w:t xml:space="preserve">Quinlivan, D 2017, </w:t>
            </w:r>
            <w:hyperlink r:id="rId160" w:history="1">
              <w:r w:rsidRPr="00F647D7">
                <w:rPr>
                  <w:rStyle w:val="Hyperlink"/>
                  <w:sz w:val="22"/>
                </w:rPr>
                <w:t>Evidence to Rural and Regional Affairs and Transport Legislation Committee (pdf 1.24mb)</w:t>
              </w:r>
            </w:hyperlink>
            <w:r w:rsidRPr="00F647D7">
              <w:rPr>
                <w:sz w:val="22"/>
              </w:rPr>
              <w:t>, Canberra, 24 May, p. 31.</w:t>
            </w:r>
          </w:p>
        </w:tc>
      </w:tr>
      <w:tr w:rsidR="004B3A66" w:rsidRPr="00F647D7" w14:paraId="4B772CFB" w14:textId="77777777" w:rsidTr="00573539">
        <w:tc>
          <w:tcPr>
            <w:tcW w:w="812" w:type="dxa"/>
            <w:hideMark/>
          </w:tcPr>
          <w:p w14:paraId="52A5DFBC" w14:textId="77777777" w:rsidR="004B3A66" w:rsidRPr="00F647D7" w:rsidRDefault="004B3A66" w:rsidP="00573539">
            <w:pPr>
              <w:tabs>
                <w:tab w:val="clear" w:pos="567"/>
              </w:tabs>
              <w:spacing w:before="40" w:after="40"/>
              <w:rPr>
                <w:iCs/>
                <w:sz w:val="22"/>
              </w:rPr>
            </w:pPr>
            <w:r w:rsidRPr="00F647D7">
              <w:rPr>
                <w:iCs/>
                <w:sz w:val="22"/>
              </w:rPr>
              <w:t>142</w:t>
            </w:r>
          </w:p>
        </w:tc>
        <w:tc>
          <w:tcPr>
            <w:tcW w:w="8539" w:type="dxa"/>
            <w:hideMark/>
          </w:tcPr>
          <w:p w14:paraId="40850E02" w14:textId="77777777" w:rsidR="004B3A66" w:rsidRPr="00F647D7" w:rsidRDefault="004B3A66" w:rsidP="00573539">
            <w:pPr>
              <w:tabs>
                <w:tab w:val="clear" w:pos="567"/>
              </w:tabs>
              <w:spacing w:before="40" w:after="40"/>
              <w:rPr>
                <w:iCs/>
                <w:sz w:val="22"/>
              </w:rPr>
            </w:pPr>
            <w:r w:rsidRPr="00F647D7">
              <w:rPr>
                <w:iCs/>
                <w:sz w:val="22"/>
                <w:lang w:val="en"/>
              </w:rPr>
              <w:t>Department of Agriculture and Water Resources</w:t>
            </w:r>
            <w:r w:rsidRPr="00F647D7">
              <w:rPr>
                <w:iCs/>
                <w:sz w:val="22"/>
              </w:rPr>
              <w:t xml:space="preserve"> 2017, </w:t>
            </w:r>
            <w:hyperlink r:id="rId161" w:history="1">
              <w:r w:rsidRPr="00F647D7">
                <w:rPr>
                  <w:rStyle w:val="Hyperlink"/>
                  <w:sz w:val="22"/>
                </w:rPr>
                <w:t>Suspension of uncooked prawns and uncooked prawn meat imports</w:t>
              </w:r>
            </w:hyperlink>
            <w:r w:rsidRPr="00F647D7">
              <w:rPr>
                <w:sz w:val="22"/>
              </w:rPr>
              <w:t>, industry advice notice 02-2017, 7 January, Canberra, accessed 29 June 2017.</w:t>
            </w:r>
          </w:p>
        </w:tc>
      </w:tr>
      <w:tr w:rsidR="004B3A66" w:rsidRPr="00F647D7" w14:paraId="00548843" w14:textId="77777777" w:rsidTr="00573539">
        <w:tc>
          <w:tcPr>
            <w:tcW w:w="812" w:type="dxa"/>
            <w:hideMark/>
          </w:tcPr>
          <w:p w14:paraId="36057340" w14:textId="77777777" w:rsidR="004B3A66" w:rsidRPr="00F647D7" w:rsidRDefault="004B3A66" w:rsidP="00573539">
            <w:pPr>
              <w:tabs>
                <w:tab w:val="clear" w:pos="567"/>
              </w:tabs>
              <w:spacing w:before="40" w:after="40"/>
              <w:rPr>
                <w:sz w:val="22"/>
              </w:rPr>
            </w:pPr>
            <w:r w:rsidRPr="00F647D7">
              <w:rPr>
                <w:sz w:val="22"/>
              </w:rPr>
              <w:t>143</w:t>
            </w:r>
          </w:p>
        </w:tc>
        <w:tc>
          <w:tcPr>
            <w:tcW w:w="8539" w:type="dxa"/>
            <w:hideMark/>
          </w:tcPr>
          <w:p w14:paraId="0A231E78" w14:textId="77777777" w:rsidR="004B3A66" w:rsidRPr="00F647D7" w:rsidRDefault="004B3A66" w:rsidP="00573539">
            <w:pPr>
              <w:tabs>
                <w:tab w:val="clear" w:pos="567"/>
              </w:tabs>
              <w:spacing w:before="40" w:after="40"/>
              <w:rPr>
                <w:iCs/>
                <w:sz w:val="22"/>
              </w:rPr>
            </w:pPr>
            <w:r w:rsidRPr="00F647D7">
              <w:rPr>
                <w:iCs/>
                <w:sz w:val="22"/>
                <w:lang w:val="en"/>
              </w:rPr>
              <w:t>Department of Agriculture and Water Resources</w:t>
            </w:r>
            <w:r w:rsidRPr="00F647D7">
              <w:rPr>
                <w:iCs/>
                <w:sz w:val="22"/>
              </w:rPr>
              <w:t xml:space="preserve"> 2017, </w:t>
            </w:r>
            <w:hyperlink r:id="rId162" w:history="1">
              <w:r w:rsidRPr="00F647D7">
                <w:rPr>
                  <w:rStyle w:val="Hyperlink"/>
                  <w:iCs/>
                  <w:sz w:val="22"/>
                  <w:lang w:val="en"/>
                </w:rPr>
                <w:t>Import industry advice notices 2017</w:t>
              </w:r>
            </w:hyperlink>
            <w:r w:rsidRPr="00F647D7">
              <w:rPr>
                <w:sz w:val="22"/>
              </w:rPr>
              <w:t>,</w:t>
            </w:r>
            <w:r w:rsidRPr="00F647D7">
              <w:rPr>
                <w:iCs/>
                <w:sz w:val="22"/>
                <w:lang w:val="en"/>
              </w:rPr>
              <w:t xml:space="preserve"> </w:t>
            </w:r>
            <w:r w:rsidRPr="00F647D7">
              <w:rPr>
                <w:iCs/>
                <w:sz w:val="22"/>
              </w:rPr>
              <w:t>Canberra, 24 November.</w:t>
            </w:r>
          </w:p>
        </w:tc>
      </w:tr>
      <w:tr w:rsidR="004B3A66" w:rsidRPr="00F647D7" w14:paraId="6E26B0AA" w14:textId="77777777" w:rsidTr="00573539">
        <w:tc>
          <w:tcPr>
            <w:tcW w:w="812" w:type="dxa"/>
            <w:hideMark/>
          </w:tcPr>
          <w:p w14:paraId="45FC1B53" w14:textId="77777777" w:rsidR="004B3A66" w:rsidRPr="00F647D7" w:rsidRDefault="004B3A66" w:rsidP="00573539">
            <w:pPr>
              <w:tabs>
                <w:tab w:val="clear" w:pos="567"/>
              </w:tabs>
              <w:spacing w:before="40" w:after="40"/>
              <w:rPr>
                <w:sz w:val="22"/>
              </w:rPr>
            </w:pPr>
            <w:r w:rsidRPr="00F647D7">
              <w:rPr>
                <w:iCs/>
                <w:sz w:val="22"/>
              </w:rPr>
              <w:t>144</w:t>
            </w:r>
          </w:p>
        </w:tc>
        <w:tc>
          <w:tcPr>
            <w:tcW w:w="8539" w:type="dxa"/>
            <w:hideMark/>
          </w:tcPr>
          <w:p w14:paraId="73B126B4" w14:textId="77777777" w:rsidR="004B3A66" w:rsidRPr="00F647D7" w:rsidRDefault="004B3A66" w:rsidP="00573539">
            <w:pPr>
              <w:tabs>
                <w:tab w:val="clear" w:pos="567"/>
              </w:tabs>
              <w:spacing w:before="40" w:after="40"/>
              <w:rPr>
                <w:sz w:val="22"/>
              </w:rPr>
            </w:pPr>
            <w:r w:rsidRPr="00F647D7">
              <w:rPr>
                <w:sz w:val="22"/>
              </w:rPr>
              <w:t xml:space="preserve">Department of Agriculture and Water Resources 2017, </w:t>
            </w:r>
            <w:hyperlink r:id="rId163" w:anchor="A1" w:history="1">
              <w:r w:rsidRPr="00F647D7">
                <w:rPr>
                  <w:rStyle w:val="Hyperlink"/>
                  <w:sz w:val="22"/>
                </w:rPr>
                <w:t>End of prawn suspension and import conditions for prawns and prawn products for human consumption, biosecurity Advice 2017/12 (pdf 1.5mb)</w:t>
              </w:r>
            </w:hyperlink>
            <w:r w:rsidRPr="00F647D7">
              <w:rPr>
                <w:sz w:val="22"/>
              </w:rPr>
              <w:t xml:space="preserve">, </w:t>
            </w:r>
            <w:r w:rsidRPr="00F647D7">
              <w:rPr>
                <w:iCs/>
                <w:sz w:val="22"/>
                <w:lang w:val="en"/>
              </w:rPr>
              <w:t xml:space="preserve">biosecurity advice 2017/12, </w:t>
            </w:r>
            <w:r w:rsidRPr="00F647D7">
              <w:rPr>
                <w:sz w:val="22"/>
              </w:rPr>
              <w:t>Canberra, 30 June.</w:t>
            </w:r>
          </w:p>
        </w:tc>
      </w:tr>
      <w:tr w:rsidR="004B3A66" w:rsidRPr="00F647D7" w14:paraId="68374D48" w14:textId="77777777" w:rsidTr="00573539">
        <w:tc>
          <w:tcPr>
            <w:tcW w:w="812" w:type="dxa"/>
            <w:hideMark/>
          </w:tcPr>
          <w:p w14:paraId="5D544B8A" w14:textId="77777777" w:rsidR="004B3A66" w:rsidRPr="00F647D7" w:rsidRDefault="004B3A66" w:rsidP="00573539">
            <w:pPr>
              <w:tabs>
                <w:tab w:val="clear" w:pos="567"/>
              </w:tabs>
              <w:spacing w:before="40" w:after="40"/>
              <w:rPr>
                <w:sz w:val="22"/>
              </w:rPr>
            </w:pPr>
            <w:r w:rsidRPr="00F647D7">
              <w:rPr>
                <w:sz w:val="22"/>
              </w:rPr>
              <w:t>145</w:t>
            </w:r>
          </w:p>
        </w:tc>
        <w:tc>
          <w:tcPr>
            <w:tcW w:w="8539" w:type="dxa"/>
            <w:hideMark/>
          </w:tcPr>
          <w:p w14:paraId="05E2C8A0" w14:textId="77777777" w:rsidR="004B3A66" w:rsidRPr="00F647D7" w:rsidRDefault="004B3A66" w:rsidP="00573539">
            <w:pPr>
              <w:tabs>
                <w:tab w:val="clear" w:pos="567"/>
              </w:tabs>
              <w:spacing w:before="40" w:after="40"/>
              <w:rPr>
                <w:sz w:val="22"/>
              </w:rPr>
            </w:pPr>
            <w:r w:rsidRPr="00F647D7">
              <w:rPr>
                <w:sz w:val="22"/>
              </w:rPr>
              <w:t xml:space="preserve">Department of Agriculture and Water Resources 2017, </w:t>
            </w:r>
            <w:hyperlink r:id="rId164" w:anchor="A1" w:history="1">
              <w:r w:rsidRPr="00F647D7">
                <w:rPr>
                  <w:rStyle w:val="Hyperlink"/>
                  <w:iCs/>
                  <w:sz w:val="22"/>
                  <w:lang w:val="en"/>
                </w:rPr>
                <w:t>End of prawn suspension and import conditions for prawns and prawn products for human consumption, attachment A</w:t>
              </w:r>
              <w:r w:rsidRPr="00F647D7">
                <w:rPr>
                  <w:rStyle w:val="Hyperlink"/>
                  <w:sz w:val="22"/>
                </w:rPr>
                <w:t xml:space="preserve">: </w:t>
              </w:r>
              <w:r w:rsidRPr="00F647D7">
                <w:rPr>
                  <w:rStyle w:val="Hyperlink"/>
                  <w:iCs/>
                  <w:sz w:val="22"/>
                  <w:lang w:val="en"/>
                </w:rPr>
                <w:t>biosecurity requirements for the importation of prawns and prawn products for human consumption</w:t>
              </w:r>
            </w:hyperlink>
            <w:r w:rsidRPr="00F647D7">
              <w:rPr>
                <w:iCs/>
                <w:sz w:val="22"/>
                <w:lang w:val="en"/>
              </w:rPr>
              <w:t>, biosecurity advice 2017/12</w:t>
            </w:r>
            <w:r w:rsidRPr="00F647D7">
              <w:rPr>
                <w:sz w:val="22"/>
              </w:rPr>
              <w:t>, Canberra, 30 June.</w:t>
            </w:r>
          </w:p>
        </w:tc>
      </w:tr>
      <w:tr w:rsidR="004B3A66" w:rsidRPr="00F647D7" w14:paraId="71F97119" w14:textId="77777777" w:rsidTr="00573539">
        <w:tc>
          <w:tcPr>
            <w:tcW w:w="812" w:type="dxa"/>
            <w:hideMark/>
          </w:tcPr>
          <w:p w14:paraId="2C9CB4F9" w14:textId="77777777" w:rsidR="004B3A66" w:rsidRPr="00F647D7" w:rsidRDefault="004B3A66" w:rsidP="00573539">
            <w:pPr>
              <w:tabs>
                <w:tab w:val="clear" w:pos="567"/>
              </w:tabs>
              <w:spacing w:before="40" w:after="40"/>
              <w:rPr>
                <w:iCs/>
                <w:sz w:val="22"/>
              </w:rPr>
            </w:pPr>
            <w:r w:rsidRPr="00F647D7">
              <w:rPr>
                <w:iCs/>
                <w:sz w:val="22"/>
              </w:rPr>
              <w:t>146</w:t>
            </w:r>
          </w:p>
        </w:tc>
        <w:tc>
          <w:tcPr>
            <w:tcW w:w="8539" w:type="dxa"/>
            <w:hideMark/>
          </w:tcPr>
          <w:p w14:paraId="12D78AED" w14:textId="77777777" w:rsidR="004B3A66" w:rsidRPr="00F647D7" w:rsidRDefault="004B3A66" w:rsidP="00573539">
            <w:pPr>
              <w:tabs>
                <w:tab w:val="clear" w:pos="567"/>
              </w:tabs>
              <w:spacing w:before="40" w:after="40"/>
              <w:rPr>
                <w:iCs/>
                <w:sz w:val="22"/>
              </w:rPr>
            </w:pPr>
            <w:r w:rsidRPr="00F647D7">
              <w:rPr>
                <w:iCs/>
                <w:sz w:val="22"/>
                <w:lang w:val="en"/>
              </w:rPr>
              <w:t>Department of Agriculture and Water Resources</w:t>
            </w:r>
            <w:r w:rsidRPr="00F647D7">
              <w:rPr>
                <w:iCs/>
                <w:sz w:val="22"/>
              </w:rPr>
              <w:t xml:space="preserve"> 2017, </w:t>
            </w:r>
            <w:hyperlink r:id="rId165" w:history="1">
              <w:r w:rsidRPr="00F647D7">
                <w:rPr>
                  <w:rStyle w:val="Hyperlink"/>
                  <w:sz w:val="22"/>
                </w:rPr>
                <w:t>Prawns and prawn products from all countries for human consumption (pdf 559kb)</w:t>
              </w:r>
            </w:hyperlink>
            <w:r w:rsidRPr="00F647D7">
              <w:rPr>
                <w:iCs/>
                <w:sz w:val="22"/>
              </w:rPr>
              <w:t>, biosecurity advice 2017/07, Canberra, 16 May.</w:t>
            </w:r>
          </w:p>
        </w:tc>
      </w:tr>
      <w:tr w:rsidR="004B3A66" w:rsidRPr="00F647D7" w14:paraId="21CA3324" w14:textId="77777777" w:rsidTr="00573539">
        <w:tc>
          <w:tcPr>
            <w:tcW w:w="812" w:type="dxa"/>
            <w:hideMark/>
          </w:tcPr>
          <w:p w14:paraId="0974C578" w14:textId="77777777" w:rsidR="004B3A66" w:rsidRPr="00F647D7" w:rsidRDefault="004B3A66" w:rsidP="00573539">
            <w:pPr>
              <w:tabs>
                <w:tab w:val="clear" w:pos="567"/>
              </w:tabs>
              <w:spacing w:before="40" w:after="40"/>
              <w:rPr>
                <w:sz w:val="22"/>
              </w:rPr>
            </w:pPr>
            <w:r w:rsidRPr="00F647D7">
              <w:rPr>
                <w:iCs/>
                <w:sz w:val="22"/>
              </w:rPr>
              <w:t>147</w:t>
            </w:r>
          </w:p>
        </w:tc>
        <w:tc>
          <w:tcPr>
            <w:tcW w:w="8539" w:type="dxa"/>
            <w:hideMark/>
          </w:tcPr>
          <w:p w14:paraId="5FC849F5" w14:textId="77777777" w:rsidR="004B3A66" w:rsidRPr="00F647D7" w:rsidRDefault="004B3A66" w:rsidP="00573539">
            <w:pPr>
              <w:tabs>
                <w:tab w:val="clear" w:pos="567"/>
              </w:tabs>
              <w:spacing w:before="40" w:after="40"/>
              <w:rPr>
                <w:sz w:val="22"/>
              </w:rPr>
            </w:pPr>
            <w:r w:rsidRPr="00F647D7">
              <w:rPr>
                <w:sz w:val="22"/>
              </w:rPr>
              <w:t xml:space="preserve">Landos M 2017, </w:t>
            </w:r>
            <w:hyperlink r:id="rId166" w:history="1">
              <w:r w:rsidRPr="00F647D7">
                <w:rPr>
                  <w:rStyle w:val="Hyperlink"/>
                  <w:sz w:val="22"/>
                </w:rPr>
                <w:t>Assessing compliance and efficacy of import conditions for green (raw) prawn in relation to white spot syndrome virus (WSSV) (pdf 2.6mb)</w:t>
              </w:r>
            </w:hyperlink>
            <w:r w:rsidRPr="00F647D7">
              <w:rPr>
                <w:sz w:val="22"/>
              </w:rPr>
              <w:t>, FRDC final report no. 2016-066, Fisheries Research and Development Corporation, Canberra, April.</w:t>
            </w:r>
          </w:p>
        </w:tc>
      </w:tr>
      <w:tr w:rsidR="004B3A66" w:rsidRPr="00F647D7" w14:paraId="0AC6E81B" w14:textId="77777777" w:rsidTr="00573539">
        <w:tc>
          <w:tcPr>
            <w:tcW w:w="812" w:type="dxa"/>
            <w:hideMark/>
          </w:tcPr>
          <w:p w14:paraId="6518BE92" w14:textId="77777777" w:rsidR="004B3A66" w:rsidRPr="00F647D7" w:rsidRDefault="004B3A66" w:rsidP="00573539">
            <w:pPr>
              <w:tabs>
                <w:tab w:val="clear" w:pos="567"/>
              </w:tabs>
              <w:spacing w:before="40" w:after="40"/>
              <w:rPr>
                <w:iCs/>
                <w:sz w:val="22"/>
              </w:rPr>
            </w:pPr>
            <w:r w:rsidRPr="00F647D7">
              <w:rPr>
                <w:sz w:val="22"/>
              </w:rPr>
              <w:t>148</w:t>
            </w:r>
          </w:p>
        </w:tc>
        <w:tc>
          <w:tcPr>
            <w:tcW w:w="8539" w:type="dxa"/>
            <w:hideMark/>
          </w:tcPr>
          <w:p w14:paraId="0153E6B9" w14:textId="77777777" w:rsidR="004B3A66" w:rsidRPr="00F647D7" w:rsidRDefault="004B3A66" w:rsidP="00573539">
            <w:pPr>
              <w:tabs>
                <w:tab w:val="clear" w:pos="567"/>
              </w:tabs>
              <w:spacing w:before="40" w:after="40"/>
              <w:rPr>
                <w:iCs/>
                <w:sz w:val="22"/>
              </w:rPr>
            </w:pPr>
            <w:r w:rsidRPr="00F647D7">
              <w:rPr>
                <w:iCs/>
                <w:sz w:val="22"/>
              </w:rPr>
              <w:t xml:space="preserve">Australian Pork Ltd 2017, </w:t>
            </w:r>
            <w:hyperlink r:id="rId167" w:history="1">
              <w:r w:rsidRPr="00F647D7">
                <w:rPr>
                  <w:rStyle w:val="Hyperlink"/>
                  <w:sz w:val="22"/>
                </w:rPr>
                <w:t>Submission to Foreign Policy White Paper (pdf 849.4kb)</w:t>
              </w:r>
            </w:hyperlink>
            <w:r w:rsidRPr="00F647D7">
              <w:rPr>
                <w:iCs/>
                <w:sz w:val="22"/>
              </w:rPr>
              <w:t>, 28 February.</w:t>
            </w:r>
          </w:p>
        </w:tc>
      </w:tr>
      <w:tr w:rsidR="004B3A66" w:rsidRPr="00F647D7" w14:paraId="21F162E2" w14:textId="77777777" w:rsidTr="00573539">
        <w:tc>
          <w:tcPr>
            <w:tcW w:w="812" w:type="dxa"/>
            <w:hideMark/>
          </w:tcPr>
          <w:p w14:paraId="0BC2FD53" w14:textId="77777777" w:rsidR="004B3A66" w:rsidRPr="00F647D7" w:rsidRDefault="004B3A66" w:rsidP="00573539">
            <w:pPr>
              <w:tabs>
                <w:tab w:val="clear" w:pos="567"/>
              </w:tabs>
              <w:spacing w:before="40" w:after="40"/>
              <w:rPr>
                <w:sz w:val="22"/>
              </w:rPr>
            </w:pPr>
            <w:r w:rsidRPr="00F647D7">
              <w:rPr>
                <w:sz w:val="22"/>
              </w:rPr>
              <w:t>149</w:t>
            </w:r>
          </w:p>
        </w:tc>
        <w:tc>
          <w:tcPr>
            <w:tcW w:w="8539" w:type="dxa"/>
            <w:hideMark/>
          </w:tcPr>
          <w:p w14:paraId="527D09E4" w14:textId="77777777" w:rsidR="004B3A66" w:rsidRPr="00F647D7" w:rsidRDefault="004B3A66" w:rsidP="00573539">
            <w:pPr>
              <w:tabs>
                <w:tab w:val="clear" w:pos="567"/>
              </w:tabs>
              <w:spacing w:before="40" w:after="40"/>
              <w:rPr>
                <w:iCs/>
                <w:sz w:val="22"/>
              </w:rPr>
            </w:pPr>
            <w:r w:rsidRPr="00F647D7">
              <w:rPr>
                <w:iCs/>
                <w:sz w:val="22"/>
              </w:rPr>
              <w:t xml:space="preserve">OIE 2017, </w:t>
            </w:r>
            <w:hyperlink r:id="rId168" w:history="1">
              <w:r w:rsidRPr="00F647D7">
                <w:rPr>
                  <w:rStyle w:val="Hyperlink"/>
                  <w:iCs/>
                  <w:sz w:val="22"/>
                </w:rPr>
                <w:t>Manual of diagnostic tests for aquatic animals</w:t>
              </w:r>
            </w:hyperlink>
            <w:r w:rsidRPr="00F647D7">
              <w:rPr>
                <w:iCs/>
                <w:sz w:val="22"/>
              </w:rPr>
              <w:t>, World Organisation for Animal Health, Paris, accessed 16 May 2017.</w:t>
            </w:r>
          </w:p>
        </w:tc>
      </w:tr>
      <w:tr w:rsidR="004B3A66" w:rsidRPr="00F647D7" w14:paraId="1C0E7B3A" w14:textId="77777777" w:rsidTr="00573539">
        <w:tc>
          <w:tcPr>
            <w:tcW w:w="812" w:type="dxa"/>
            <w:hideMark/>
          </w:tcPr>
          <w:p w14:paraId="446B3B3D" w14:textId="77777777" w:rsidR="004B3A66" w:rsidRPr="00F647D7" w:rsidRDefault="004B3A66" w:rsidP="00573539">
            <w:pPr>
              <w:tabs>
                <w:tab w:val="clear" w:pos="567"/>
              </w:tabs>
              <w:spacing w:before="40" w:after="40"/>
              <w:rPr>
                <w:sz w:val="22"/>
              </w:rPr>
            </w:pPr>
            <w:r w:rsidRPr="00F647D7">
              <w:rPr>
                <w:sz w:val="22"/>
              </w:rPr>
              <w:t>150</w:t>
            </w:r>
          </w:p>
        </w:tc>
        <w:tc>
          <w:tcPr>
            <w:tcW w:w="8539" w:type="dxa"/>
            <w:hideMark/>
          </w:tcPr>
          <w:p w14:paraId="60CC6368" w14:textId="77777777" w:rsidR="004B3A66" w:rsidRPr="00F647D7" w:rsidRDefault="004B3A66" w:rsidP="00573539">
            <w:pPr>
              <w:tabs>
                <w:tab w:val="clear" w:pos="567"/>
              </w:tabs>
              <w:spacing w:before="40" w:after="40"/>
              <w:rPr>
                <w:sz w:val="22"/>
              </w:rPr>
            </w:pPr>
            <w:r w:rsidRPr="00F647D7">
              <w:rPr>
                <w:sz w:val="22"/>
              </w:rPr>
              <w:t xml:space="preserve">Australian Crime Commission 2009, </w:t>
            </w:r>
            <w:hyperlink r:id="rId169" w:history="1">
              <w:r w:rsidRPr="00F647D7">
                <w:rPr>
                  <w:rStyle w:val="Hyperlink"/>
                  <w:sz w:val="22"/>
                </w:rPr>
                <w:t>Submission to the Parliamentary Joint Committee on the Australian Crime Commission Inquiry into the adequacy of aviation and maritime security measures to combat serious and organised crime (pdf 780kb)</w:t>
              </w:r>
            </w:hyperlink>
            <w:r w:rsidRPr="00F647D7">
              <w:rPr>
                <w:sz w:val="22"/>
              </w:rPr>
              <w:t>, Canberra, 9 November.</w:t>
            </w:r>
          </w:p>
        </w:tc>
      </w:tr>
      <w:tr w:rsidR="004B3A66" w:rsidRPr="00F647D7" w14:paraId="36A89C78" w14:textId="77777777" w:rsidTr="00573539">
        <w:tc>
          <w:tcPr>
            <w:tcW w:w="812" w:type="dxa"/>
            <w:hideMark/>
          </w:tcPr>
          <w:p w14:paraId="729A2FDE" w14:textId="77777777" w:rsidR="004B3A66" w:rsidRPr="00F647D7" w:rsidRDefault="004B3A66" w:rsidP="00573539">
            <w:pPr>
              <w:tabs>
                <w:tab w:val="clear" w:pos="567"/>
              </w:tabs>
              <w:spacing w:before="40" w:after="40"/>
              <w:rPr>
                <w:sz w:val="22"/>
              </w:rPr>
            </w:pPr>
            <w:r w:rsidRPr="00F647D7">
              <w:rPr>
                <w:sz w:val="22"/>
              </w:rPr>
              <w:t>151</w:t>
            </w:r>
          </w:p>
        </w:tc>
        <w:tc>
          <w:tcPr>
            <w:tcW w:w="8539" w:type="dxa"/>
            <w:hideMark/>
          </w:tcPr>
          <w:p w14:paraId="202B42A6" w14:textId="77777777" w:rsidR="004B3A66" w:rsidRPr="00F647D7" w:rsidRDefault="004B3A66" w:rsidP="00573539">
            <w:pPr>
              <w:tabs>
                <w:tab w:val="clear" w:pos="567"/>
              </w:tabs>
              <w:spacing w:before="40" w:after="40"/>
              <w:rPr>
                <w:sz w:val="22"/>
              </w:rPr>
            </w:pPr>
            <w:r w:rsidRPr="00F647D7">
              <w:rPr>
                <w:sz w:val="22"/>
              </w:rPr>
              <w:t xml:space="preserve">Tailby R &amp; Gant F 2002, </w:t>
            </w:r>
            <w:hyperlink r:id="rId170" w:history="1">
              <w:r w:rsidRPr="00F647D7">
                <w:rPr>
                  <w:rStyle w:val="Hyperlink"/>
                  <w:sz w:val="22"/>
                </w:rPr>
                <w:t>The illegal market in Australian abalone (pdf 240kb)</w:t>
              </w:r>
            </w:hyperlink>
            <w:r w:rsidRPr="00F647D7">
              <w:rPr>
                <w:sz w:val="22"/>
              </w:rPr>
              <w:t>, Trends and issues in crime and criminal justice no. 225, Australian Institute of Criminology, Canberra, April.</w:t>
            </w:r>
          </w:p>
        </w:tc>
      </w:tr>
      <w:tr w:rsidR="004B3A66" w:rsidRPr="00F647D7" w14:paraId="5881A853" w14:textId="77777777" w:rsidTr="00573539">
        <w:tc>
          <w:tcPr>
            <w:tcW w:w="812" w:type="dxa"/>
            <w:hideMark/>
          </w:tcPr>
          <w:p w14:paraId="7D8769FA" w14:textId="77777777" w:rsidR="004B3A66" w:rsidRPr="00F647D7" w:rsidRDefault="004B3A66" w:rsidP="00573539">
            <w:pPr>
              <w:tabs>
                <w:tab w:val="clear" w:pos="567"/>
              </w:tabs>
              <w:spacing w:before="40" w:after="40"/>
              <w:rPr>
                <w:iCs/>
                <w:sz w:val="22"/>
              </w:rPr>
            </w:pPr>
            <w:r w:rsidRPr="00F647D7">
              <w:rPr>
                <w:sz w:val="22"/>
              </w:rPr>
              <w:t>152</w:t>
            </w:r>
          </w:p>
        </w:tc>
        <w:tc>
          <w:tcPr>
            <w:tcW w:w="8539" w:type="dxa"/>
            <w:hideMark/>
          </w:tcPr>
          <w:p w14:paraId="4EF99979" w14:textId="77777777" w:rsidR="004B3A66" w:rsidRPr="00F647D7" w:rsidRDefault="004B3A66" w:rsidP="00573539">
            <w:pPr>
              <w:tabs>
                <w:tab w:val="clear" w:pos="567"/>
              </w:tabs>
              <w:spacing w:before="40" w:after="40"/>
              <w:rPr>
                <w:iCs/>
                <w:sz w:val="22"/>
              </w:rPr>
            </w:pPr>
            <w:r w:rsidRPr="00F647D7">
              <w:rPr>
                <w:iCs/>
                <w:sz w:val="22"/>
              </w:rPr>
              <w:t xml:space="preserve">Jin, GZ &amp; Lee, J 2011, </w:t>
            </w:r>
            <w:hyperlink r:id="rId171" w:history="1">
              <w:r w:rsidRPr="00F647D7">
                <w:rPr>
                  <w:rStyle w:val="Hyperlink"/>
                  <w:sz w:val="22"/>
                </w:rPr>
                <w:t>The imperfection of human inspectors: lessons from Florida restaurant inspections (pdf 336kb)</w:t>
              </w:r>
            </w:hyperlink>
            <w:r w:rsidRPr="00F647D7">
              <w:rPr>
                <w:iCs/>
                <w:sz w:val="22"/>
              </w:rPr>
              <w:t>, unpublished manuscript, 17 March.</w:t>
            </w:r>
          </w:p>
        </w:tc>
      </w:tr>
      <w:tr w:rsidR="004B3A66" w:rsidRPr="00F647D7" w14:paraId="3D92CF41" w14:textId="77777777" w:rsidTr="00573539">
        <w:tc>
          <w:tcPr>
            <w:tcW w:w="812" w:type="dxa"/>
            <w:hideMark/>
          </w:tcPr>
          <w:p w14:paraId="01234B2D" w14:textId="77777777" w:rsidR="004B3A66" w:rsidRPr="00F647D7" w:rsidRDefault="004B3A66" w:rsidP="00573539">
            <w:pPr>
              <w:tabs>
                <w:tab w:val="clear" w:pos="567"/>
              </w:tabs>
              <w:spacing w:before="40" w:after="40"/>
              <w:rPr>
                <w:sz w:val="22"/>
              </w:rPr>
            </w:pPr>
            <w:r w:rsidRPr="00F647D7">
              <w:rPr>
                <w:sz w:val="22"/>
              </w:rPr>
              <w:t>153</w:t>
            </w:r>
          </w:p>
        </w:tc>
        <w:tc>
          <w:tcPr>
            <w:tcW w:w="8539" w:type="dxa"/>
            <w:hideMark/>
          </w:tcPr>
          <w:p w14:paraId="4207BAB7" w14:textId="77777777" w:rsidR="004B3A66" w:rsidRPr="00F647D7" w:rsidRDefault="004B3A66" w:rsidP="00573539">
            <w:pPr>
              <w:tabs>
                <w:tab w:val="clear" w:pos="567"/>
              </w:tabs>
              <w:spacing w:before="40" w:after="40"/>
              <w:rPr>
                <w:sz w:val="22"/>
              </w:rPr>
            </w:pPr>
            <w:r w:rsidRPr="00F647D7">
              <w:rPr>
                <w:sz w:val="22"/>
              </w:rPr>
              <w:t xml:space="preserve">Briody, M &amp; Prenzler, T 1998, ‘The enforcement of environmental protection laws in Queensland: a case of regulatory capture?’ </w:t>
            </w:r>
            <w:r w:rsidRPr="00F647D7">
              <w:rPr>
                <w:i/>
                <w:iCs/>
                <w:sz w:val="22"/>
              </w:rPr>
              <w:t>Environmental and Planning Law Journal</w:t>
            </w:r>
            <w:r w:rsidRPr="00F647D7">
              <w:rPr>
                <w:sz w:val="22"/>
              </w:rPr>
              <w:t xml:space="preserve">, vol. </w:t>
            </w:r>
            <w:r w:rsidRPr="00F647D7">
              <w:rPr>
                <w:iCs/>
                <w:sz w:val="22"/>
              </w:rPr>
              <w:t xml:space="preserve">15, no. </w:t>
            </w:r>
            <w:r w:rsidRPr="00F647D7">
              <w:rPr>
                <w:sz w:val="22"/>
              </w:rPr>
              <w:t>1, pp. 54–71.</w:t>
            </w:r>
          </w:p>
        </w:tc>
      </w:tr>
      <w:tr w:rsidR="004B3A66" w:rsidRPr="00F647D7" w14:paraId="3FA4E5F0" w14:textId="77777777" w:rsidTr="00573539">
        <w:tc>
          <w:tcPr>
            <w:tcW w:w="812" w:type="dxa"/>
            <w:hideMark/>
          </w:tcPr>
          <w:p w14:paraId="4425CE93" w14:textId="77777777" w:rsidR="004B3A66" w:rsidRPr="00F647D7" w:rsidRDefault="004B3A66" w:rsidP="00573539">
            <w:pPr>
              <w:tabs>
                <w:tab w:val="clear" w:pos="567"/>
              </w:tabs>
              <w:spacing w:before="40" w:after="40"/>
              <w:rPr>
                <w:sz w:val="22"/>
              </w:rPr>
            </w:pPr>
            <w:r w:rsidRPr="00F647D7">
              <w:rPr>
                <w:sz w:val="22"/>
              </w:rPr>
              <w:t>154</w:t>
            </w:r>
          </w:p>
        </w:tc>
        <w:tc>
          <w:tcPr>
            <w:tcW w:w="8539" w:type="dxa"/>
            <w:hideMark/>
          </w:tcPr>
          <w:p w14:paraId="7972AEB2" w14:textId="77777777" w:rsidR="004B3A66" w:rsidRPr="00F647D7" w:rsidRDefault="004B3A66" w:rsidP="00573539">
            <w:pPr>
              <w:tabs>
                <w:tab w:val="clear" w:pos="567"/>
              </w:tabs>
              <w:spacing w:before="40" w:after="40"/>
              <w:rPr>
                <w:sz w:val="22"/>
              </w:rPr>
            </w:pPr>
            <w:r w:rsidRPr="00F647D7">
              <w:rPr>
                <w:sz w:val="22"/>
              </w:rPr>
              <w:t xml:space="preserve">Adams, G, Hayes, S, Weierter, S &amp; Boyd, J 2007, </w:t>
            </w:r>
            <w:hyperlink r:id="rId172" w:history="1">
              <w:r w:rsidRPr="00F647D7">
                <w:rPr>
                  <w:rStyle w:val="Hyperlink"/>
                  <w:sz w:val="22"/>
                </w:rPr>
                <w:t>Regulatory capture: managing the risk (pdf 95.6kb)</w:t>
              </w:r>
            </w:hyperlink>
            <w:r w:rsidRPr="00F647D7">
              <w:rPr>
                <w:sz w:val="22"/>
              </w:rPr>
              <w:t xml:space="preserve">, paper presented at </w:t>
            </w:r>
            <w:r w:rsidRPr="00F647D7">
              <w:rPr>
                <w:iCs/>
                <w:sz w:val="22"/>
              </w:rPr>
              <w:t xml:space="preserve">Australian Public Sector Anti-Corruption Conference, </w:t>
            </w:r>
            <w:r w:rsidRPr="00F647D7">
              <w:rPr>
                <w:i/>
                <w:iCs/>
                <w:sz w:val="22"/>
              </w:rPr>
              <w:t>Government regulators—the environment and the corruption risks it presents</w:t>
            </w:r>
            <w:r w:rsidRPr="00F647D7">
              <w:rPr>
                <w:iCs/>
                <w:sz w:val="22"/>
              </w:rPr>
              <w:t>,</w:t>
            </w:r>
            <w:r w:rsidRPr="00F647D7">
              <w:rPr>
                <w:sz w:val="22"/>
              </w:rPr>
              <w:t xml:space="preserve"> </w:t>
            </w:r>
            <w:r w:rsidRPr="00F647D7">
              <w:rPr>
                <w:iCs/>
                <w:sz w:val="22"/>
              </w:rPr>
              <w:t>Sydney, 24 October</w:t>
            </w:r>
            <w:r w:rsidRPr="00F647D7">
              <w:rPr>
                <w:sz w:val="22"/>
              </w:rPr>
              <w:t>.</w:t>
            </w:r>
          </w:p>
        </w:tc>
      </w:tr>
      <w:tr w:rsidR="004B3A66" w:rsidRPr="00F647D7" w14:paraId="51D5F240" w14:textId="77777777" w:rsidTr="00573539">
        <w:tc>
          <w:tcPr>
            <w:tcW w:w="812" w:type="dxa"/>
            <w:hideMark/>
          </w:tcPr>
          <w:p w14:paraId="34160B05" w14:textId="77777777" w:rsidR="004B3A66" w:rsidRPr="00F647D7" w:rsidRDefault="004B3A66" w:rsidP="00573539">
            <w:pPr>
              <w:tabs>
                <w:tab w:val="clear" w:pos="567"/>
              </w:tabs>
              <w:spacing w:before="40" w:after="40"/>
              <w:rPr>
                <w:sz w:val="22"/>
              </w:rPr>
            </w:pPr>
            <w:r w:rsidRPr="00F647D7">
              <w:rPr>
                <w:sz w:val="22"/>
              </w:rPr>
              <w:t>155</w:t>
            </w:r>
          </w:p>
        </w:tc>
        <w:tc>
          <w:tcPr>
            <w:tcW w:w="8539" w:type="dxa"/>
            <w:hideMark/>
          </w:tcPr>
          <w:p w14:paraId="4CB188B2" w14:textId="77777777" w:rsidR="004B3A66" w:rsidRPr="00F647D7" w:rsidRDefault="004B3A66" w:rsidP="00573539">
            <w:pPr>
              <w:tabs>
                <w:tab w:val="clear" w:pos="567"/>
              </w:tabs>
              <w:spacing w:before="40" w:after="40"/>
              <w:rPr>
                <w:sz w:val="22"/>
              </w:rPr>
            </w:pPr>
            <w:r w:rsidRPr="00F647D7">
              <w:rPr>
                <w:sz w:val="22"/>
              </w:rPr>
              <w:t xml:space="preserve">Australian Commission for Law Enforcement Integrity 2017, </w:t>
            </w:r>
            <w:hyperlink r:id="rId173" w:history="1">
              <w:r w:rsidRPr="00F647D7">
                <w:rPr>
                  <w:rStyle w:val="Hyperlink"/>
                  <w:sz w:val="22"/>
                </w:rPr>
                <w:t>Operation Karoola—an investigation into potential conflict of interests of a biosecurity officer (pdf 492kb)</w:t>
              </w:r>
            </w:hyperlink>
            <w:r w:rsidRPr="00F647D7">
              <w:rPr>
                <w:sz w:val="22"/>
              </w:rPr>
              <w:t>, investigation report 02/2017, Canberra.</w:t>
            </w:r>
          </w:p>
        </w:tc>
      </w:tr>
      <w:tr w:rsidR="004B3A66" w:rsidRPr="00F647D7" w14:paraId="56EA5642" w14:textId="77777777" w:rsidTr="00573539">
        <w:tc>
          <w:tcPr>
            <w:tcW w:w="812" w:type="dxa"/>
            <w:hideMark/>
          </w:tcPr>
          <w:p w14:paraId="17BB5612" w14:textId="77777777" w:rsidR="004B3A66" w:rsidRPr="00F647D7" w:rsidRDefault="004B3A66" w:rsidP="00573539">
            <w:pPr>
              <w:tabs>
                <w:tab w:val="clear" w:pos="567"/>
              </w:tabs>
              <w:spacing w:before="40" w:after="40"/>
              <w:rPr>
                <w:sz w:val="22"/>
              </w:rPr>
            </w:pPr>
            <w:r w:rsidRPr="00F647D7">
              <w:rPr>
                <w:sz w:val="22"/>
              </w:rPr>
              <w:t>156</w:t>
            </w:r>
          </w:p>
        </w:tc>
        <w:tc>
          <w:tcPr>
            <w:tcW w:w="8539" w:type="dxa"/>
            <w:hideMark/>
          </w:tcPr>
          <w:p w14:paraId="08E1BBB2" w14:textId="77777777" w:rsidR="004B3A66" w:rsidRPr="00F647D7" w:rsidRDefault="004B3A66" w:rsidP="00573539">
            <w:pPr>
              <w:tabs>
                <w:tab w:val="clear" w:pos="567"/>
              </w:tabs>
              <w:spacing w:before="40" w:after="40"/>
              <w:rPr>
                <w:sz w:val="22"/>
              </w:rPr>
            </w:pPr>
            <w:r w:rsidRPr="00F647D7">
              <w:rPr>
                <w:sz w:val="22"/>
              </w:rPr>
              <w:t xml:space="preserve">Trask S 2017, </w:t>
            </w:r>
            <w:hyperlink r:id="rId174" w:history="1">
              <w:r w:rsidRPr="00F647D7">
                <w:rPr>
                  <w:rStyle w:val="Hyperlink"/>
                  <w:sz w:val="22"/>
                </w:rPr>
                <w:t>Corrupt Agriculture Department official made $190,000 in secret sideline business</w:t>
              </w:r>
            </w:hyperlink>
            <w:r w:rsidRPr="00F647D7">
              <w:rPr>
                <w:sz w:val="22"/>
              </w:rPr>
              <w:t xml:space="preserve">, </w:t>
            </w:r>
            <w:r w:rsidRPr="00F647D7">
              <w:rPr>
                <w:i/>
                <w:sz w:val="22"/>
              </w:rPr>
              <w:t>The Canberra Times</w:t>
            </w:r>
            <w:r w:rsidRPr="00F647D7">
              <w:rPr>
                <w:sz w:val="22"/>
              </w:rPr>
              <w:t>, 23 September, accessed 1 November 2017.</w:t>
            </w:r>
          </w:p>
        </w:tc>
      </w:tr>
      <w:tr w:rsidR="004B3A66" w:rsidRPr="00F647D7" w14:paraId="3A92AA91" w14:textId="77777777" w:rsidTr="00573539">
        <w:tc>
          <w:tcPr>
            <w:tcW w:w="812" w:type="dxa"/>
            <w:hideMark/>
          </w:tcPr>
          <w:p w14:paraId="76FBFD76" w14:textId="77777777" w:rsidR="004B3A66" w:rsidRPr="00F647D7" w:rsidRDefault="004B3A66" w:rsidP="00573539">
            <w:pPr>
              <w:tabs>
                <w:tab w:val="clear" w:pos="567"/>
              </w:tabs>
              <w:spacing w:before="40" w:after="40"/>
              <w:rPr>
                <w:sz w:val="22"/>
              </w:rPr>
            </w:pPr>
            <w:r w:rsidRPr="00F647D7">
              <w:rPr>
                <w:sz w:val="22"/>
              </w:rPr>
              <w:t>157</w:t>
            </w:r>
          </w:p>
        </w:tc>
        <w:tc>
          <w:tcPr>
            <w:tcW w:w="8539" w:type="dxa"/>
            <w:hideMark/>
          </w:tcPr>
          <w:p w14:paraId="3C378FC1" w14:textId="77777777" w:rsidR="004B3A66" w:rsidRPr="00F647D7" w:rsidRDefault="004B3A66" w:rsidP="00573539">
            <w:pPr>
              <w:tabs>
                <w:tab w:val="clear" w:pos="567"/>
              </w:tabs>
              <w:spacing w:before="40" w:after="40"/>
              <w:rPr>
                <w:sz w:val="22"/>
              </w:rPr>
            </w:pPr>
            <w:r w:rsidRPr="00F647D7">
              <w:rPr>
                <w:sz w:val="22"/>
              </w:rPr>
              <w:t xml:space="preserve">McKenzie, N &amp; Baker R 2016, </w:t>
            </w:r>
            <w:hyperlink r:id="rId175" w:history="1">
              <w:r w:rsidRPr="00F647D7">
                <w:rPr>
                  <w:rStyle w:val="Hyperlink"/>
                  <w:sz w:val="22"/>
                </w:rPr>
                <w:t>Federal biosecurity officer allegedly trafficked speed</w:t>
              </w:r>
            </w:hyperlink>
            <w:r w:rsidRPr="00F647D7">
              <w:rPr>
                <w:sz w:val="22"/>
              </w:rPr>
              <w:t xml:space="preserve">, </w:t>
            </w:r>
            <w:r w:rsidRPr="00F647D7">
              <w:rPr>
                <w:i/>
                <w:sz w:val="22"/>
              </w:rPr>
              <w:t>The Age</w:t>
            </w:r>
            <w:r w:rsidRPr="00F647D7">
              <w:rPr>
                <w:sz w:val="22"/>
              </w:rPr>
              <w:t>, 31 August, accessed 1 November 2017.</w:t>
            </w:r>
          </w:p>
        </w:tc>
      </w:tr>
      <w:tr w:rsidR="004B3A66" w:rsidRPr="00F647D7" w14:paraId="03695170" w14:textId="77777777" w:rsidTr="00573539">
        <w:tc>
          <w:tcPr>
            <w:tcW w:w="812" w:type="dxa"/>
            <w:hideMark/>
          </w:tcPr>
          <w:p w14:paraId="27A65325" w14:textId="77777777" w:rsidR="004B3A66" w:rsidRPr="00F647D7" w:rsidRDefault="004B3A66" w:rsidP="00573539">
            <w:pPr>
              <w:tabs>
                <w:tab w:val="clear" w:pos="567"/>
              </w:tabs>
              <w:spacing w:before="40" w:after="40"/>
              <w:rPr>
                <w:sz w:val="22"/>
              </w:rPr>
            </w:pPr>
            <w:r w:rsidRPr="00F647D7">
              <w:rPr>
                <w:sz w:val="22"/>
              </w:rPr>
              <w:t>158</w:t>
            </w:r>
          </w:p>
        </w:tc>
        <w:tc>
          <w:tcPr>
            <w:tcW w:w="8539" w:type="dxa"/>
            <w:hideMark/>
          </w:tcPr>
          <w:p w14:paraId="32D07D72" w14:textId="77777777" w:rsidR="004B3A66" w:rsidRPr="00F647D7" w:rsidRDefault="004B3A66" w:rsidP="00573539">
            <w:pPr>
              <w:tabs>
                <w:tab w:val="clear" w:pos="567"/>
              </w:tabs>
              <w:spacing w:before="40" w:after="40"/>
              <w:rPr>
                <w:sz w:val="22"/>
              </w:rPr>
            </w:pPr>
            <w:r w:rsidRPr="00F647D7">
              <w:rPr>
                <w:sz w:val="22"/>
              </w:rPr>
              <w:t xml:space="preserve">Luthans K 2000, </w:t>
            </w:r>
            <w:hyperlink r:id="rId176" w:history="1">
              <w:r w:rsidRPr="00F647D7">
                <w:rPr>
                  <w:rStyle w:val="Hyperlink"/>
                  <w:sz w:val="22"/>
                </w:rPr>
                <w:t>Recognition: a powerful but often overlooked, leadership tool to improve employee performance</w:t>
              </w:r>
            </w:hyperlink>
            <w:r w:rsidRPr="00F647D7">
              <w:rPr>
                <w:sz w:val="22"/>
              </w:rPr>
              <w:t>,</w:t>
            </w:r>
            <w:r w:rsidRPr="00F647D7">
              <w:rPr>
                <w:i/>
                <w:iCs/>
                <w:sz w:val="22"/>
              </w:rPr>
              <w:t xml:space="preserve"> Journal of Leadership Studies</w:t>
            </w:r>
            <w:r w:rsidRPr="00F647D7">
              <w:rPr>
                <w:iCs/>
                <w:sz w:val="22"/>
              </w:rPr>
              <w:t xml:space="preserve">, vol. </w:t>
            </w:r>
            <w:r w:rsidRPr="00F647D7">
              <w:rPr>
                <w:sz w:val="22"/>
              </w:rPr>
              <w:t>7, no. 1, pp. 31–9.</w:t>
            </w:r>
          </w:p>
        </w:tc>
      </w:tr>
      <w:tr w:rsidR="004B3A66" w:rsidRPr="00F647D7" w14:paraId="51A13A91" w14:textId="77777777" w:rsidTr="00573539">
        <w:tc>
          <w:tcPr>
            <w:tcW w:w="812" w:type="dxa"/>
            <w:hideMark/>
          </w:tcPr>
          <w:p w14:paraId="7A65F30D" w14:textId="77777777" w:rsidR="004B3A66" w:rsidRPr="00F647D7" w:rsidRDefault="004B3A66" w:rsidP="00573539">
            <w:pPr>
              <w:tabs>
                <w:tab w:val="clear" w:pos="567"/>
              </w:tabs>
              <w:spacing w:before="40" w:after="40"/>
              <w:rPr>
                <w:sz w:val="22"/>
              </w:rPr>
            </w:pPr>
            <w:r w:rsidRPr="00F647D7">
              <w:rPr>
                <w:sz w:val="22"/>
              </w:rPr>
              <w:lastRenderedPageBreak/>
              <w:t>159</w:t>
            </w:r>
          </w:p>
        </w:tc>
        <w:tc>
          <w:tcPr>
            <w:tcW w:w="8539" w:type="dxa"/>
            <w:hideMark/>
          </w:tcPr>
          <w:p w14:paraId="342A30DC" w14:textId="77777777" w:rsidR="004B3A66" w:rsidRPr="00F647D7" w:rsidRDefault="004B3A66" w:rsidP="00573539">
            <w:pPr>
              <w:tabs>
                <w:tab w:val="clear" w:pos="567"/>
              </w:tabs>
              <w:spacing w:before="40" w:after="40"/>
              <w:rPr>
                <w:sz w:val="22"/>
              </w:rPr>
            </w:pPr>
            <w:r w:rsidRPr="00F647D7">
              <w:rPr>
                <w:sz w:val="22"/>
              </w:rPr>
              <w:t xml:space="preserve">Orr, K 2010, </w:t>
            </w:r>
            <w:hyperlink r:id="rId177" w:history="1">
              <w:r w:rsidRPr="00F647D7">
                <w:rPr>
                  <w:rStyle w:val="Hyperlink"/>
                  <w:sz w:val="22"/>
                </w:rPr>
                <w:t>Prawn farmers jailed for illegal imports</w:t>
              </w:r>
            </w:hyperlink>
            <w:r w:rsidRPr="00F647D7">
              <w:rPr>
                <w:sz w:val="22"/>
              </w:rPr>
              <w:t xml:space="preserve">, </w:t>
            </w:r>
            <w:r w:rsidRPr="00F647D7">
              <w:rPr>
                <w:i/>
                <w:sz w:val="22"/>
              </w:rPr>
              <w:t>ABC News</w:t>
            </w:r>
            <w:r w:rsidRPr="00F647D7">
              <w:rPr>
                <w:sz w:val="22"/>
              </w:rPr>
              <w:t>, ABC Queensland, 1 April, accessed 26 November 2017.</w:t>
            </w:r>
          </w:p>
        </w:tc>
      </w:tr>
      <w:tr w:rsidR="004B3A66" w:rsidRPr="00F647D7" w14:paraId="04CEC8F2" w14:textId="77777777" w:rsidTr="00573539">
        <w:tc>
          <w:tcPr>
            <w:tcW w:w="812" w:type="dxa"/>
            <w:hideMark/>
          </w:tcPr>
          <w:p w14:paraId="3150B3EE" w14:textId="77777777" w:rsidR="004B3A66" w:rsidRPr="00F647D7" w:rsidRDefault="004B3A66" w:rsidP="00573539">
            <w:pPr>
              <w:tabs>
                <w:tab w:val="clear" w:pos="567"/>
              </w:tabs>
              <w:spacing w:before="40" w:after="40"/>
              <w:rPr>
                <w:sz w:val="22"/>
              </w:rPr>
            </w:pPr>
            <w:r w:rsidRPr="00F647D7">
              <w:rPr>
                <w:sz w:val="22"/>
              </w:rPr>
              <w:t>160</w:t>
            </w:r>
          </w:p>
        </w:tc>
        <w:tc>
          <w:tcPr>
            <w:tcW w:w="8539" w:type="dxa"/>
            <w:hideMark/>
          </w:tcPr>
          <w:p w14:paraId="0013707B" w14:textId="77777777" w:rsidR="004B3A66" w:rsidRPr="00F647D7" w:rsidRDefault="004B3A66" w:rsidP="00573539">
            <w:pPr>
              <w:tabs>
                <w:tab w:val="clear" w:pos="567"/>
              </w:tabs>
              <w:spacing w:before="40" w:after="40"/>
              <w:rPr>
                <w:sz w:val="22"/>
              </w:rPr>
            </w:pPr>
            <w:r w:rsidRPr="00F647D7">
              <w:rPr>
                <w:sz w:val="22"/>
              </w:rPr>
              <w:t xml:space="preserve">O’Connell, L 2017, </w:t>
            </w:r>
            <w:hyperlink r:id="rId178" w:history="1">
              <w:r w:rsidRPr="00F647D7">
                <w:rPr>
                  <w:rStyle w:val="Hyperlink"/>
                  <w:sz w:val="22"/>
                </w:rPr>
                <w:t>Evidence to Rural and Regional Affairs and Transport References Committee (pdf 302kb)</w:t>
              </w:r>
            </w:hyperlink>
            <w:r w:rsidRPr="00F647D7">
              <w:rPr>
                <w:sz w:val="22"/>
              </w:rPr>
              <w:t>, Parliament of Australia, Canberra, 28 March, p. 11.</w:t>
            </w:r>
          </w:p>
        </w:tc>
      </w:tr>
      <w:tr w:rsidR="004B3A66" w:rsidRPr="00F647D7" w14:paraId="1293B5E5" w14:textId="77777777" w:rsidTr="00573539">
        <w:tc>
          <w:tcPr>
            <w:tcW w:w="812" w:type="dxa"/>
            <w:hideMark/>
          </w:tcPr>
          <w:p w14:paraId="0BFFB07A" w14:textId="77777777" w:rsidR="004B3A66" w:rsidRPr="00F647D7" w:rsidRDefault="004B3A66" w:rsidP="00573539">
            <w:pPr>
              <w:tabs>
                <w:tab w:val="clear" w:pos="567"/>
              </w:tabs>
              <w:spacing w:before="40" w:after="40"/>
              <w:rPr>
                <w:sz w:val="22"/>
              </w:rPr>
            </w:pPr>
            <w:r w:rsidRPr="00F647D7">
              <w:rPr>
                <w:sz w:val="22"/>
              </w:rPr>
              <w:t>161</w:t>
            </w:r>
          </w:p>
        </w:tc>
        <w:tc>
          <w:tcPr>
            <w:tcW w:w="8539" w:type="dxa"/>
            <w:hideMark/>
          </w:tcPr>
          <w:p w14:paraId="6B22012B" w14:textId="77777777" w:rsidR="004B3A66" w:rsidRPr="00F647D7" w:rsidRDefault="004B3A66" w:rsidP="00573539">
            <w:pPr>
              <w:tabs>
                <w:tab w:val="clear" w:pos="567"/>
              </w:tabs>
              <w:spacing w:before="40" w:after="40"/>
              <w:rPr>
                <w:sz w:val="22"/>
              </w:rPr>
            </w:pPr>
            <w:r w:rsidRPr="00F647D7">
              <w:rPr>
                <w:sz w:val="22"/>
              </w:rPr>
              <w:t xml:space="preserve">Thomas, H 2017, </w:t>
            </w:r>
            <w:hyperlink r:id="rId179" w:history="1">
              <w:r w:rsidRPr="00F647D7">
                <w:rPr>
                  <w:rStyle w:val="Hyperlink"/>
                  <w:sz w:val="22"/>
                </w:rPr>
                <w:t>Government learned of prawn infection along with the rest of us</w:t>
              </w:r>
            </w:hyperlink>
            <w:r w:rsidRPr="00F647D7">
              <w:rPr>
                <w:sz w:val="22"/>
              </w:rPr>
              <w:t xml:space="preserve">, </w:t>
            </w:r>
            <w:r w:rsidRPr="00F647D7">
              <w:rPr>
                <w:i/>
                <w:iCs/>
                <w:sz w:val="22"/>
              </w:rPr>
              <w:t>The Australian</w:t>
            </w:r>
            <w:r w:rsidRPr="00F647D7">
              <w:rPr>
                <w:sz w:val="22"/>
              </w:rPr>
              <w:t>, 10 February, accessed 11 July 2017.</w:t>
            </w:r>
          </w:p>
        </w:tc>
      </w:tr>
      <w:tr w:rsidR="004B3A66" w:rsidRPr="00F647D7" w14:paraId="31D1ADAB" w14:textId="77777777" w:rsidTr="00573539">
        <w:tc>
          <w:tcPr>
            <w:tcW w:w="812" w:type="dxa"/>
            <w:hideMark/>
          </w:tcPr>
          <w:p w14:paraId="47B5C96A" w14:textId="77777777" w:rsidR="004B3A66" w:rsidRPr="00F647D7" w:rsidRDefault="004B3A66" w:rsidP="00573539">
            <w:pPr>
              <w:tabs>
                <w:tab w:val="clear" w:pos="567"/>
              </w:tabs>
              <w:spacing w:before="40" w:after="40"/>
              <w:rPr>
                <w:sz w:val="22"/>
              </w:rPr>
            </w:pPr>
            <w:r w:rsidRPr="00F647D7">
              <w:rPr>
                <w:sz w:val="22"/>
              </w:rPr>
              <w:t>162</w:t>
            </w:r>
          </w:p>
        </w:tc>
        <w:tc>
          <w:tcPr>
            <w:tcW w:w="8539" w:type="dxa"/>
            <w:hideMark/>
          </w:tcPr>
          <w:p w14:paraId="23FCBC54" w14:textId="77777777" w:rsidR="004B3A66" w:rsidRPr="00F647D7" w:rsidRDefault="004B3A66" w:rsidP="00573539">
            <w:pPr>
              <w:tabs>
                <w:tab w:val="clear" w:pos="567"/>
              </w:tabs>
              <w:spacing w:before="40" w:after="40"/>
              <w:rPr>
                <w:sz w:val="22"/>
              </w:rPr>
            </w:pPr>
            <w:r w:rsidRPr="00F647D7">
              <w:rPr>
                <w:sz w:val="22"/>
              </w:rPr>
              <w:t xml:space="preserve">Moore, N 2017, </w:t>
            </w:r>
            <w:hyperlink r:id="rId180" w:history="1">
              <w:r w:rsidRPr="00F647D7">
                <w:rPr>
                  <w:rStyle w:val="Hyperlink"/>
                  <w:sz w:val="22"/>
                </w:rPr>
                <w:t>Evidence to Senate Rural and Regional Affairs and Transport References Committee</w:t>
              </w:r>
            </w:hyperlink>
            <w:r w:rsidRPr="00F647D7">
              <w:rPr>
                <w:sz w:val="22"/>
              </w:rPr>
              <w:t>, Parliament of Australia, Yatala, 27 June, p. 9, accessed 15 July 2017.</w:t>
            </w:r>
          </w:p>
        </w:tc>
      </w:tr>
      <w:tr w:rsidR="004B3A66" w:rsidRPr="00F647D7" w14:paraId="270099A3" w14:textId="77777777" w:rsidTr="00573539">
        <w:tc>
          <w:tcPr>
            <w:tcW w:w="812" w:type="dxa"/>
            <w:hideMark/>
          </w:tcPr>
          <w:p w14:paraId="54005A14" w14:textId="77777777" w:rsidR="004B3A66" w:rsidRPr="00F647D7" w:rsidRDefault="004B3A66" w:rsidP="00573539">
            <w:pPr>
              <w:tabs>
                <w:tab w:val="clear" w:pos="567"/>
              </w:tabs>
              <w:spacing w:before="40" w:after="40"/>
              <w:rPr>
                <w:sz w:val="22"/>
              </w:rPr>
            </w:pPr>
            <w:r w:rsidRPr="00F647D7">
              <w:rPr>
                <w:sz w:val="22"/>
              </w:rPr>
              <w:t>163</w:t>
            </w:r>
          </w:p>
        </w:tc>
        <w:tc>
          <w:tcPr>
            <w:tcW w:w="8539" w:type="dxa"/>
            <w:hideMark/>
          </w:tcPr>
          <w:p w14:paraId="2C8C8CC1" w14:textId="77777777" w:rsidR="004B3A66" w:rsidRPr="00F647D7" w:rsidRDefault="004B3A66" w:rsidP="00573539">
            <w:pPr>
              <w:tabs>
                <w:tab w:val="clear" w:pos="567"/>
              </w:tabs>
              <w:spacing w:before="40" w:after="40"/>
              <w:rPr>
                <w:sz w:val="22"/>
              </w:rPr>
            </w:pPr>
            <w:r w:rsidRPr="00F647D7">
              <w:rPr>
                <w:sz w:val="22"/>
              </w:rPr>
              <w:t xml:space="preserve">Ruston, A 2017, </w:t>
            </w:r>
            <w:hyperlink r:id="rId181" w:history="1">
              <w:r w:rsidRPr="00F647D7">
                <w:rPr>
                  <w:rStyle w:val="Hyperlink"/>
                  <w:sz w:val="22"/>
                </w:rPr>
                <w:t>Evidence to Rural and Regional Affairs and Transport Legislation Committee (pdf 1.4mb)</w:t>
              </w:r>
            </w:hyperlink>
            <w:r w:rsidRPr="00F647D7">
              <w:rPr>
                <w:sz w:val="22"/>
              </w:rPr>
              <w:t>, Parliament of Australia, Canberra, 28 February, p. 163.</w:t>
            </w:r>
          </w:p>
        </w:tc>
      </w:tr>
      <w:tr w:rsidR="004B3A66" w:rsidRPr="00F647D7" w14:paraId="15BC3EDD" w14:textId="77777777" w:rsidTr="00573539">
        <w:tc>
          <w:tcPr>
            <w:tcW w:w="812" w:type="dxa"/>
            <w:hideMark/>
          </w:tcPr>
          <w:p w14:paraId="5D12CDAB" w14:textId="77777777" w:rsidR="004B3A66" w:rsidRPr="00F647D7" w:rsidRDefault="004B3A66" w:rsidP="00573539">
            <w:pPr>
              <w:tabs>
                <w:tab w:val="clear" w:pos="567"/>
              </w:tabs>
              <w:spacing w:before="40" w:after="40"/>
              <w:rPr>
                <w:sz w:val="22"/>
              </w:rPr>
            </w:pPr>
            <w:r w:rsidRPr="00F647D7">
              <w:rPr>
                <w:sz w:val="22"/>
              </w:rPr>
              <w:t>164</w:t>
            </w:r>
          </w:p>
        </w:tc>
        <w:tc>
          <w:tcPr>
            <w:tcW w:w="8539" w:type="dxa"/>
            <w:hideMark/>
          </w:tcPr>
          <w:p w14:paraId="3568EF97" w14:textId="77777777" w:rsidR="004B3A66" w:rsidRPr="00F647D7" w:rsidRDefault="004B3A66" w:rsidP="00573539">
            <w:pPr>
              <w:tabs>
                <w:tab w:val="clear" w:pos="567"/>
              </w:tabs>
              <w:spacing w:before="40" w:after="40"/>
              <w:rPr>
                <w:sz w:val="22"/>
              </w:rPr>
            </w:pPr>
            <w:r w:rsidRPr="00F647D7">
              <w:rPr>
                <w:sz w:val="22"/>
              </w:rPr>
              <w:t xml:space="preserve">COAG 2012, </w:t>
            </w:r>
            <w:hyperlink r:id="rId182" w:history="1">
              <w:r w:rsidRPr="00F647D7">
                <w:rPr>
                  <w:rStyle w:val="Hyperlink"/>
                  <w:sz w:val="22"/>
                </w:rPr>
                <w:t>National Biosecurity Engagement and Communication Framework</w:t>
              </w:r>
            </w:hyperlink>
            <w:r w:rsidRPr="00F647D7">
              <w:rPr>
                <w:sz w:val="22"/>
              </w:rPr>
              <w:t>,</w:t>
            </w:r>
            <w:r w:rsidRPr="00F647D7">
              <w:rPr>
                <w:sz w:val="22"/>
                <w:u w:val="single"/>
              </w:rPr>
              <w:t xml:space="preserve"> </w:t>
            </w:r>
            <w:r w:rsidRPr="00F647D7">
              <w:rPr>
                <w:sz w:val="22"/>
                <w:lang w:val="en"/>
              </w:rPr>
              <w:t xml:space="preserve">Intergovernmental Agreement on Biosecurity, </w:t>
            </w:r>
            <w:r w:rsidRPr="00F647D7">
              <w:rPr>
                <w:sz w:val="22"/>
              </w:rPr>
              <w:t xml:space="preserve">Council of Australian Governments, </w:t>
            </w:r>
            <w:r w:rsidRPr="00F647D7">
              <w:rPr>
                <w:sz w:val="22"/>
                <w:lang w:val="en"/>
              </w:rPr>
              <w:t>13 January, accessed on 13 July 2017.</w:t>
            </w:r>
          </w:p>
        </w:tc>
      </w:tr>
      <w:tr w:rsidR="004B3A66" w:rsidRPr="00F647D7" w14:paraId="343DC801" w14:textId="77777777" w:rsidTr="00573539">
        <w:tc>
          <w:tcPr>
            <w:tcW w:w="812" w:type="dxa"/>
            <w:hideMark/>
          </w:tcPr>
          <w:p w14:paraId="71C450F1" w14:textId="77777777" w:rsidR="004B3A66" w:rsidRPr="00F647D7" w:rsidRDefault="004B3A66" w:rsidP="00573539">
            <w:pPr>
              <w:tabs>
                <w:tab w:val="clear" w:pos="567"/>
              </w:tabs>
              <w:spacing w:before="40" w:after="40"/>
              <w:rPr>
                <w:sz w:val="22"/>
              </w:rPr>
            </w:pPr>
            <w:r w:rsidRPr="00F647D7">
              <w:rPr>
                <w:sz w:val="22"/>
                <w:lang w:val="en"/>
              </w:rPr>
              <w:t>165</w:t>
            </w:r>
          </w:p>
        </w:tc>
        <w:tc>
          <w:tcPr>
            <w:tcW w:w="8539" w:type="dxa"/>
            <w:hideMark/>
          </w:tcPr>
          <w:p w14:paraId="13621149" w14:textId="77777777" w:rsidR="004B3A66" w:rsidRPr="00F647D7" w:rsidRDefault="004B3A66" w:rsidP="00573539">
            <w:pPr>
              <w:tabs>
                <w:tab w:val="clear" w:pos="567"/>
              </w:tabs>
              <w:spacing w:before="40" w:after="40"/>
              <w:rPr>
                <w:sz w:val="22"/>
              </w:rPr>
            </w:pPr>
            <w:r w:rsidRPr="00F647D7">
              <w:rPr>
                <w:sz w:val="22"/>
              </w:rPr>
              <w:t xml:space="preserve">O’Connell, L 2017, </w:t>
            </w:r>
            <w:hyperlink r:id="rId183" w:history="1">
              <w:r w:rsidRPr="00F647D7">
                <w:rPr>
                  <w:rStyle w:val="Hyperlink"/>
                  <w:sz w:val="22"/>
                </w:rPr>
                <w:t>Evidence to Rural and Regional Affairs and Transport Legislation Committee (pdf 1.24mb)</w:t>
              </w:r>
            </w:hyperlink>
            <w:r w:rsidRPr="00F647D7">
              <w:rPr>
                <w:sz w:val="22"/>
              </w:rPr>
              <w:t>, Canberra, 24 May, p. 30.</w:t>
            </w:r>
          </w:p>
        </w:tc>
      </w:tr>
      <w:tr w:rsidR="004B3A66" w:rsidRPr="00F647D7" w14:paraId="5110F03F" w14:textId="77777777" w:rsidTr="00573539">
        <w:tc>
          <w:tcPr>
            <w:tcW w:w="812" w:type="dxa"/>
            <w:hideMark/>
          </w:tcPr>
          <w:p w14:paraId="412EA7D4" w14:textId="77777777" w:rsidR="004B3A66" w:rsidRPr="00F647D7" w:rsidRDefault="004B3A66" w:rsidP="00573539">
            <w:pPr>
              <w:tabs>
                <w:tab w:val="clear" w:pos="567"/>
              </w:tabs>
              <w:spacing w:before="40" w:after="40"/>
              <w:rPr>
                <w:sz w:val="22"/>
              </w:rPr>
            </w:pPr>
            <w:r w:rsidRPr="00F647D7">
              <w:rPr>
                <w:sz w:val="22"/>
              </w:rPr>
              <w:t>166</w:t>
            </w:r>
          </w:p>
        </w:tc>
        <w:tc>
          <w:tcPr>
            <w:tcW w:w="8539" w:type="dxa"/>
            <w:hideMark/>
          </w:tcPr>
          <w:p w14:paraId="35E94536" w14:textId="77777777" w:rsidR="004B3A66" w:rsidRPr="00F647D7" w:rsidRDefault="004B3A66" w:rsidP="00573539">
            <w:pPr>
              <w:tabs>
                <w:tab w:val="clear" w:pos="567"/>
              </w:tabs>
              <w:spacing w:before="40" w:after="40"/>
              <w:rPr>
                <w:sz w:val="22"/>
              </w:rPr>
            </w:pPr>
            <w:r w:rsidRPr="00F647D7">
              <w:rPr>
                <w:sz w:val="22"/>
              </w:rPr>
              <w:t xml:space="preserve">Commonwealth of Australia 2015, </w:t>
            </w:r>
            <w:hyperlink r:id="rId184" w:history="1">
              <w:r w:rsidRPr="00F647D7">
                <w:rPr>
                  <w:rStyle w:val="Hyperlink"/>
                  <w:sz w:val="22"/>
                </w:rPr>
                <w:t>Agricultural Competitiveness White Paper</w:t>
              </w:r>
            </w:hyperlink>
            <w:r w:rsidRPr="00F647D7">
              <w:rPr>
                <w:sz w:val="22"/>
              </w:rPr>
              <w:t>, Canberra, accessed 12 July 2017.</w:t>
            </w:r>
          </w:p>
        </w:tc>
      </w:tr>
      <w:tr w:rsidR="004B3A66" w:rsidRPr="00F647D7" w14:paraId="166C8E9E" w14:textId="77777777" w:rsidTr="00573539">
        <w:tc>
          <w:tcPr>
            <w:tcW w:w="812" w:type="dxa"/>
            <w:hideMark/>
          </w:tcPr>
          <w:p w14:paraId="11DD939B" w14:textId="77777777" w:rsidR="004B3A66" w:rsidRPr="00F647D7" w:rsidRDefault="004B3A66" w:rsidP="00573539">
            <w:pPr>
              <w:tabs>
                <w:tab w:val="clear" w:pos="567"/>
              </w:tabs>
              <w:spacing w:before="40" w:after="40"/>
              <w:rPr>
                <w:sz w:val="22"/>
              </w:rPr>
            </w:pPr>
            <w:r w:rsidRPr="00F647D7">
              <w:rPr>
                <w:sz w:val="22"/>
              </w:rPr>
              <w:t>167</w:t>
            </w:r>
          </w:p>
        </w:tc>
        <w:tc>
          <w:tcPr>
            <w:tcW w:w="8539" w:type="dxa"/>
            <w:hideMark/>
          </w:tcPr>
          <w:p w14:paraId="7C74584D" w14:textId="77777777" w:rsidR="004B3A66" w:rsidRPr="00F647D7" w:rsidRDefault="004B3A66" w:rsidP="00573539">
            <w:pPr>
              <w:tabs>
                <w:tab w:val="clear" w:pos="567"/>
              </w:tabs>
              <w:spacing w:before="40" w:after="40"/>
              <w:rPr>
                <w:sz w:val="22"/>
              </w:rPr>
            </w:pPr>
            <w:r w:rsidRPr="00F647D7">
              <w:rPr>
                <w:sz w:val="22"/>
              </w:rPr>
              <w:t xml:space="preserve">Department of Agriculture and Water Resources 2017, </w:t>
            </w:r>
            <w:hyperlink r:id="rId185" w:history="1">
              <w:r w:rsidRPr="00F647D7">
                <w:rPr>
                  <w:rStyle w:val="Hyperlink"/>
                  <w:sz w:val="22"/>
                </w:rPr>
                <w:t>Biosecurity advanced analytics capability</w:t>
              </w:r>
            </w:hyperlink>
            <w:r w:rsidRPr="00F647D7">
              <w:rPr>
                <w:sz w:val="22"/>
              </w:rPr>
              <w:t>, Canberra, accessed 12 July 2017.</w:t>
            </w:r>
          </w:p>
        </w:tc>
      </w:tr>
      <w:tr w:rsidR="004B3A66" w:rsidRPr="00F647D7" w14:paraId="04D85A08" w14:textId="77777777" w:rsidTr="00573539">
        <w:tc>
          <w:tcPr>
            <w:tcW w:w="812" w:type="dxa"/>
            <w:hideMark/>
          </w:tcPr>
          <w:p w14:paraId="5DA7F4A0" w14:textId="77777777" w:rsidR="004B3A66" w:rsidRPr="00F647D7" w:rsidRDefault="004B3A66" w:rsidP="00573539">
            <w:pPr>
              <w:tabs>
                <w:tab w:val="clear" w:pos="567"/>
              </w:tabs>
              <w:spacing w:before="40" w:after="40"/>
              <w:rPr>
                <w:sz w:val="22"/>
              </w:rPr>
            </w:pPr>
            <w:r w:rsidRPr="00F647D7">
              <w:rPr>
                <w:sz w:val="22"/>
              </w:rPr>
              <w:t>168</w:t>
            </w:r>
          </w:p>
        </w:tc>
        <w:tc>
          <w:tcPr>
            <w:tcW w:w="8539" w:type="dxa"/>
            <w:hideMark/>
          </w:tcPr>
          <w:p w14:paraId="0F6084EE" w14:textId="77777777" w:rsidR="004B3A66" w:rsidRPr="00F647D7" w:rsidRDefault="004B3A66" w:rsidP="00573539">
            <w:pPr>
              <w:tabs>
                <w:tab w:val="clear" w:pos="567"/>
              </w:tabs>
              <w:spacing w:before="40" w:after="40"/>
              <w:rPr>
                <w:sz w:val="22"/>
              </w:rPr>
            </w:pPr>
            <w:r w:rsidRPr="00F647D7">
              <w:rPr>
                <w:sz w:val="22"/>
              </w:rPr>
              <w:t xml:space="preserve">Crockford, M 2008, </w:t>
            </w:r>
            <w:hyperlink r:id="rId186" w:history="1">
              <w:r w:rsidRPr="00F647D7">
                <w:rPr>
                  <w:rStyle w:val="Hyperlink"/>
                  <w:sz w:val="22"/>
                </w:rPr>
                <w:t>Australian and New Zealand standard diagnostic procedures: white spot disease</w:t>
              </w:r>
            </w:hyperlink>
            <w:r w:rsidRPr="00F647D7">
              <w:rPr>
                <w:sz w:val="22"/>
              </w:rPr>
              <w:t>, Department of Agriculture, Fisheries and Forestry, Canberra, accessed 15 May 2017.</w:t>
            </w:r>
          </w:p>
        </w:tc>
      </w:tr>
      <w:tr w:rsidR="004B3A66" w:rsidRPr="00F647D7" w14:paraId="1B6C2B44" w14:textId="77777777" w:rsidTr="00573539">
        <w:tc>
          <w:tcPr>
            <w:tcW w:w="812" w:type="dxa"/>
            <w:hideMark/>
          </w:tcPr>
          <w:p w14:paraId="7B02A7E4" w14:textId="77777777" w:rsidR="004B3A66" w:rsidRPr="00F647D7" w:rsidRDefault="004B3A66" w:rsidP="00573539">
            <w:pPr>
              <w:tabs>
                <w:tab w:val="clear" w:pos="567"/>
              </w:tabs>
              <w:spacing w:before="40" w:after="40"/>
              <w:rPr>
                <w:sz w:val="22"/>
              </w:rPr>
            </w:pPr>
            <w:r w:rsidRPr="00F647D7">
              <w:rPr>
                <w:sz w:val="22"/>
              </w:rPr>
              <w:t>169</w:t>
            </w:r>
          </w:p>
        </w:tc>
        <w:tc>
          <w:tcPr>
            <w:tcW w:w="8539" w:type="dxa"/>
            <w:hideMark/>
          </w:tcPr>
          <w:p w14:paraId="2FEFBE81" w14:textId="77777777" w:rsidR="004B3A66" w:rsidRPr="00F647D7" w:rsidRDefault="004B3A66" w:rsidP="00573539">
            <w:pPr>
              <w:tabs>
                <w:tab w:val="clear" w:pos="567"/>
              </w:tabs>
              <w:spacing w:before="40" w:after="40"/>
              <w:rPr>
                <w:sz w:val="22"/>
              </w:rPr>
            </w:pPr>
            <w:r w:rsidRPr="00F647D7">
              <w:rPr>
                <w:sz w:val="22"/>
              </w:rPr>
              <w:t xml:space="preserve">National Association of Testing Authorities 2013, </w:t>
            </w:r>
            <w:hyperlink r:id="rId187" w:history="1">
              <w:r w:rsidRPr="00F647D7">
                <w:rPr>
                  <w:rStyle w:val="Hyperlink"/>
                  <w:sz w:val="22"/>
                </w:rPr>
                <w:t>Guidelines for the validation and verification of quantitative and qualitative test methods (pdf 522.75kb)</w:t>
              </w:r>
            </w:hyperlink>
            <w:r w:rsidRPr="00F647D7">
              <w:rPr>
                <w:sz w:val="22"/>
              </w:rPr>
              <w:t>, technical note 17, Sydney, October.</w:t>
            </w:r>
          </w:p>
        </w:tc>
      </w:tr>
      <w:tr w:rsidR="004B3A66" w:rsidRPr="00F647D7" w14:paraId="29436992" w14:textId="77777777" w:rsidTr="00573539">
        <w:tc>
          <w:tcPr>
            <w:tcW w:w="812" w:type="dxa"/>
            <w:hideMark/>
          </w:tcPr>
          <w:p w14:paraId="1FC47F5C" w14:textId="77777777" w:rsidR="004B3A66" w:rsidRPr="00F647D7" w:rsidRDefault="004B3A66" w:rsidP="00573539">
            <w:pPr>
              <w:tabs>
                <w:tab w:val="clear" w:pos="567"/>
              </w:tabs>
              <w:spacing w:before="40" w:after="40"/>
              <w:rPr>
                <w:sz w:val="22"/>
              </w:rPr>
            </w:pPr>
            <w:r w:rsidRPr="00F647D7">
              <w:rPr>
                <w:sz w:val="22"/>
                <w:lang w:val="en"/>
              </w:rPr>
              <w:t>170</w:t>
            </w:r>
          </w:p>
        </w:tc>
        <w:tc>
          <w:tcPr>
            <w:tcW w:w="8539" w:type="dxa"/>
            <w:hideMark/>
          </w:tcPr>
          <w:p w14:paraId="5056B3FA" w14:textId="77777777" w:rsidR="004B3A66" w:rsidRPr="00F647D7" w:rsidRDefault="004B3A66" w:rsidP="00573539">
            <w:pPr>
              <w:tabs>
                <w:tab w:val="clear" w:pos="567"/>
              </w:tabs>
              <w:spacing w:before="40" w:after="40"/>
              <w:rPr>
                <w:sz w:val="22"/>
              </w:rPr>
            </w:pPr>
            <w:r w:rsidRPr="00F647D7">
              <w:rPr>
                <w:sz w:val="22"/>
              </w:rPr>
              <w:t xml:space="preserve">ANQAP n.d., </w:t>
            </w:r>
            <w:hyperlink r:id="rId188" w:history="1">
              <w:r w:rsidRPr="00F647D7">
                <w:rPr>
                  <w:rStyle w:val="Hyperlink"/>
                  <w:sz w:val="22"/>
                </w:rPr>
                <w:t>Australian National Quality Assurance Program</w:t>
              </w:r>
            </w:hyperlink>
            <w:r w:rsidRPr="00F647D7">
              <w:rPr>
                <w:sz w:val="22"/>
              </w:rPr>
              <w:t>, Department of Economic Development, Jobs, Transport and Resources, Melbourne, accessed 24 May 2017.</w:t>
            </w:r>
          </w:p>
        </w:tc>
      </w:tr>
      <w:tr w:rsidR="004B3A66" w:rsidRPr="00F647D7" w14:paraId="0183DA5E" w14:textId="77777777" w:rsidTr="00573539">
        <w:tc>
          <w:tcPr>
            <w:tcW w:w="812" w:type="dxa"/>
            <w:hideMark/>
          </w:tcPr>
          <w:p w14:paraId="1A35C129" w14:textId="77777777" w:rsidR="004B3A66" w:rsidRPr="00F647D7" w:rsidRDefault="004B3A66" w:rsidP="00573539">
            <w:pPr>
              <w:tabs>
                <w:tab w:val="clear" w:pos="567"/>
              </w:tabs>
              <w:spacing w:before="40" w:after="40"/>
              <w:rPr>
                <w:sz w:val="22"/>
              </w:rPr>
            </w:pPr>
            <w:r w:rsidRPr="00F647D7">
              <w:rPr>
                <w:sz w:val="22"/>
              </w:rPr>
              <w:t>171</w:t>
            </w:r>
          </w:p>
        </w:tc>
        <w:tc>
          <w:tcPr>
            <w:tcW w:w="8539" w:type="dxa"/>
            <w:hideMark/>
          </w:tcPr>
          <w:p w14:paraId="1B400170" w14:textId="77777777" w:rsidR="004B3A66" w:rsidRPr="00F647D7" w:rsidRDefault="004B3A66" w:rsidP="00573539">
            <w:pPr>
              <w:tabs>
                <w:tab w:val="clear" w:pos="567"/>
              </w:tabs>
              <w:spacing w:before="40" w:after="40"/>
              <w:rPr>
                <w:sz w:val="22"/>
              </w:rPr>
            </w:pPr>
            <w:r w:rsidRPr="00F647D7">
              <w:rPr>
                <w:sz w:val="22"/>
              </w:rPr>
              <w:t>Claydon, K, Cullen, B &amp; Owens, L 2004,</w:t>
            </w:r>
            <w:r w:rsidRPr="00F647D7">
              <w:rPr>
                <w:i/>
                <w:sz w:val="22"/>
              </w:rPr>
              <w:t xml:space="preserve"> </w:t>
            </w:r>
            <w:hyperlink r:id="rId189" w:history="1">
              <w:r w:rsidRPr="00F647D7">
                <w:rPr>
                  <w:rStyle w:val="Hyperlink"/>
                  <w:sz w:val="22"/>
                </w:rPr>
                <w:t>OIE white spot syndrome virus PCR gives false-positive results in Cherax quadricarinatus</w:t>
              </w:r>
            </w:hyperlink>
            <w:r w:rsidRPr="00F647D7">
              <w:rPr>
                <w:sz w:val="22"/>
              </w:rPr>
              <w:t>,</w:t>
            </w:r>
            <w:r w:rsidRPr="00F647D7">
              <w:rPr>
                <w:i/>
                <w:sz w:val="22"/>
              </w:rPr>
              <w:t xml:space="preserve"> Diseases of Aquatic Organism</w:t>
            </w:r>
            <w:r w:rsidRPr="00F647D7">
              <w:rPr>
                <w:sz w:val="22"/>
              </w:rPr>
              <w:t>, vol. 62, pp. 265–8, doi: 10.3354/dao062265.</w:t>
            </w:r>
          </w:p>
        </w:tc>
      </w:tr>
      <w:tr w:rsidR="004B3A66" w:rsidRPr="00F647D7" w14:paraId="09CC5822" w14:textId="77777777" w:rsidTr="00573539">
        <w:tc>
          <w:tcPr>
            <w:tcW w:w="812" w:type="dxa"/>
            <w:hideMark/>
          </w:tcPr>
          <w:p w14:paraId="3A5CEFDC" w14:textId="77777777" w:rsidR="004B3A66" w:rsidRPr="00F647D7" w:rsidRDefault="004B3A66" w:rsidP="00573539">
            <w:pPr>
              <w:tabs>
                <w:tab w:val="clear" w:pos="567"/>
              </w:tabs>
              <w:spacing w:before="40" w:after="40"/>
              <w:rPr>
                <w:sz w:val="22"/>
              </w:rPr>
            </w:pPr>
            <w:r w:rsidRPr="00F647D7">
              <w:rPr>
                <w:sz w:val="22"/>
                <w:lang w:val="en"/>
              </w:rPr>
              <w:t>172</w:t>
            </w:r>
          </w:p>
        </w:tc>
        <w:tc>
          <w:tcPr>
            <w:tcW w:w="8539" w:type="dxa"/>
            <w:hideMark/>
          </w:tcPr>
          <w:p w14:paraId="1A6AAF1B" w14:textId="77777777" w:rsidR="004B3A66" w:rsidRPr="00F647D7" w:rsidRDefault="004B3A66" w:rsidP="00573539">
            <w:pPr>
              <w:tabs>
                <w:tab w:val="clear" w:pos="567"/>
              </w:tabs>
              <w:spacing w:before="40" w:after="40"/>
              <w:rPr>
                <w:sz w:val="22"/>
              </w:rPr>
            </w:pPr>
            <w:r w:rsidRPr="00F647D7">
              <w:rPr>
                <w:sz w:val="22"/>
              </w:rPr>
              <w:t xml:space="preserve">Anderson, IG, Prior, HC, Rodwell, BJ &amp; Harris, GO 1993, </w:t>
            </w:r>
            <w:hyperlink r:id="rId190" w:history="1">
              <w:r w:rsidRPr="00F647D7">
                <w:rPr>
                  <w:rStyle w:val="Hyperlink"/>
                  <w:sz w:val="22"/>
                </w:rPr>
                <w:t>Iridovirus‐like virions in imported dwarf gourami (Colisa lalia) with systemic amoebiasis</w:t>
              </w:r>
            </w:hyperlink>
            <w:r w:rsidRPr="00F647D7">
              <w:rPr>
                <w:sz w:val="22"/>
              </w:rPr>
              <w:t xml:space="preserve">, </w:t>
            </w:r>
            <w:r w:rsidRPr="00F647D7">
              <w:rPr>
                <w:i/>
                <w:iCs/>
                <w:sz w:val="22"/>
              </w:rPr>
              <w:t>Australian Veterinary Journal</w:t>
            </w:r>
            <w:r w:rsidRPr="00F647D7">
              <w:rPr>
                <w:sz w:val="22"/>
              </w:rPr>
              <w:t>, vol. 70, no. 2, pp. 66–67, doi: 10.1111/j.1751-0813.1993.tb15144.x.</w:t>
            </w:r>
          </w:p>
        </w:tc>
      </w:tr>
      <w:tr w:rsidR="004B3A66" w:rsidRPr="00F647D7" w14:paraId="66DF4EEA" w14:textId="77777777" w:rsidTr="00573539">
        <w:tc>
          <w:tcPr>
            <w:tcW w:w="812" w:type="dxa"/>
            <w:hideMark/>
          </w:tcPr>
          <w:p w14:paraId="7F5DC21A" w14:textId="77777777" w:rsidR="004B3A66" w:rsidRPr="00F647D7" w:rsidRDefault="004B3A66" w:rsidP="00573539">
            <w:pPr>
              <w:tabs>
                <w:tab w:val="clear" w:pos="567"/>
              </w:tabs>
              <w:spacing w:before="40" w:after="40"/>
              <w:rPr>
                <w:sz w:val="22"/>
              </w:rPr>
            </w:pPr>
            <w:r w:rsidRPr="00F647D7">
              <w:rPr>
                <w:sz w:val="22"/>
              </w:rPr>
              <w:t>173</w:t>
            </w:r>
          </w:p>
        </w:tc>
        <w:tc>
          <w:tcPr>
            <w:tcW w:w="8539" w:type="dxa"/>
            <w:hideMark/>
          </w:tcPr>
          <w:p w14:paraId="4AEC50A9" w14:textId="77777777" w:rsidR="004B3A66" w:rsidRPr="00F647D7" w:rsidRDefault="004B3A66" w:rsidP="00573539">
            <w:pPr>
              <w:tabs>
                <w:tab w:val="clear" w:pos="567"/>
              </w:tabs>
              <w:spacing w:before="40" w:after="40"/>
              <w:rPr>
                <w:sz w:val="22"/>
              </w:rPr>
            </w:pPr>
            <w:r w:rsidRPr="00F647D7">
              <w:rPr>
                <w:sz w:val="22"/>
              </w:rPr>
              <w:t xml:space="preserve">Go, J, Lancaster, M, Deece, K, Dhungyel, O &amp; Whittington, R 2006, </w:t>
            </w:r>
            <w:hyperlink r:id="rId191" w:history="1">
              <w:r w:rsidRPr="00F647D7">
                <w:rPr>
                  <w:rStyle w:val="Hyperlink"/>
                  <w:sz w:val="22"/>
                </w:rPr>
                <w:t>The molecular epidemiology of iridovirus in Murray cod (Maccullochella peelii peelii) and dwarf gourami (Colisa lalia) from distant biogeographical regions suggests a link between trade in ornamental fish and emerging iridoviral diseases</w:t>
              </w:r>
            </w:hyperlink>
            <w:r w:rsidRPr="00F647D7">
              <w:rPr>
                <w:sz w:val="22"/>
              </w:rPr>
              <w:t xml:space="preserve">, </w:t>
            </w:r>
            <w:r w:rsidRPr="00F647D7">
              <w:rPr>
                <w:i/>
                <w:iCs/>
                <w:sz w:val="22"/>
              </w:rPr>
              <w:t>Molecular and Cellular Probes</w:t>
            </w:r>
            <w:r w:rsidRPr="00F647D7">
              <w:rPr>
                <w:sz w:val="22"/>
              </w:rPr>
              <w:t>, vol. 20, no. 3, pp. 212–22, doi: 10.1016/j.mcp.2005.12.002.</w:t>
            </w:r>
          </w:p>
        </w:tc>
      </w:tr>
      <w:tr w:rsidR="004B3A66" w:rsidRPr="00F647D7" w14:paraId="132E3DA1" w14:textId="77777777" w:rsidTr="00573539">
        <w:tc>
          <w:tcPr>
            <w:tcW w:w="812" w:type="dxa"/>
            <w:hideMark/>
          </w:tcPr>
          <w:p w14:paraId="1FE359F3" w14:textId="77777777" w:rsidR="004B3A66" w:rsidRPr="00F647D7" w:rsidRDefault="004B3A66" w:rsidP="00573539">
            <w:pPr>
              <w:tabs>
                <w:tab w:val="clear" w:pos="567"/>
              </w:tabs>
              <w:spacing w:before="40" w:after="40"/>
              <w:rPr>
                <w:sz w:val="22"/>
              </w:rPr>
            </w:pPr>
            <w:r w:rsidRPr="00F647D7">
              <w:rPr>
                <w:sz w:val="22"/>
              </w:rPr>
              <w:t>174</w:t>
            </w:r>
          </w:p>
        </w:tc>
        <w:tc>
          <w:tcPr>
            <w:tcW w:w="8539" w:type="dxa"/>
            <w:hideMark/>
          </w:tcPr>
          <w:p w14:paraId="6FFE8B2D" w14:textId="77777777" w:rsidR="004B3A66" w:rsidRPr="00F647D7" w:rsidRDefault="004B3A66" w:rsidP="00573539">
            <w:pPr>
              <w:tabs>
                <w:tab w:val="clear" w:pos="567"/>
              </w:tabs>
              <w:spacing w:before="40" w:after="40"/>
              <w:rPr>
                <w:sz w:val="22"/>
              </w:rPr>
            </w:pPr>
            <w:r w:rsidRPr="00F647D7">
              <w:rPr>
                <w:sz w:val="22"/>
              </w:rPr>
              <w:t xml:space="preserve">Crane, M &amp; Slater, J 2016, </w:t>
            </w:r>
            <w:hyperlink r:id="rId192" w:history="1">
              <w:r w:rsidRPr="00F647D7">
                <w:rPr>
                  <w:rStyle w:val="Hyperlink"/>
                  <w:sz w:val="22"/>
                </w:rPr>
                <w:t>Aquatic Animal Health Subprogram: strategic planning, project management and adoption (pdf 417kb)</w:t>
              </w:r>
            </w:hyperlink>
            <w:r w:rsidRPr="00F647D7">
              <w:rPr>
                <w:sz w:val="22"/>
              </w:rPr>
              <w:t>, FRDC project no. 2012-001, Fisheries Research and Development Corporation, Canberra and CSIRO Australian Animal Health Laboratory, Geelong.</w:t>
            </w:r>
          </w:p>
        </w:tc>
      </w:tr>
      <w:tr w:rsidR="004B3A66" w:rsidRPr="00F647D7" w14:paraId="30ADE7B5" w14:textId="77777777" w:rsidTr="00573539">
        <w:tc>
          <w:tcPr>
            <w:tcW w:w="812" w:type="dxa"/>
            <w:hideMark/>
          </w:tcPr>
          <w:p w14:paraId="6FFEFBC3" w14:textId="77777777" w:rsidR="004B3A66" w:rsidRPr="00F647D7" w:rsidRDefault="004B3A66" w:rsidP="00573539">
            <w:pPr>
              <w:tabs>
                <w:tab w:val="clear" w:pos="567"/>
              </w:tabs>
              <w:spacing w:before="40" w:after="40"/>
              <w:rPr>
                <w:sz w:val="22"/>
                <w:lang w:val="en"/>
              </w:rPr>
            </w:pPr>
            <w:r w:rsidRPr="00F647D7">
              <w:rPr>
                <w:sz w:val="22"/>
              </w:rPr>
              <w:t>175</w:t>
            </w:r>
          </w:p>
        </w:tc>
        <w:tc>
          <w:tcPr>
            <w:tcW w:w="8539" w:type="dxa"/>
            <w:hideMark/>
          </w:tcPr>
          <w:p w14:paraId="240D6379" w14:textId="77777777" w:rsidR="004B3A66" w:rsidRPr="00F647D7" w:rsidRDefault="004B3A66" w:rsidP="00573539">
            <w:pPr>
              <w:tabs>
                <w:tab w:val="clear" w:pos="567"/>
              </w:tabs>
              <w:spacing w:before="40" w:after="40"/>
              <w:rPr>
                <w:sz w:val="22"/>
                <w:lang w:val="en"/>
              </w:rPr>
            </w:pPr>
            <w:r w:rsidRPr="00F647D7">
              <w:rPr>
                <w:sz w:val="22"/>
                <w:lang w:val="en"/>
              </w:rPr>
              <w:t>Department of Agriculture</w:t>
            </w:r>
            <w:r w:rsidRPr="00F647D7">
              <w:rPr>
                <w:sz w:val="22"/>
              </w:rPr>
              <w:t xml:space="preserve"> and Water Resources 2015, </w:t>
            </w:r>
            <w:hyperlink r:id="rId193" w:history="1">
              <w:r w:rsidRPr="00F647D7">
                <w:rPr>
                  <w:rStyle w:val="Hyperlink"/>
                  <w:sz w:val="22"/>
                </w:rPr>
                <w:t>Disease strategy: infection with ostreid herpesvirus-1 microvariant (version 1.0) (pdf 1.28mb)</w:t>
              </w:r>
            </w:hyperlink>
            <w:r w:rsidRPr="00F647D7">
              <w:rPr>
                <w:sz w:val="22"/>
              </w:rPr>
              <w:t xml:space="preserve">, in </w:t>
            </w:r>
            <w:r w:rsidRPr="00F647D7">
              <w:rPr>
                <w:i/>
                <w:iCs/>
                <w:sz w:val="22"/>
              </w:rPr>
              <w:t>Australian Aquatic Veterinary Emergency Plan (AQUAVETPLAN)</w:t>
            </w:r>
            <w:r w:rsidRPr="00F647D7">
              <w:rPr>
                <w:sz w:val="22"/>
              </w:rPr>
              <w:t>, Canberra.</w:t>
            </w:r>
          </w:p>
        </w:tc>
      </w:tr>
      <w:tr w:rsidR="004B3A66" w:rsidRPr="00F647D7" w14:paraId="7547FB92" w14:textId="77777777" w:rsidTr="00573539">
        <w:tc>
          <w:tcPr>
            <w:tcW w:w="812" w:type="dxa"/>
            <w:hideMark/>
          </w:tcPr>
          <w:p w14:paraId="1A9EE0ED" w14:textId="77777777" w:rsidR="004B3A66" w:rsidRPr="00F647D7" w:rsidRDefault="004B3A66" w:rsidP="00573539">
            <w:pPr>
              <w:tabs>
                <w:tab w:val="clear" w:pos="567"/>
              </w:tabs>
              <w:spacing w:before="40" w:after="40"/>
              <w:rPr>
                <w:sz w:val="22"/>
              </w:rPr>
            </w:pPr>
            <w:r w:rsidRPr="00F647D7">
              <w:rPr>
                <w:sz w:val="22"/>
              </w:rPr>
              <w:t>176</w:t>
            </w:r>
          </w:p>
        </w:tc>
        <w:tc>
          <w:tcPr>
            <w:tcW w:w="8539" w:type="dxa"/>
            <w:hideMark/>
          </w:tcPr>
          <w:p w14:paraId="5C27933A" w14:textId="77777777" w:rsidR="004B3A66" w:rsidRPr="00F647D7" w:rsidRDefault="004B3A66" w:rsidP="00573539">
            <w:pPr>
              <w:tabs>
                <w:tab w:val="clear" w:pos="567"/>
              </w:tabs>
              <w:spacing w:before="40" w:after="40"/>
              <w:rPr>
                <w:sz w:val="22"/>
              </w:rPr>
            </w:pPr>
            <w:r w:rsidRPr="00F647D7">
              <w:rPr>
                <w:sz w:val="22"/>
              </w:rPr>
              <w:t xml:space="preserve">Goncalves, P, Raftos, D, Jones, D, Anderson, K, Jones, B &amp; Snow, M 2017, </w:t>
            </w:r>
            <w:hyperlink r:id="rId194" w:history="1">
              <w:r w:rsidRPr="00F647D7">
                <w:rPr>
                  <w:rStyle w:val="Hyperlink"/>
                  <w:sz w:val="22"/>
                </w:rPr>
                <w:t>Identifying the cause of oyster oedema disease (OOD) in pearl oysters (Pinctada maxima), and developing diagnostic tests for OOD</w:t>
              </w:r>
            </w:hyperlink>
            <w:r w:rsidRPr="00F647D7">
              <w:rPr>
                <w:iCs/>
                <w:sz w:val="22"/>
              </w:rPr>
              <w:t>,</w:t>
            </w:r>
            <w:r w:rsidRPr="00F647D7">
              <w:rPr>
                <w:i/>
                <w:iCs/>
                <w:sz w:val="22"/>
              </w:rPr>
              <w:t xml:space="preserve"> </w:t>
            </w:r>
            <w:r w:rsidRPr="00F647D7">
              <w:rPr>
                <w:iCs/>
                <w:sz w:val="22"/>
              </w:rPr>
              <w:t xml:space="preserve">FRDC </w:t>
            </w:r>
            <w:r w:rsidRPr="00F647D7">
              <w:rPr>
                <w:sz w:val="22"/>
              </w:rPr>
              <w:t>final report 2013-002-DLD, Fisheries Research and Development Corporation, Canberra.</w:t>
            </w:r>
          </w:p>
        </w:tc>
      </w:tr>
      <w:tr w:rsidR="004B3A66" w:rsidRPr="00F647D7" w14:paraId="4E15472E" w14:textId="77777777" w:rsidTr="00573539">
        <w:tc>
          <w:tcPr>
            <w:tcW w:w="812" w:type="dxa"/>
            <w:hideMark/>
          </w:tcPr>
          <w:p w14:paraId="658B18A2" w14:textId="77777777" w:rsidR="004B3A66" w:rsidRPr="00F647D7" w:rsidRDefault="004B3A66" w:rsidP="00573539">
            <w:pPr>
              <w:tabs>
                <w:tab w:val="clear" w:pos="567"/>
              </w:tabs>
              <w:spacing w:before="40" w:after="40"/>
              <w:rPr>
                <w:sz w:val="22"/>
                <w:lang w:val="en"/>
              </w:rPr>
            </w:pPr>
            <w:r w:rsidRPr="00F647D7">
              <w:rPr>
                <w:sz w:val="22"/>
              </w:rPr>
              <w:t>177</w:t>
            </w:r>
          </w:p>
        </w:tc>
        <w:tc>
          <w:tcPr>
            <w:tcW w:w="8539" w:type="dxa"/>
            <w:hideMark/>
          </w:tcPr>
          <w:p w14:paraId="243CDDCA" w14:textId="77777777" w:rsidR="004B3A66" w:rsidRPr="00F647D7" w:rsidRDefault="004B3A66" w:rsidP="00573539">
            <w:pPr>
              <w:tabs>
                <w:tab w:val="clear" w:pos="567"/>
              </w:tabs>
              <w:spacing w:before="40" w:after="40"/>
              <w:rPr>
                <w:sz w:val="22"/>
                <w:lang w:val="en"/>
              </w:rPr>
            </w:pPr>
            <w:r w:rsidRPr="00F647D7">
              <w:rPr>
                <w:sz w:val="22"/>
                <w:lang w:val="en"/>
              </w:rPr>
              <w:t>Department of Agriculture</w:t>
            </w:r>
            <w:r w:rsidRPr="00F647D7">
              <w:rPr>
                <w:sz w:val="22"/>
              </w:rPr>
              <w:t xml:space="preserve"> 2014, </w:t>
            </w:r>
            <w:hyperlink r:id="rId195" w:history="1">
              <w:r w:rsidRPr="00F647D7">
                <w:rPr>
                  <w:rStyle w:val="Hyperlink"/>
                  <w:sz w:val="22"/>
                </w:rPr>
                <w:t>Disease strategy: Abalone viral ganglioneuritis (version 1.0) (pdf 2.7mb)</w:t>
              </w:r>
            </w:hyperlink>
            <w:r w:rsidRPr="00F647D7">
              <w:rPr>
                <w:sz w:val="22"/>
              </w:rPr>
              <w:t xml:space="preserve">, in </w:t>
            </w:r>
            <w:r w:rsidRPr="00F647D7">
              <w:rPr>
                <w:i/>
                <w:iCs/>
                <w:sz w:val="22"/>
              </w:rPr>
              <w:t>Australian Aquatic Veterinary Emergency Plan (AQUAVETPLAN)</w:t>
            </w:r>
            <w:r w:rsidRPr="00F647D7">
              <w:rPr>
                <w:sz w:val="22"/>
              </w:rPr>
              <w:t>, Canberra.</w:t>
            </w:r>
          </w:p>
        </w:tc>
      </w:tr>
      <w:tr w:rsidR="004B3A66" w:rsidRPr="00F647D7" w14:paraId="7A89A34A" w14:textId="77777777" w:rsidTr="00573539">
        <w:tc>
          <w:tcPr>
            <w:tcW w:w="812" w:type="dxa"/>
            <w:hideMark/>
          </w:tcPr>
          <w:p w14:paraId="21587D6A" w14:textId="77777777" w:rsidR="004B3A66" w:rsidRPr="00F647D7" w:rsidRDefault="004B3A66" w:rsidP="00573539">
            <w:pPr>
              <w:tabs>
                <w:tab w:val="clear" w:pos="567"/>
              </w:tabs>
              <w:spacing w:before="40" w:after="40"/>
              <w:rPr>
                <w:sz w:val="22"/>
              </w:rPr>
            </w:pPr>
            <w:r w:rsidRPr="00F647D7">
              <w:rPr>
                <w:sz w:val="22"/>
              </w:rPr>
              <w:t>178</w:t>
            </w:r>
          </w:p>
        </w:tc>
        <w:tc>
          <w:tcPr>
            <w:tcW w:w="8539" w:type="dxa"/>
            <w:hideMark/>
          </w:tcPr>
          <w:p w14:paraId="5AD00CD8" w14:textId="77777777" w:rsidR="004B3A66" w:rsidRPr="00F647D7" w:rsidRDefault="004B3A66" w:rsidP="00573539">
            <w:pPr>
              <w:tabs>
                <w:tab w:val="clear" w:pos="567"/>
              </w:tabs>
              <w:spacing w:before="40" w:after="40"/>
              <w:rPr>
                <w:sz w:val="22"/>
              </w:rPr>
            </w:pPr>
            <w:r w:rsidRPr="00F647D7">
              <w:rPr>
                <w:sz w:val="22"/>
              </w:rPr>
              <w:t xml:space="preserve">Biosecurity Tasmania 2017, </w:t>
            </w:r>
            <w:hyperlink r:id="rId196" w:history="1">
              <w:r w:rsidRPr="00F647D7">
                <w:rPr>
                  <w:rStyle w:val="Hyperlink"/>
                  <w:sz w:val="22"/>
                </w:rPr>
                <w:t>Notifiable animal diseases</w:t>
              </w:r>
            </w:hyperlink>
            <w:r w:rsidRPr="00F647D7">
              <w:rPr>
                <w:sz w:val="22"/>
              </w:rPr>
              <w:t>, Department of Primary Industries, Parks, Water and Environment, accessed 1 August 2017.</w:t>
            </w:r>
          </w:p>
        </w:tc>
      </w:tr>
      <w:tr w:rsidR="004B3A66" w:rsidRPr="00F647D7" w14:paraId="3B7C4170" w14:textId="77777777" w:rsidTr="00573539">
        <w:tc>
          <w:tcPr>
            <w:tcW w:w="812" w:type="dxa"/>
            <w:hideMark/>
          </w:tcPr>
          <w:p w14:paraId="0D4A5282" w14:textId="77777777" w:rsidR="004B3A66" w:rsidRPr="00F647D7" w:rsidRDefault="004B3A66" w:rsidP="00573539">
            <w:pPr>
              <w:tabs>
                <w:tab w:val="clear" w:pos="567"/>
              </w:tabs>
              <w:spacing w:before="40" w:after="40"/>
              <w:rPr>
                <w:sz w:val="22"/>
              </w:rPr>
            </w:pPr>
            <w:r w:rsidRPr="00F647D7">
              <w:rPr>
                <w:sz w:val="22"/>
              </w:rPr>
              <w:lastRenderedPageBreak/>
              <w:t>179</w:t>
            </w:r>
          </w:p>
        </w:tc>
        <w:tc>
          <w:tcPr>
            <w:tcW w:w="8539" w:type="dxa"/>
            <w:hideMark/>
          </w:tcPr>
          <w:p w14:paraId="774C0C2E" w14:textId="77777777" w:rsidR="004B3A66" w:rsidRPr="00F647D7" w:rsidRDefault="004B3A66" w:rsidP="00573539">
            <w:pPr>
              <w:tabs>
                <w:tab w:val="clear" w:pos="567"/>
              </w:tabs>
              <w:spacing w:before="40" w:after="40"/>
              <w:rPr>
                <w:sz w:val="22"/>
              </w:rPr>
            </w:pPr>
            <w:r w:rsidRPr="00F647D7">
              <w:rPr>
                <w:sz w:val="22"/>
              </w:rPr>
              <w:t xml:space="preserve">Polinski, M, Hamilton, DB, Nowak, B &amp; Bridle, A 2013, </w:t>
            </w:r>
            <w:hyperlink r:id="rId197" w:history="1">
              <w:r w:rsidRPr="00F647D7">
                <w:rPr>
                  <w:rStyle w:val="Hyperlink"/>
                  <w:sz w:val="22"/>
                </w:rPr>
                <w:t>SYBR, TaqMan, or both: highly sensitive, non-invasive detection of Cardicola blood fluke species in southern bluefin tuna (Thunnus maccoyii)</w:t>
              </w:r>
            </w:hyperlink>
            <w:r w:rsidRPr="00F647D7">
              <w:rPr>
                <w:sz w:val="22"/>
              </w:rPr>
              <w:t xml:space="preserve">, </w:t>
            </w:r>
            <w:r w:rsidRPr="00F647D7">
              <w:rPr>
                <w:i/>
                <w:iCs/>
                <w:sz w:val="22"/>
              </w:rPr>
              <w:t>Molecular and Biochemical Parasitology</w:t>
            </w:r>
            <w:r w:rsidRPr="00F647D7">
              <w:rPr>
                <w:sz w:val="22"/>
              </w:rPr>
              <w:t>, vol. 191, no. 1, pp. 7–15, doi: 10.1016/j.molbiopara.2013.07.002.</w:t>
            </w:r>
          </w:p>
        </w:tc>
      </w:tr>
      <w:tr w:rsidR="004B3A66" w:rsidRPr="00F647D7" w14:paraId="7ED2555E" w14:textId="77777777" w:rsidTr="00573539">
        <w:tc>
          <w:tcPr>
            <w:tcW w:w="812" w:type="dxa"/>
            <w:hideMark/>
          </w:tcPr>
          <w:p w14:paraId="28E741ED" w14:textId="77777777" w:rsidR="004B3A66" w:rsidRPr="00F647D7" w:rsidRDefault="004B3A66" w:rsidP="00573539">
            <w:pPr>
              <w:tabs>
                <w:tab w:val="clear" w:pos="567"/>
              </w:tabs>
              <w:spacing w:before="40" w:after="40"/>
              <w:rPr>
                <w:sz w:val="22"/>
              </w:rPr>
            </w:pPr>
            <w:r w:rsidRPr="00F647D7">
              <w:rPr>
                <w:sz w:val="22"/>
              </w:rPr>
              <w:t>180</w:t>
            </w:r>
          </w:p>
        </w:tc>
        <w:tc>
          <w:tcPr>
            <w:tcW w:w="8539" w:type="dxa"/>
            <w:hideMark/>
          </w:tcPr>
          <w:p w14:paraId="4AD8EB93" w14:textId="77777777" w:rsidR="004B3A66" w:rsidRPr="00F647D7" w:rsidRDefault="004B3A66" w:rsidP="00573539">
            <w:pPr>
              <w:tabs>
                <w:tab w:val="clear" w:pos="567"/>
              </w:tabs>
              <w:spacing w:before="40" w:after="40"/>
              <w:rPr>
                <w:sz w:val="22"/>
              </w:rPr>
            </w:pPr>
            <w:r w:rsidRPr="00F647D7">
              <w:rPr>
                <w:sz w:val="22"/>
              </w:rPr>
              <w:t xml:space="preserve">Wijegoonawardane, PKM, Cowley, JA, Phan, T, Hodgson, RAJ, Nielsen, L, Kiatpathomchai, W &amp; Walker, PJ 2008, </w:t>
            </w:r>
            <w:hyperlink r:id="rId198" w:history="1">
              <w:r w:rsidRPr="00F647D7">
                <w:rPr>
                  <w:rStyle w:val="Hyperlink"/>
                  <w:sz w:val="22"/>
                </w:rPr>
                <w:t>Genetic diversity in the yellow head nidovirus complex</w:t>
              </w:r>
            </w:hyperlink>
            <w:r w:rsidRPr="00F647D7">
              <w:rPr>
                <w:sz w:val="22"/>
              </w:rPr>
              <w:t xml:space="preserve">, </w:t>
            </w:r>
            <w:r w:rsidRPr="00F647D7">
              <w:rPr>
                <w:i/>
                <w:iCs/>
                <w:sz w:val="22"/>
              </w:rPr>
              <w:t>Virology</w:t>
            </w:r>
            <w:r w:rsidRPr="00F647D7">
              <w:rPr>
                <w:sz w:val="22"/>
              </w:rPr>
              <w:t>, vol. 380, no. 2, pp. 213–25, doi: 10.1016/j.virol.2008.07.005.</w:t>
            </w:r>
          </w:p>
        </w:tc>
      </w:tr>
      <w:tr w:rsidR="004B3A66" w:rsidRPr="00F647D7" w14:paraId="0FA345FF" w14:textId="77777777" w:rsidTr="00573539">
        <w:tc>
          <w:tcPr>
            <w:tcW w:w="812" w:type="dxa"/>
            <w:hideMark/>
          </w:tcPr>
          <w:p w14:paraId="6621F7B9" w14:textId="77777777" w:rsidR="004B3A66" w:rsidRPr="00F647D7" w:rsidRDefault="004B3A66" w:rsidP="00573539">
            <w:pPr>
              <w:tabs>
                <w:tab w:val="clear" w:pos="567"/>
              </w:tabs>
              <w:spacing w:before="40" w:after="40"/>
              <w:rPr>
                <w:sz w:val="22"/>
              </w:rPr>
            </w:pPr>
            <w:r w:rsidRPr="00F647D7">
              <w:rPr>
                <w:sz w:val="22"/>
              </w:rPr>
              <w:t>181</w:t>
            </w:r>
          </w:p>
        </w:tc>
        <w:tc>
          <w:tcPr>
            <w:tcW w:w="8539" w:type="dxa"/>
            <w:hideMark/>
          </w:tcPr>
          <w:p w14:paraId="5B09C5B5" w14:textId="77777777" w:rsidR="0089052F" w:rsidRPr="0089052F" w:rsidRDefault="004B3A66" w:rsidP="0089052F">
            <w:pPr>
              <w:tabs>
                <w:tab w:val="clear" w:pos="567"/>
              </w:tabs>
              <w:spacing w:before="40" w:after="40"/>
              <w:rPr>
                <w:sz w:val="22"/>
              </w:rPr>
            </w:pPr>
            <w:r w:rsidRPr="00F647D7">
              <w:rPr>
                <w:sz w:val="22"/>
              </w:rPr>
              <w:t>Fisheries Research and Development Corporation 2009</w:t>
            </w:r>
            <w:r w:rsidR="0089052F">
              <w:rPr>
                <w:sz w:val="22"/>
              </w:rPr>
              <w:t xml:space="preserve">, </w:t>
            </w:r>
            <w:r w:rsidR="0089052F" w:rsidRPr="0089052F">
              <w:rPr>
                <w:sz w:val="22"/>
              </w:rPr>
              <w:t>Aquatic Animal Health</w:t>
            </w:r>
          </w:p>
          <w:p w14:paraId="402968B9" w14:textId="377EF349" w:rsidR="004B3A66" w:rsidRPr="00F647D7" w:rsidRDefault="0089052F" w:rsidP="0089052F">
            <w:pPr>
              <w:tabs>
                <w:tab w:val="clear" w:pos="567"/>
              </w:tabs>
              <w:spacing w:before="40" w:after="40"/>
              <w:rPr>
                <w:sz w:val="22"/>
              </w:rPr>
            </w:pPr>
            <w:r w:rsidRPr="0089052F">
              <w:rPr>
                <w:sz w:val="22"/>
              </w:rPr>
              <w:t>Subprogram research and developmen</w:t>
            </w:r>
            <w:r>
              <w:rPr>
                <w:sz w:val="22"/>
              </w:rPr>
              <w:t>t plan 2009–2012</w:t>
            </w:r>
            <w:r w:rsidR="004B3A66" w:rsidRPr="00F647D7">
              <w:rPr>
                <w:sz w:val="22"/>
              </w:rPr>
              <w:t>, Canberra.</w:t>
            </w:r>
          </w:p>
        </w:tc>
      </w:tr>
      <w:tr w:rsidR="004B3A66" w:rsidRPr="00F647D7" w14:paraId="3F9F59DC" w14:textId="77777777" w:rsidTr="00573539">
        <w:tc>
          <w:tcPr>
            <w:tcW w:w="812" w:type="dxa"/>
            <w:hideMark/>
          </w:tcPr>
          <w:p w14:paraId="05C0F160" w14:textId="77777777" w:rsidR="004B3A66" w:rsidRPr="00F647D7" w:rsidRDefault="004B3A66" w:rsidP="00573539">
            <w:pPr>
              <w:tabs>
                <w:tab w:val="clear" w:pos="567"/>
              </w:tabs>
              <w:spacing w:before="40" w:after="40"/>
              <w:rPr>
                <w:sz w:val="22"/>
              </w:rPr>
            </w:pPr>
            <w:r w:rsidRPr="00F647D7">
              <w:rPr>
                <w:sz w:val="22"/>
              </w:rPr>
              <w:t>182</w:t>
            </w:r>
          </w:p>
        </w:tc>
        <w:tc>
          <w:tcPr>
            <w:tcW w:w="8539" w:type="dxa"/>
            <w:hideMark/>
          </w:tcPr>
          <w:p w14:paraId="55F8AA05" w14:textId="77777777" w:rsidR="004B3A66" w:rsidRPr="00F647D7" w:rsidRDefault="004B3A66" w:rsidP="00573539">
            <w:pPr>
              <w:tabs>
                <w:tab w:val="clear" w:pos="567"/>
              </w:tabs>
              <w:spacing w:before="40" w:after="40"/>
              <w:rPr>
                <w:sz w:val="22"/>
              </w:rPr>
            </w:pPr>
            <w:r w:rsidRPr="00F647D7">
              <w:rPr>
                <w:sz w:val="22"/>
              </w:rPr>
              <w:t xml:space="preserve">Huang, WJ, Leu, JH, Tsau, MT, Chen, JC &amp; Chen, LL 2011, </w:t>
            </w:r>
            <w:hyperlink r:id="rId199" w:history="1">
              <w:r w:rsidRPr="00F647D7">
                <w:rPr>
                  <w:rStyle w:val="Hyperlink"/>
                  <w:sz w:val="22"/>
                </w:rPr>
                <w:t>Differential expression of LvHSP60 in shrimp in response to environmental stress</w:t>
              </w:r>
            </w:hyperlink>
            <w:r w:rsidRPr="00F647D7">
              <w:rPr>
                <w:sz w:val="22"/>
              </w:rPr>
              <w:t xml:space="preserve">, </w:t>
            </w:r>
            <w:r w:rsidRPr="00F647D7">
              <w:rPr>
                <w:i/>
                <w:iCs/>
                <w:sz w:val="22"/>
              </w:rPr>
              <w:t>Fish &amp; Shellfish Immunology</w:t>
            </w:r>
            <w:r w:rsidRPr="00F647D7">
              <w:rPr>
                <w:sz w:val="22"/>
              </w:rPr>
              <w:t>, vol. 30, no. 2, pp. 576–82, doi: 10.1016/j.fsi.2010.12.001.</w:t>
            </w:r>
          </w:p>
        </w:tc>
      </w:tr>
      <w:tr w:rsidR="004B3A66" w:rsidRPr="00F647D7" w14:paraId="3035C104" w14:textId="77777777" w:rsidTr="00573539">
        <w:tc>
          <w:tcPr>
            <w:tcW w:w="812" w:type="dxa"/>
            <w:hideMark/>
          </w:tcPr>
          <w:p w14:paraId="5F4710CE" w14:textId="77777777" w:rsidR="004B3A66" w:rsidRPr="00F647D7" w:rsidRDefault="004B3A66" w:rsidP="00573539">
            <w:pPr>
              <w:tabs>
                <w:tab w:val="clear" w:pos="567"/>
              </w:tabs>
              <w:spacing w:before="40" w:after="40"/>
              <w:rPr>
                <w:sz w:val="22"/>
              </w:rPr>
            </w:pPr>
            <w:r w:rsidRPr="00F647D7">
              <w:rPr>
                <w:sz w:val="22"/>
              </w:rPr>
              <w:t>183</w:t>
            </w:r>
          </w:p>
        </w:tc>
        <w:tc>
          <w:tcPr>
            <w:tcW w:w="8539" w:type="dxa"/>
            <w:hideMark/>
          </w:tcPr>
          <w:p w14:paraId="445C9E67" w14:textId="77777777" w:rsidR="004B3A66" w:rsidRPr="00F647D7" w:rsidRDefault="004B3A66" w:rsidP="00573539">
            <w:pPr>
              <w:tabs>
                <w:tab w:val="clear" w:pos="567"/>
              </w:tabs>
              <w:spacing w:before="40" w:after="40"/>
              <w:rPr>
                <w:sz w:val="22"/>
              </w:rPr>
            </w:pPr>
            <w:r w:rsidRPr="00F647D7">
              <w:rPr>
                <w:sz w:val="22"/>
              </w:rPr>
              <w:t xml:space="preserve">Itami, T, Yan, Y &amp; Takahashi, Y 1992, ‘Studies on vaccination against vibriosis in cultured kuruma prawns </w:t>
            </w:r>
            <w:r w:rsidRPr="00F647D7">
              <w:rPr>
                <w:i/>
                <w:iCs/>
                <w:sz w:val="22"/>
              </w:rPr>
              <w:t>Penaeus japonicas</w:t>
            </w:r>
            <w:r w:rsidRPr="00F647D7">
              <w:rPr>
                <w:sz w:val="22"/>
              </w:rPr>
              <w:t xml:space="preserve">: I. Effect of vaccine concentration and duration of vaccination efficacy’, </w:t>
            </w:r>
            <w:r w:rsidRPr="00F647D7">
              <w:rPr>
                <w:i/>
                <w:iCs/>
                <w:sz w:val="22"/>
              </w:rPr>
              <w:t>Journal of the Shimonoseki University of Fisheries</w:t>
            </w:r>
            <w:r w:rsidRPr="00F647D7">
              <w:rPr>
                <w:sz w:val="22"/>
              </w:rPr>
              <w:t>, vol. 40, pp. 83–7.</w:t>
            </w:r>
          </w:p>
        </w:tc>
      </w:tr>
      <w:tr w:rsidR="004B3A66" w:rsidRPr="00F647D7" w14:paraId="513177F2" w14:textId="77777777" w:rsidTr="00573539">
        <w:tc>
          <w:tcPr>
            <w:tcW w:w="812" w:type="dxa"/>
            <w:hideMark/>
          </w:tcPr>
          <w:p w14:paraId="193A8A00" w14:textId="77777777" w:rsidR="004B3A66" w:rsidRPr="00F647D7" w:rsidRDefault="004B3A66" w:rsidP="00573539">
            <w:pPr>
              <w:tabs>
                <w:tab w:val="clear" w:pos="567"/>
              </w:tabs>
              <w:spacing w:before="40" w:after="40"/>
              <w:rPr>
                <w:sz w:val="22"/>
              </w:rPr>
            </w:pPr>
            <w:r w:rsidRPr="00F647D7">
              <w:rPr>
                <w:sz w:val="22"/>
              </w:rPr>
              <w:t>184</w:t>
            </w:r>
          </w:p>
        </w:tc>
        <w:tc>
          <w:tcPr>
            <w:tcW w:w="8539" w:type="dxa"/>
            <w:hideMark/>
          </w:tcPr>
          <w:p w14:paraId="75CCE9C7" w14:textId="77777777" w:rsidR="004B3A66" w:rsidRPr="00F647D7" w:rsidRDefault="004B3A66" w:rsidP="00573539">
            <w:pPr>
              <w:tabs>
                <w:tab w:val="clear" w:pos="567"/>
              </w:tabs>
              <w:spacing w:before="40" w:after="40"/>
              <w:rPr>
                <w:sz w:val="22"/>
              </w:rPr>
            </w:pPr>
            <w:r w:rsidRPr="00F647D7">
              <w:rPr>
                <w:sz w:val="22"/>
              </w:rPr>
              <w:t xml:space="preserve">Itami, T, Yan, Y &amp; Takahashi, Y 1992, ‘Studies on vaccination against vibriosis in cultured kuruma prawns </w:t>
            </w:r>
            <w:r w:rsidRPr="00F647D7">
              <w:rPr>
                <w:i/>
                <w:iCs/>
                <w:sz w:val="22"/>
              </w:rPr>
              <w:t>Penaeus japonicas</w:t>
            </w:r>
            <w:r w:rsidRPr="00F647D7">
              <w:rPr>
                <w:sz w:val="22"/>
              </w:rPr>
              <w:t xml:space="preserve">: II. Effect of different vaccine preparations and oral vaccination efficacy’, </w:t>
            </w:r>
            <w:r w:rsidRPr="00F647D7">
              <w:rPr>
                <w:i/>
                <w:iCs/>
                <w:sz w:val="22"/>
              </w:rPr>
              <w:t>Journal of the Shimonoseki University of Fisheries</w:t>
            </w:r>
            <w:r w:rsidRPr="00F647D7">
              <w:rPr>
                <w:sz w:val="22"/>
              </w:rPr>
              <w:t>, vol. 40, pp. 139–44.</w:t>
            </w:r>
          </w:p>
        </w:tc>
      </w:tr>
      <w:tr w:rsidR="004B3A66" w:rsidRPr="00F647D7" w14:paraId="053D1431" w14:textId="77777777" w:rsidTr="00573539">
        <w:tc>
          <w:tcPr>
            <w:tcW w:w="812" w:type="dxa"/>
            <w:hideMark/>
          </w:tcPr>
          <w:p w14:paraId="71D3541B" w14:textId="77777777" w:rsidR="004B3A66" w:rsidRPr="00F647D7" w:rsidRDefault="004B3A66" w:rsidP="00573539">
            <w:pPr>
              <w:tabs>
                <w:tab w:val="clear" w:pos="567"/>
              </w:tabs>
              <w:spacing w:before="40" w:after="40"/>
              <w:rPr>
                <w:sz w:val="22"/>
              </w:rPr>
            </w:pPr>
            <w:r w:rsidRPr="00F647D7">
              <w:rPr>
                <w:sz w:val="22"/>
              </w:rPr>
              <w:t>185</w:t>
            </w:r>
          </w:p>
        </w:tc>
        <w:tc>
          <w:tcPr>
            <w:tcW w:w="8539" w:type="dxa"/>
            <w:hideMark/>
          </w:tcPr>
          <w:p w14:paraId="534E7DCD" w14:textId="77777777" w:rsidR="004B3A66" w:rsidRPr="00F647D7" w:rsidRDefault="004B3A66" w:rsidP="00573539">
            <w:pPr>
              <w:tabs>
                <w:tab w:val="clear" w:pos="567"/>
              </w:tabs>
              <w:spacing w:before="40" w:after="40"/>
              <w:rPr>
                <w:sz w:val="22"/>
              </w:rPr>
            </w:pPr>
            <w:r w:rsidRPr="00F647D7">
              <w:rPr>
                <w:sz w:val="22"/>
              </w:rPr>
              <w:t xml:space="preserve">Kurtz, J &amp; Franz, K 2003, </w:t>
            </w:r>
            <w:hyperlink r:id="rId200" w:history="1">
              <w:r w:rsidRPr="00F647D7">
                <w:rPr>
                  <w:rStyle w:val="Hyperlink"/>
                  <w:sz w:val="22"/>
                </w:rPr>
                <w:t>Innate defence: evidence for memory in invertebrate immunity</w:t>
              </w:r>
            </w:hyperlink>
            <w:r w:rsidRPr="00F647D7">
              <w:rPr>
                <w:sz w:val="22"/>
              </w:rPr>
              <w:t xml:space="preserve">, </w:t>
            </w:r>
            <w:r w:rsidRPr="00F647D7">
              <w:rPr>
                <w:i/>
                <w:iCs/>
                <w:sz w:val="22"/>
              </w:rPr>
              <w:t>Nature</w:t>
            </w:r>
            <w:r w:rsidRPr="00F647D7">
              <w:rPr>
                <w:sz w:val="22"/>
              </w:rPr>
              <w:t>, vol. 425, pp. 37–8, doi: 10.1038/425037a.</w:t>
            </w:r>
          </w:p>
        </w:tc>
      </w:tr>
      <w:tr w:rsidR="004B3A66" w:rsidRPr="00F647D7" w14:paraId="3E9CA77B" w14:textId="77777777" w:rsidTr="00573539">
        <w:tc>
          <w:tcPr>
            <w:tcW w:w="812" w:type="dxa"/>
            <w:hideMark/>
          </w:tcPr>
          <w:p w14:paraId="133C52CD" w14:textId="77777777" w:rsidR="004B3A66" w:rsidRPr="00F647D7" w:rsidRDefault="004B3A66" w:rsidP="00573539">
            <w:pPr>
              <w:tabs>
                <w:tab w:val="clear" w:pos="567"/>
              </w:tabs>
              <w:spacing w:before="40" w:after="40"/>
              <w:rPr>
                <w:sz w:val="22"/>
              </w:rPr>
            </w:pPr>
            <w:r w:rsidRPr="00F647D7">
              <w:rPr>
                <w:sz w:val="22"/>
              </w:rPr>
              <w:t>186</w:t>
            </w:r>
          </w:p>
        </w:tc>
        <w:tc>
          <w:tcPr>
            <w:tcW w:w="8539" w:type="dxa"/>
            <w:hideMark/>
          </w:tcPr>
          <w:p w14:paraId="0C414264" w14:textId="77777777" w:rsidR="004B3A66" w:rsidRPr="00F647D7" w:rsidRDefault="004B3A66" w:rsidP="00573539">
            <w:pPr>
              <w:tabs>
                <w:tab w:val="clear" w:pos="567"/>
              </w:tabs>
              <w:spacing w:before="40" w:after="40"/>
              <w:rPr>
                <w:sz w:val="22"/>
              </w:rPr>
            </w:pPr>
            <w:r w:rsidRPr="00F647D7">
              <w:rPr>
                <w:sz w:val="22"/>
              </w:rPr>
              <w:t xml:space="preserve">Wu, JL, Nishioka, T, Mori, K, Nishizawa, T &amp; Muroga, K 2002, </w:t>
            </w:r>
            <w:hyperlink r:id="rId201" w:history="1">
              <w:r w:rsidRPr="00F647D7">
                <w:rPr>
                  <w:rStyle w:val="Hyperlink"/>
                  <w:sz w:val="22"/>
                </w:rPr>
                <w:t>A time-course study on the resistance of Penaeus japonicus induced by artificial infection with white spot syndrome virus</w:t>
              </w:r>
            </w:hyperlink>
            <w:r w:rsidRPr="00F647D7">
              <w:rPr>
                <w:sz w:val="22"/>
              </w:rPr>
              <w:t xml:space="preserve">, </w:t>
            </w:r>
            <w:r w:rsidRPr="00F647D7">
              <w:rPr>
                <w:i/>
                <w:iCs/>
                <w:sz w:val="22"/>
              </w:rPr>
              <w:t>Fish &amp; Shellfish Immunology</w:t>
            </w:r>
            <w:r w:rsidRPr="00F647D7">
              <w:rPr>
                <w:sz w:val="22"/>
              </w:rPr>
              <w:t>, vol. 13, no. 5, pp. 391–403, doi: 10.1006/fsim.2002.0414.</w:t>
            </w:r>
          </w:p>
        </w:tc>
      </w:tr>
      <w:tr w:rsidR="004B3A66" w:rsidRPr="00F647D7" w14:paraId="2A71C657" w14:textId="77777777" w:rsidTr="00573539">
        <w:tc>
          <w:tcPr>
            <w:tcW w:w="812" w:type="dxa"/>
            <w:hideMark/>
          </w:tcPr>
          <w:p w14:paraId="1AD1F985" w14:textId="77777777" w:rsidR="004B3A66" w:rsidRPr="00F647D7" w:rsidRDefault="004B3A66" w:rsidP="00573539">
            <w:pPr>
              <w:tabs>
                <w:tab w:val="clear" w:pos="567"/>
              </w:tabs>
              <w:spacing w:before="40" w:after="40"/>
              <w:rPr>
                <w:sz w:val="22"/>
              </w:rPr>
            </w:pPr>
            <w:r w:rsidRPr="00F647D7">
              <w:rPr>
                <w:sz w:val="22"/>
              </w:rPr>
              <w:t>187</w:t>
            </w:r>
          </w:p>
        </w:tc>
        <w:tc>
          <w:tcPr>
            <w:tcW w:w="8539" w:type="dxa"/>
            <w:hideMark/>
          </w:tcPr>
          <w:p w14:paraId="045E2302" w14:textId="77777777" w:rsidR="004B3A66" w:rsidRPr="00F647D7" w:rsidRDefault="004B3A66" w:rsidP="00573539">
            <w:pPr>
              <w:tabs>
                <w:tab w:val="clear" w:pos="567"/>
              </w:tabs>
              <w:spacing w:before="40" w:after="40"/>
              <w:rPr>
                <w:sz w:val="22"/>
              </w:rPr>
            </w:pPr>
            <w:r w:rsidRPr="00F647D7">
              <w:rPr>
                <w:sz w:val="22"/>
              </w:rPr>
              <w:t xml:space="preserve">Dann, P, Norman, FI, Cullen, JM, Neira, FJ &amp; Chiaradia, A 2000, ‘Mortality and breeding failure of little penguins, </w:t>
            </w:r>
            <w:r w:rsidRPr="00F647D7">
              <w:rPr>
                <w:i/>
                <w:sz w:val="22"/>
              </w:rPr>
              <w:t>Eudyptula minor</w:t>
            </w:r>
            <w:r w:rsidRPr="00F647D7">
              <w:rPr>
                <w:sz w:val="22"/>
              </w:rPr>
              <w:t xml:space="preserve">, in Victoria, 1995–96, following a widespread mortality of pilchard, </w:t>
            </w:r>
            <w:r w:rsidRPr="00F647D7">
              <w:rPr>
                <w:i/>
                <w:sz w:val="22"/>
              </w:rPr>
              <w:t>Sardinops sagax</w:t>
            </w:r>
            <w:r w:rsidRPr="00F647D7">
              <w:rPr>
                <w:sz w:val="22"/>
              </w:rPr>
              <w:t xml:space="preserve">’, </w:t>
            </w:r>
            <w:r w:rsidRPr="00F647D7">
              <w:rPr>
                <w:i/>
                <w:iCs/>
                <w:sz w:val="22"/>
              </w:rPr>
              <w:t>Marine and Freshwater Research</w:t>
            </w:r>
            <w:r w:rsidRPr="00F647D7">
              <w:rPr>
                <w:sz w:val="22"/>
              </w:rPr>
              <w:t xml:space="preserve">, vol. </w:t>
            </w:r>
            <w:r w:rsidRPr="00F647D7">
              <w:rPr>
                <w:iCs/>
                <w:sz w:val="22"/>
              </w:rPr>
              <w:t xml:space="preserve">51, no. </w:t>
            </w:r>
            <w:r w:rsidRPr="00F647D7">
              <w:rPr>
                <w:sz w:val="22"/>
              </w:rPr>
              <w:t>4, pp. 355–62.</w:t>
            </w:r>
          </w:p>
        </w:tc>
      </w:tr>
      <w:tr w:rsidR="004B3A66" w:rsidRPr="00F647D7" w14:paraId="0B99B894" w14:textId="77777777" w:rsidTr="00573539">
        <w:tc>
          <w:tcPr>
            <w:tcW w:w="812" w:type="dxa"/>
            <w:hideMark/>
          </w:tcPr>
          <w:p w14:paraId="69D2BD70" w14:textId="77777777" w:rsidR="004B3A66" w:rsidRPr="00F647D7" w:rsidRDefault="004B3A66" w:rsidP="00573539">
            <w:pPr>
              <w:tabs>
                <w:tab w:val="clear" w:pos="567"/>
              </w:tabs>
              <w:spacing w:before="40" w:after="40"/>
              <w:rPr>
                <w:sz w:val="22"/>
              </w:rPr>
            </w:pPr>
            <w:r w:rsidRPr="00F647D7">
              <w:rPr>
                <w:sz w:val="22"/>
              </w:rPr>
              <w:t>188</w:t>
            </w:r>
          </w:p>
        </w:tc>
        <w:tc>
          <w:tcPr>
            <w:tcW w:w="8539" w:type="dxa"/>
            <w:hideMark/>
          </w:tcPr>
          <w:p w14:paraId="54BA569D" w14:textId="77777777" w:rsidR="004B3A66" w:rsidRPr="00F647D7" w:rsidRDefault="004B3A66" w:rsidP="00573539">
            <w:pPr>
              <w:tabs>
                <w:tab w:val="clear" w:pos="567"/>
              </w:tabs>
              <w:spacing w:before="40" w:after="40"/>
              <w:rPr>
                <w:sz w:val="22"/>
              </w:rPr>
            </w:pPr>
            <w:r w:rsidRPr="00F647D7">
              <w:rPr>
                <w:sz w:val="22"/>
              </w:rPr>
              <w:t xml:space="preserve">Taylor, IR &amp; Roe, EL 2004, </w:t>
            </w:r>
            <w:hyperlink r:id="rId202" w:history="1">
              <w:r w:rsidRPr="00F647D7">
                <w:rPr>
                  <w:rStyle w:val="Hyperlink"/>
                  <w:sz w:val="22"/>
                </w:rPr>
                <w:t>Feeding ecology of little terns Sterna albifrons sinensis in south-eastern Australia and the effects of pilchard mass mortality on breeding success and population size</w:t>
              </w:r>
            </w:hyperlink>
            <w:r w:rsidRPr="00F647D7">
              <w:rPr>
                <w:sz w:val="22"/>
              </w:rPr>
              <w:t xml:space="preserve">, </w:t>
            </w:r>
            <w:r w:rsidRPr="00F647D7">
              <w:rPr>
                <w:i/>
                <w:iCs/>
                <w:sz w:val="22"/>
              </w:rPr>
              <w:t>Marine and Freshwater Research</w:t>
            </w:r>
            <w:r w:rsidRPr="00F647D7">
              <w:rPr>
                <w:sz w:val="22"/>
              </w:rPr>
              <w:t xml:space="preserve">, vol. </w:t>
            </w:r>
            <w:r w:rsidRPr="00F647D7">
              <w:rPr>
                <w:iCs/>
                <w:sz w:val="22"/>
              </w:rPr>
              <w:t xml:space="preserve">55, no. </w:t>
            </w:r>
            <w:r w:rsidRPr="00F647D7">
              <w:rPr>
                <w:sz w:val="22"/>
              </w:rPr>
              <w:t>8, pp. 799–808, doi: 10.1071/MF03203.</w:t>
            </w:r>
          </w:p>
        </w:tc>
      </w:tr>
      <w:tr w:rsidR="004B3A66" w:rsidRPr="00F647D7" w14:paraId="722BCB85" w14:textId="77777777" w:rsidTr="00573539">
        <w:tc>
          <w:tcPr>
            <w:tcW w:w="812" w:type="dxa"/>
            <w:hideMark/>
          </w:tcPr>
          <w:p w14:paraId="234ABCB1" w14:textId="77777777" w:rsidR="004B3A66" w:rsidRPr="00F647D7" w:rsidRDefault="004B3A66" w:rsidP="00573539">
            <w:pPr>
              <w:tabs>
                <w:tab w:val="clear" w:pos="567"/>
              </w:tabs>
              <w:spacing w:before="40" w:after="40"/>
              <w:rPr>
                <w:sz w:val="22"/>
              </w:rPr>
            </w:pPr>
            <w:r w:rsidRPr="00F647D7">
              <w:rPr>
                <w:sz w:val="22"/>
              </w:rPr>
              <w:t>189</w:t>
            </w:r>
          </w:p>
        </w:tc>
        <w:tc>
          <w:tcPr>
            <w:tcW w:w="8539" w:type="dxa"/>
            <w:hideMark/>
          </w:tcPr>
          <w:p w14:paraId="05358B40" w14:textId="77777777" w:rsidR="004B3A66" w:rsidRPr="00F647D7" w:rsidRDefault="004B3A66" w:rsidP="00573539">
            <w:pPr>
              <w:tabs>
                <w:tab w:val="clear" w:pos="567"/>
              </w:tabs>
              <w:spacing w:before="40" w:after="40"/>
              <w:rPr>
                <w:sz w:val="22"/>
              </w:rPr>
            </w:pPr>
            <w:r w:rsidRPr="00F647D7">
              <w:rPr>
                <w:sz w:val="22"/>
              </w:rPr>
              <w:t xml:space="preserve">New South Wales Department of Primary Industries n.d., </w:t>
            </w:r>
            <w:hyperlink r:id="rId203" w:history="1">
              <w:r w:rsidRPr="00F647D7">
                <w:rPr>
                  <w:rStyle w:val="Hyperlink"/>
                  <w:sz w:val="22"/>
                </w:rPr>
                <w:t>Pacific oyster mortality syndrome (POMS)</w:t>
              </w:r>
            </w:hyperlink>
            <w:r w:rsidRPr="00F647D7">
              <w:rPr>
                <w:sz w:val="22"/>
              </w:rPr>
              <w:t>, Sydney, accessed 6 October 2017.</w:t>
            </w:r>
          </w:p>
        </w:tc>
      </w:tr>
      <w:tr w:rsidR="004B3A66" w:rsidRPr="00F647D7" w14:paraId="121CC0D8" w14:textId="77777777" w:rsidTr="00573539">
        <w:tc>
          <w:tcPr>
            <w:tcW w:w="812" w:type="dxa"/>
            <w:hideMark/>
          </w:tcPr>
          <w:p w14:paraId="152BB324" w14:textId="77777777" w:rsidR="004B3A66" w:rsidRPr="00F647D7" w:rsidRDefault="004B3A66" w:rsidP="00573539">
            <w:pPr>
              <w:tabs>
                <w:tab w:val="clear" w:pos="567"/>
              </w:tabs>
              <w:spacing w:before="40" w:after="40"/>
              <w:rPr>
                <w:sz w:val="22"/>
              </w:rPr>
            </w:pPr>
            <w:r w:rsidRPr="00F647D7">
              <w:rPr>
                <w:sz w:val="22"/>
              </w:rPr>
              <w:t>190</w:t>
            </w:r>
          </w:p>
        </w:tc>
        <w:tc>
          <w:tcPr>
            <w:tcW w:w="8539" w:type="dxa"/>
            <w:hideMark/>
          </w:tcPr>
          <w:p w14:paraId="48842F70" w14:textId="77777777" w:rsidR="004B3A66" w:rsidRPr="00F647D7" w:rsidRDefault="004B3A66" w:rsidP="00573539">
            <w:pPr>
              <w:tabs>
                <w:tab w:val="clear" w:pos="567"/>
              </w:tabs>
              <w:spacing w:before="40" w:after="40"/>
              <w:rPr>
                <w:sz w:val="22"/>
              </w:rPr>
            </w:pPr>
            <w:r w:rsidRPr="00F647D7">
              <w:rPr>
                <w:sz w:val="22"/>
              </w:rPr>
              <w:t xml:space="preserve">Munday, BL, Zilberg, D &amp; Findlay, V 2001, </w:t>
            </w:r>
            <w:hyperlink r:id="rId204" w:history="1">
              <w:r w:rsidRPr="00F647D7">
                <w:rPr>
                  <w:rStyle w:val="Hyperlink"/>
                  <w:sz w:val="22"/>
                </w:rPr>
                <w:t>Gill disease of marine fish caused by infection with Neoparamoeba pemaquidensis</w:t>
              </w:r>
            </w:hyperlink>
            <w:r w:rsidRPr="00F647D7">
              <w:rPr>
                <w:sz w:val="22"/>
              </w:rPr>
              <w:t xml:space="preserve">, </w:t>
            </w:r>
            <w:r w:rsidRPr="00F647D7">
              <w:rPr>
                <w:i/>
                <w:iCs/>
                <w:sz w:val="22"/>
              </w:rPr>
              <w:t>Journal of Fish Diseases</w:t>
            </w:r>
            <w:r w:rsidRPr="00F647D7">
              <w:rPr>
                <w:sz w:val="22"/>
              </w:rPr>
              <w:t>, vol. 24, no. 9, pp. 497–507, doi: 10.1046/j.1365-2761.2001.00329.x.</w:t>
            </w:r>
          </w:p>
        </w:tc>
      </w:tr>
      <w:tr w:rsidR="004B3A66" w:rsidRPr="00F647D7" w14:paraId="02D68DDC" w14:textId="77777777" w:rsidTr="00573539">
        <w:tc>
          <w:tcPr>
            <w:tcW w:w="812" w:type="dxa"/>
            <w:hideMark/>
          </w:tcPr>
          <w:p w14:paraId="741EDA2F" w14:textId="77777777" w:rsidR="004B3A66" w:rsidRPr="00F647D7" w:rsidRDefault="004B3A66" w:rsidP="00573539">
            <w:pPr>
              <w:tabs>
                <w:tab w:val="clear" w:pos="567"/>
              </w:tabs>
              <w:spacing w:before="40" w:after="40"/>
              <w:rPr>
                <w:sz w:val="22"/>
              </w:rPr>
            </w:pPr>
            <w:r w:rsidRPr="00F647D7">
              <w:rPr>
                <w:sz w:val="22"/>
              </w:rPr>
              <w:t>191</w:t>
            </w:r>
          </w:p>
        </w:tc>
        <w:tc>
          <w:tcPr>
            <w:tcW w:w="8539" w:type="dxa"/>
            <w:hideMark/>
          </w:tcPr>
          <w:p w14:paraId="5EA5345C" w14:textId="77777777" w:rsidR="004B3A66" w:rsidRPr="00F647D7" w:rsidRDefault="004B3A66" w:rsidP="00573539">
            <w:pPr>
              <w:tabs>
                <w:tab w:val="clear" w:pos="567"/>
              </w:tabs>
              <w:spacing w:before="40" w:after="40"/>
              <w:rPr>
                <w:sz w:val="22"/>
              </w:rPr>
            </w:pPr>
            <w:r w:rsidRPr="00F647D7">
              <w:rPr>
                <w:sz w:val="22"/>
              </w:rPr>
              <w:t xml:space="preserve">Whittington, RJ, Crockford, M, Jordan, D &amp; Jones, B 2008, </w:t>
            </w:r>
            <w:hyperlink r:id="rId205" w:history="1">
              <w:r w:rsidRPr="00F647D7">
                <w:rPr>
                  <w:rStyle w:val="Hyperlink"/>
                  <w:sz w:val="22"/>
                </w:rPr>
                <w:t>Herpesvirus that caused epizootic mortality in 1995 and 1998 in pilchard, Sardinops sagax neopilchardus (Steindachner), in Australia is now endemic</w:t>
              </w:r>
            </w:hyperlink>
            <w:r w:rsidRPr="00F647D7">
              <w:rPr>
                <w:sz w:val="22"/>
              </w:rPr>
              <w:t xml:space="preserve">, </w:t>
            </w:r>
            <w:r w:rsidRPr="00F647D7">
              <w:rPr>
                <w:i/>
                <w:iCs/>
                <w:sz w:val="22"/>
              </w:rPr>
              <w:t>Journal of Fish Diseases</w:t>
            </w:r>
            <w:r w:rsidRPr="00F647D7">
              <w:rPr>
                <w:sz w:val="22"/>
              </w:rPr>
              <w:t>, vol. 31, no. 2, pp. 97–105, doi: 10.1111/j.1365-2761.2007.00869.x.</w:t>
            </w:r>
          </w:p>
        </w:tc>
      </w:tr>
      <w:tr w:rsidR="004B3A66" w:rsidRPr="00F647D7" w14:paraId="407EE0C1" w14:textId="77777777" w:rsidTr="00573539">
        <w:tc>
          <w:tcPr>
            <w:tcW w:w="812" w:type="dxa"/>
            <w:hideMark/>
          </w:tcPr>
          <w:p w14:paraId="7C0CDBA1" w14:textId="77777777" w:rsidR="004B3A66" w:rsidRPr="00F647D7" w:rsidRDefault="004B3A66" w:rsidP="00573539">
            <w:pPr>
              <w:tabs>
                <w:tab w:val="clear" w:pos="567"/>
              </w:tabs>
              <w:spacing w:before="40" w:after="40"/>
              <w:rPr>
                <w:sz w:val="22"/>
              </w:rPr>
            </w:pPr>
            <w:r w:rsidRPr="00F647D7">
              <w:rPr>
                <w:sz w:val="22"/>
              </w:rPr>
              <w:t>192</w:t>
            </w:r>
          </w:p>
        </w:tc>
        <w:tc>
          <w:tcPr>
            <w:tcW w:w="8539" w:type="dxa"/>
            <w:hideMark/>
          </w:tcPr>
          <w:p w14:paraId="14529DDD" w14:textId="77777777" w:rsidR="004B3A66" w:rsidRPr="00F647D7" w:rsidRDefault="004B3A66" w:rsidP="00573539">
            <w:pPr>
              <w:tabs>
                <w:tab w:val="clear" w:pos="567"/>
              </w:tabs>
              <w:spacing w:before="40" w:after="40"/>
              <w:rPr>
                <w:sz w:val="22"/>
              </w:rPr>
            </w:pPr>
            <w:r w:rsidRPr="00F647D7">
              <w:rPr>
                <w:sz w:val="22"/>
              </w:rPr>
              <w:t xml:space="preserve">Mayfield, S, McGarvey, R, Gorfine, HK, Peeters, H, Burch, P &amp; Sharma, S 2011, </w:t>
            </w:r>
            <w:hyperlink r:id="rId206" w:history="1">
              <w:r w:rsidRPr="00F647D7">
                <w:rPr>
                  <w:rStyle w:val="Hyperlink"/>
                  <w:sz w:val="22"/>
                </w:rPr>
                <w:t>Survey estimates of fishable biomass following a mass mortality in an Australian molluscan fishery</w:t>
              </w:r>
            </w:hyperlink>
            <w:r w:rsidRPr="00F647D7">
              <w:rPr>
                <w:sz w:val="22"/>
              </w:rPr>
              <w:t xml:space="preserve">, </w:t>
            </w:r>
            <w:r w:rsidRPr="00F647D7">
              <w:rPr>
                <w:i/>
                <w:iCs/>
                <w:sz w:val="22"/>
              </w:rPr>
              <w:t>Journal of Fish Diseases</w:t>
            </w:r>
            <w:r w:rsidRPr="00F647D7">
              <w:rPr>
                <w:sz w:val="22"/>
              </w:rPr>
              <w:t>, vol. 34, no. 4, pp. 287–302, doi: 10.1111/j.1365-2761.2011.01241.x.</w:t>
            </w:r>
          </w:p>
        </w:tc>
      </w:tr>
      <w:tr w:rsidR="004B3A66" w:rsidRPr="00F647D7" w14:paraId="2E21E9A2" w14:textId="77777777" w:rsidTr="00573539">
        <w:tc>
          <w:tcPr>
            <w:tcW w:w="812" w:type="dxa"/>
            <w:hideMark/>
          </w:tcPr>
          <w:p w14:paraId="5E81322A" w14:textId="77777777" w:rsidR="004B3A66" w:rsidRPr="00F647D7" w:rsidRDefault="004B3A66" w:rsidP="00573539">
            <w:pPr>
              <w:tabs>
                <w:tab w:val="clear" w:pos="567"/>
              </w:tabs>
              <w:spacing w:before="40" w:after="40"/>
              <w:rPr>
                <w:sz w:val="22"/>
              </w:rPr>
            </w:pPr>
            <w:r w:rsidRPr="00F647D7">
              <w:rPr>
                <w:sz w:val="22"/>
              </w:rPr>
              <w:t>193</w:t>
            </w:r>
          </w:p>
        </w:tc>
        <w:tc>
          <w:tcPr>
            <w:tcW w:w="8539" w:type="dxa"/>
            <w:hideMark/>
          </w:tcPr>
          <w:p w14:paraId="1D6E5E3C" w14:textId="77777777" w:rsidR="004B3A66" w:rsidRPr="00F647D7" w:rsidRDefault="004B3A66" w:rsidP="00573539">
            <w:pPr>
              <w:tabs>
                <w:tab w:val="clear" w:pos="567"/>
              </w:tabs>
              <w:spacing w:before="40" w:after="40"/>
              <w:rPr>
                <w:sz w:val="22"/>
              </w:rPr>
            </w:pPr>
            <w:r w:rsidRPr="00F647D7">
              <w:rPr>
                <w:sz w:val="22"/>
              </w:rPr>
              <w:t xml:space="preserve">Stagg, RM 2002, ‘The eradication of an outbreak of clinical infectious salmon anemia from Scotland’, in </w:t>
            </w:r>
            <w:r w:rsidRPr="00F647D7">
              <w:rPr>
                <w:i/>
                <w:iCs/>
                <w:sz w:val="22"/>
              </w:rPr>
              <w:t>International response to infectious salmon anemia: prevention, control, and eradication: Proceedings of a Symposium</w:t>
            </w:r>
            <w:r w:rsidRPr="00F647D7">
              <w:rPr>
                <w:iCs/>
                <w:sz w:val="22"/>
              </w:rPr>
              <w:t>,</w:t>
            </w:r>
            <w:r w:rsidRPr="00F647D7">
              <w:rPr>
                <w:i/>
                <w:iCs/>
                <w:sz w:val="22"/>
              </w:rPr>
              <w:t xml:space="preserve"> </w:t>
            </w:r>
            <w:r w:rsidRPr="00F647D7">
              <w:rPr>
                <w:iCs/>
                <w:sz w:val="22"/>
              </w:rPr>
              <w:t>September 3–4, 2002, USDA technical bulletin no. 1902</w:t>
            </w:r>
            <w:r w:rsidRPr="00F647D7">
              <w:rPr>
                <w:i/>
                <w:sz w:val="22"/>
              </w:rPr>
              <w:t>,</w:t>
            </w:r>
            <w:r w:rsidRPr="00F647D7">
              <w:rPr>
                <w:sz w:val="22"/>
              </w:rPr>
              <w:t xml:space="preserve"> New Orleans, United States, pp. 111–24.</w:t>
            </w:r>
          </w:p>
        </w:tc>
      </w:tr>
      <w:tr w:rsidR="004B3A66" w:rsidRPr="00F647D7" w14:paraId="0BBFE1A6" w14:textId="77777777" w:rsidTr="00573539">
        <w:tc>
          <w:tcPr>
            <w:tcW w:w="812" w:type="dxa"/>
            <w:hideMark/>
          </w:tcPr>
          <w:p w14:paraId="660CAA6A" w14:textId="77777777" w:rsidR="004B3A66" w:rsidRPr="00F647D7" w:rsidRDefault="004B3A66" w:rsidP="00573539">
            <w:pPr>
              <w:tabs>
                <w:tab w:val="clear" w:pos="567"/>
              </w:tabs>
              <w:spacing w:before="40" w:after="40"/>
              <w:rPr>
                <w:sz w:val="22"/>
              </w:rPr>
            </w:pPr>
            <w:r w:rsidRPr="00F647D7">
              <w:rPr>
                <w:sz w:val="22"/>
              </w:rPr>
              <w:t>194</w:t>
            </w:r>
          </w:p>
        </w:tc>
        <w:tc>
          <w:tcPr>
            <w:tcW w:w="8539" w:type="dxa"/>
            <w:hideMark/>
          </w:tcPr>
          <w:p w14:paraId="0EF2980D" w14:textId="77777777" w:rsidR="004B3A66" w:rsidRPr="00F647D7" w:rsidRDefault="004B3A66" w:rsidP="00573539">
            <w:pPr>
              <w:tabs>
                <w:tab w:val="clear" w:pos="567"/>
              </w:tabs>
              <w:spacing w:before="40" w:after="40"/>
              <w:rPr>
                <w:sz w:val="22"/>
              </w:rPr>
            </w:pPr>
            <w:r w:rsidRPr="00F647D7">
              <w:rPr>
                <w:sz w:val="22"/>
              </w:rPr>
              <w:t xml:space="preserve">Stone, DM, Ferguson, HW, Tyson, PA, Savage, J, Wood, G, Dodge, MJ, Woolford, G, Dixon, PF, Feist, SW &amp; Way, K 2008, </w:t>
            </w:r>
            <w:hyperlink r:id="rId207" w:history="1">
              <w:r w:rsidRPr="00F647D7">
                <w:rPr>
                  <w:rStyle w:val="Hyperlink"/>
                  <w:sz w:val="22"/>
                </w:rPr>
                <w:t>The first report of viral haemorrhagic septicaemia in farmed rainbow trout, Oncorhynchus mykiss (Walbaum), in the United Kingdom</w:t>
              </w:r>
            </w:hyperlink>
            <w:r w:rsidRPr="00F647D7">
              <w:rPr>
                <w:sz w:val="22"/>
              </w:rPr>
              <w:t xml:space="preserve">, </w:t>
            </w:r>
            <w:r w:rsidRPr="00F647D7">
              <w:rPr>
                <w:i/>
                <w:iCs/>
                <w:sz w:val="22"/>
              </w:rPr>
              <w:t xml:space="preserve">Journal of Fish Diseases, </w:t>
            </w:r>
            <w:r w:rsidRPr="00F647D7">
              <w:rPr>
                <w:sz w:val="22"/>
              </w:rPr>
              <w:t>vol. 31, no. 10, pp. 775–84, doi: 10.1111/j.1365-2761.2008.00951.x.</w:t>
            </w:r>
          </w:p>
        </w:tc>
      </w:tr>
      <w:tr w:rsidR="004B3A66" w:rsidRPr="00F647D7" w14:paraId="1643D3ED" w14:textId="77777777" w:rsidTr="00573539">
        <w:tc>
          <w:tcPr>
            <w:tcW w:w="812" w:type="dxa"/>
            <w:hideMark/>
          </w:tcPr>
          <w:p w14:paraId="5B405640" w14:textId="77777777" w:rsidR="004B3A66" w:rsidRPr="00F647D7" w:rsidRDefault="004B3A66" w:rsidP="00573539">
            <w:pPr>
              <w:tabs>
                <w:tab w:val="clear" w:pos="567"/>
              </w:tabs>
              <w:spacing w:before="40" w:after="40"/>
              <w:rPr>
                <w:sz w:val="22"/>
              </w:rPr>
            </w:pPr>
            <w:r w:rsidRPr="00F647D7">
              <w:rPr>
                <w:sz w:val="22"/>
              </w:rPr>
              <w:t>195</w:t>
            </w:r>
          </w:p>
        </w:tc>
        <w:tc>
          <w:tcPr>
            <w:tcW w:w="8539" w:type="dxa"/>
            <w:hideMark/>
          </w:tcPr>
          <w:p w14:paraId="4E39B0E3" w14:textId="77777777" w:rsidR="004B3A66" w:rsidRPr="00F647D7" w:rsidRDefault="004B3A66" w:rsidP="00573539">
            <w:pPr>
              <w:tabs>
                <w:tab w:val="clear" w:pos="567"/>
              </w:tabs>
              <w:spacing w:before="40" w:after="40"/>
              <w:rPr>
                <w:sz w:val="22"/>
              </w:rPr>
            </w:pPr>
            <w:r w:rsidRPr="00F647D7">
              <w:rPr>
                <w:sz w:val="22"/>
              </w:rPr>
              <w:t xml:space="preserve">Dale, OB, Ørpetveit, I, Lyngstad, TM, Kahns, S, Skall, HF, Olesen, NJ &amp; Dannevig, BH 2009, </w:t>
            </w:r>
            <w:hyperlink r:id="rId208" w:history="1">
              <w:r w:rsidRPr="00F647D7">
                <w:rPr>
                  <w:rStyle w:val="Hyperlink"/>
                  <w:sz w:val="22"/>
                </w:rPr>
                <w:t xml:space="preserve">Outbreak of viral haemorrhagic septicaemia (VHS) in seawater-farmed rainbow trout in </w:t>
              </w:r>
              <w:r w:rsidRPr="00F647D7">
                <w:rPr>
                  <w:rStyle w:val="Hyperlink"/>
                  <w:sz w:val="22"/>
                </w:rPr>
                <w:lastRenderedPageBreak/>
                <w:t>Norway caused by VHS virus Genotype III</w:t>
              </w:r>
            </w:hyperlink>
            <w:r w:rsidRPr="00F647D7">
              <w:rPr>
                <w:sz w:val="22"/>
              </w:rPr>
              <w:t xml:space="preserve">, </w:t>
            </w:r>
            <w:r w:rsidRPr="00F647D7">
              <w:rPr>
                <w:i/>
                <w:iCs/>
                <w:sz w:val="22"/>
              </w:rPr>
              <w:t>Diseases of Aquatic Organisms</w:t>
            </w:r>
            <w:r w:rsidRPr="00F647D7">
              <w:rPr>
                <w:sz w:val="22"/>
              </w:rPr>
              <w:t>, vol. 85, pp. 93–103, doi: 10.3354/dao02065.</w:t>
            </w:r>
          </w:p>
        </w:tc>
      </w:tr>
      <w:tr w:rsidR="004B3A66" w:rsidRPr="00F647D7" w14:paraId="6852B254" w14:textId="77777777" w:rsidTr="00573539">
        <w:tc>
          <w:tcPr>
            <w:tcW w:w="812" w:type="dxa"/>
            <w:hideMark/>
          </w:tcPr>
          <w:p w14:paraId="4325EE4F" w14:textId="77777777" w:rsidR="004B3A66" w:rsidRPr="00F647D7" w:rsidRDefault="004B3A66" w:rsidP="00573539">
            <w:pPr>
              <w:tabs>
                <w:tab w:val="clear" w:pos="567"/>
              </w:tabs>
              <w:spacing w:before="40" w:after="40"/>
              <w:rPr>
                <w:sz w:val="22"/>
              </w:rPr>
            </w:pPr>
            <w:r w:rsidRPr="00F647D7">
              <w:rPr>
                <w:sz w:val="22"/>
              </w:rPr>
              <w:lastRenderedPageBreak/>
              <w:t>196</w:t>
            </w:r>
          </w:p>
        </w:tc>
        <w:tc>
          <w:tcPr>
            <w:tcW w:w="8539" w:type="dxa"/>
            <w:hideMark/>
          </w:tcPr>
          <w:p w14:paraId="213423EB" w14:textId="77777777" w:rsidR="004B3A66" w:rsidRPr="00F647D7" w:rsidRDefault="004B3A66" w:rsidP="00573539">
            <w:pPr>
              <w:tabs>
                <w:tab w:val="clear" w:pos="567"/>
              </w:tabs>
              <w:spacing w:before="40" w:after="40"/>
              <w:rPr>
                <w:sz w:val="22"/>
              </w:rPr>
            </w:pPr>
            <w:r w:rsidRPr="00F647D7">
              <w:rPr>
                <w:sz w:val="22"/>
              </w:rPr>
              <w:t xml:space="preserve">Jensen, BB, Ersboll, AK, Korsholm, H, Skall, HF, Olesen, NJ 2014, ‘Spatio-temporal risk factors for viral haemorrhagic septicaemia (VHS) in Danish aquaculture’, </w:t>
            </w:r>
            <w:r w:rsidRPr="00F647D7">
              <w:rPr>
                <w:i/>
                <w:iCs/>
                <w:sz w:val="22"/>
              </w:rPr>
              <w:t>Diseases of Aquatic Organisms</w:t>
            </w:r>
            <w:r w:rsidRPr="00F647D7">
              <w:rPr>
                <w:sz w:val="22"/>
              </w:rPr>
              <w:t>, vol. 109, pp. 87–97.</w:t>
            </w:r>
          </w:p>
        </w:tc>
      </w:tr>
      <w:tr w:rsidR="004B3A66" w:rsidRPr="00F647D7" w14:paraId="55ABD972" w14:textId="77777777" w:rsidTr="00573539">
        <w:tc>
          <w:tcPr>
            <w:tcW w:w="812" w:type="dxa"/>
            <w:hideMark/>
          </w:tcPr>
          <w:p w14:paraId="4790370D" w14:textId="77777777" w:rsidR="004B3A66" w:rsidRPr="00F647D7" w:rsidRDefault="004B3A66" w:rsidP="00573539">
            <w:pPr>
              <w:tabs>
                <w:tab w:val="clear" w:pos="567"/>
              </w:tabs>
              <w:spacing w:before="40" w:after="40"/>
              <w:rPr>
                <w:sz w:val="22"/>
              </w:rPr>
            </w:pPr>
            <w:r w:rsidRPr="00F647D7">
              <w:rPr>
                <w:sz w:val="22"/>
              </w:rPr>
              <w:t>197</w:t>
            </w:r>
          </w:p>
        </w:tc>
        <w:tc>
          <w:tcPr>
            <w:tcW w:w="8539" w:type="dxa"/>
            <w:hideMark/>
          </w:tcPr>
          <w:p w14:paraId="029CD534" w14:textId="77777777" w:rsidR="004B3A66" w:rsidRPr="00F647D7" w:rsidRDefault="004B3A66" w:rsidP="00573539">
            <w:pPr>
              <w:tabs>
                <w:tab w:val="clear" w:pos="567"/>
              </w:tabs>
              <w:spacing w:before="40" w:after="40"/>
              <w:rPr>
                <w:sz w:val="22"/>
              </w:rPr>
            </w:pPr>
            <w:r w:rsidRPr="00F647D7">
              <w:rPr>
                <w:sz w:val="22"/>
              </w:rPr>
              <w:t xml:space="preserve">Lightner, DV 2003, ‘The penaeid shrimp viral pandemics due to IHHNV, WSSV, TSV and YHV: History in the Americas and current status’, </w:t>
            </w:r>
            <w:r w:rsidRPr="00F647D7">
              <w:rPr>
                <w:iCs/>
                <w:sz w:val="22"/>
              </w:rPr>
              <w:t>in</w:t>
            </w:r>
            <w:r w:rsidRPr="00F647D7">
              <w:rPr>
                <w:i/>
                <w:iCs/>
                <w:sz w:val="22"/>
              </w:rPr>
              <w:t xml:space="preserve"> Proceedings of the 32nd Joint UJNR Aquaculture Panel Symposium</w:t>
            </w:r>
            <w:r w:rsidRPr="00F647D7">
              <w:rPr>
                <w:sz w:val="22"/>
              </w:rPr>
              <w:t>, Davis and Santa Barbara, California, United States, pp. 17–20.</w:t>
            </w:r>
          </w:p>
        </w:tc>
      </w:tr>
      <w:tr w:rsidR="004B3A66" w:rsidRPr="00F647D7" w14:paraId="4A69C0B7" w14:textId="77777777" w:rsidTr="00573539">
        <w:tc>
          <w:tcPr>
            <w:tcW w:w="812" w:type="dxa"/>
            <w:hideMark/>
          </w:tcPr>
          <w:p w14:paraId="3CC1D50A" w14:textId="77777777" w:rsidR="004B3A66" w:rsidRPr="00F647D7" w:rsidRDefault="004B3A66" w:rsidP="00573539">
            <w:pPr>
              <w:tabs>
                <w:tab w:val="clear" w:pos="567"/>
              </w:tabs>
              <w:spacing w:before="40" w:after="40"/>
              <w:rPr>
                <w:sz w:val="22"/>
              </w:rPr>
            </w:pPr>
            <w:r w:rsidRPr="00F647D7">
              <w:rPr>
                <w:sz w:val="22"/>
              </w:rPr>
              <w:t>198</w:t>
            </w:r>
          </w:p>
        </w:tc>
        <w:tc>
          <w:tcPr>
            <w:tcW w:w="8539" w:type="dxa"/>
            <w:hideMark/>
          </w:tcPr>
          <w:p w14:paraId="7316BD51" w14:textId="77777777" w:rsidR="004B3A66" w:rsidRPr="00F647D7" w:rsidRDefault="004B3A66" w:rsidP="00573539">
            <w:pPr>
              <w:tabs>
                <w:tab w:val="clear" w:pos="567"/>
              </w:tabs>
              <w:spacing w:before="40" w:after="40"/>
              <w:rPr>
                <w:sz w:val="22"/>
              </w:rPr>
            </w:pPr>
            <w:r w:rsidRPr="00F647D7">
              <w:rPr>
                <w:sz w:val="22"/>
              </w:rPr>
              <w:t xml:space="preserve">Bondad-Reantaso, MG, Subasinghe, RP, Arthur, JR, Ogawa, K, Chinabut, S, Adlard, R, Tan, Z &amp; Shariff, M 2005, </w:t>
            </w:r>
            <w:hyperlink r:id="rId209" w:history="1">
              <w:r w:rsidRPr="00F647D7">
                <w:rPr>
                  <w:rStyle w:val="Hyperlink"/>
                  <w:sz w:val="22"/>
                </w:rPr>
                <w:t>Disease and health management in Asian aquaculture</w:t>
              </w:r>
            </w:hyperlink>
            <w:r w:rsidRPr="00F647D7">
              <w:rPr>
                <w:sz w:val="22"/>
              </w:rPr>
              <w:t xml:space="preserve">, </w:t>
            </w:r>
            <w:r w:rsidRPr="00F647D7">
              <w:rPr>
                <w:i/>
                <w:iCs/>
                <w:sz w:val="22"/>
              </w:rPr>
              <w:t>Veterinary Parasitology</w:t>
            </w:r>
            <w:r w:rsidRPr="00F647D7">
              <w:rPr>
                <w:sz w:val="22"/>
              </w:rPr>
              <w:t>, vol. 132, nos 3–4, pp. 249–72, doi: 10.1016/j.vetpar.2005.07.005.</w:t>
            </w:r>
          </w:p>
        </w:tc>
      </w:tr>
      <w:tr w:rsidR="004B3A66" w:rsidRPr="00F647D7" w14:paraId="1A693282" w14:textId="77777777" w:rsidTr="00573539">
        <w:tc>
          <w:tcPr>
            <w:tcW w:w="812" w:type="dxa"/>
            <w:hideMark/>
          </w:tcPr>
          <w:p w14:paraId="561302B9" w14:textId="77777777" w:rsidR="004B3A66" w:rsidRPr="00F647D7" w:rsidRDefault="004B3A66" w:rsidP="00573539">
            <w:pPr>
              <w:tabs>
                <w:tab w:val="clear" w:pos="567"/>
              </w:tabs>
              <w:spacing w:before="40" w:after="40"/>
              <w:rPr>
                <w:sz w:val="22"/>
              </w:rPr>
            </w:pPr>
            <w:r w:rsidRPr="00F647D7">
              <w:rPr>
                <w:sz w:val="22"/>
              </w:rPr>
              <w:t>199</w:t>
            </w:r>
          </w:p>
        </w:tc>
        <w:tc>
          <w:tcPr>
            <w:tcW w:w="8539" w:type="dxa"/>
            <w:hideMark/>
          </w:tcPr>
          <w:p w14:paraId="325C4FAB" w14:textId="77777777" w:rsidR="004B3A66" w:rsidRPr="00F647D7" w:rsidRDefault="004B3A66" w:rsidP="00573539">
            <w:pPr>
              <w:tabs>
                <w:tab w:val="clear" w:pos="567"/>
              </w:tabs>
              <w:spacing w:before="40" w:after="40"/>
              <w:rPr>
                <w:sz w:val="22"/>
              </w:rPr>
            </w:pPr>
            <w:r w:rsidRPr="00F647D7">
              <w:rPr>
                <w:sz w:val="22"/>
              </w:rPr>
              <w:t xml:space="preserve">Department of Agriculture 2014, </w:t>
            </w:r>
            <w:hyperlink r:id="rId210" w:history="1">
              <w:r w:rsidRPr="00F647D7">
                <w:rPr>
                  <w:rStyle w:val="Hyperlink"/>
                  <w:sz w:val="22"/>
                </w:rPr>
                <w:t>AQUAPLAN 2014–2019: Australia’s national strategic plan for aquatic animal health</w:t>
              </w:r>
            </w:hyperlink>
            <w:r w:rsidRPr="00F647D7">
              <w:rPr>
                <w:sz w:val="22"/>
              </w:rPr>
              <w:t>, Canberra, accessed 12 September 2017.</w:t>
            </w:r>
          </w:p>
        </w:tc>
      </w:tr>
      <w:tr w:rsidR="004B3A66" w:rsidRPr="00F647D7" w14:paraId="102C7B6A" w14:textId="77777777" w:rsidTr="00573539">
        <w:tc>
          <w:tcPr>
            <w:tcW w:w="812" w:type="dxa"/>
            <w:hideMark/>
          </w:tcPr>
          <w:p w14:paraId="50C36178" w14:textId="77777777" w:rsidR="004B3A66" w:rsidRPr="00F647D7" w:rsidRDefault="004B3A66" w:rsidP="00573539">
            <w:pPr>
              <w:tabs>
                <w:tab w:val="clear" w:pos="567"/>
              </w:tabs>
              <w:spacing w:before="40" w:after="40"/>
              <w:rPr>
                <w:sz w:val="22"/>
              </w:rPr>
            </w:pPr>
            <w:r w:rsidRPr="00F647D7">
              <w:rPr>
                <w:sz w:val="22"/>
              </w:rPr>
              <w:t>200</w:t>
            </w:r>
          </w:p>
        </w:tc>
        <w:tc>
          <w:tcPr>
            <w:tcW w:w="8539" w:type="dxa"/>
            <w:hideMark/>
          </w:tcPr>
          <w:p w14:paraId="727F13EE" w14:textId="77777777" w:rsidR="004B3A66" w:rsidRPr="00F647D7" w:rsidRDefault="004B3A66" w:rsidP="00573539">
            <w:pPr>
              <w:tabs>
                <w:tab w:val="clear" w:pos="567"/>
              </w:tabs>
              <w:spacing w:before="40" w:after="40"/>
              <w:rPr>
                <w:sz w:val="22"/>
              </w:rPr>
            </w:pPr>
            <w:r w:rsidRPr="00F647D7">
              <w:rPr>
                <w:sz w:val="22"/>
              </w:rPr>
              <w:t xml:space="preserve">Webster, L 2017, </w:t>
            </w:r>
            <w:hyperlink r:id="rId211" w:history="1">
              <w:r w:rsidRPr="00F647D7">
                <w:rPr>
                  <w:rStyle w:val="Hyperlink"/>
                  <w:sz w:val="22"/>
                </w:rPr>
                <w:t>International expert says all stops needed to protect Australian prawns from white spot virus</w:t>
              </w:r>
            </w:hyperlink>
            <w:r w:rsidRPr="00F647D7">
              <w:rPr>
                <w:sz w:val="22"/>
              </w:rPr>
              <w:t xml:space="preserve">, </w:t>
            </w:r>
            <w:r w:rsidRPr="00F647D7">
              <w:rPr>
                <w:i/>
                <w:iCs/>
                <w:sz w:val="22"/>
              </w:rPr>
              <w:t>ABC News</w:t>
            </w:r>
            <w:r w:rsidRPr="00F647D7">
              <w:rPr>
                <w:sz w:val="22"/>
              </w:rPr>
              <w:t>, ABC Queensland, 24 March, accessed 12 July 2017.</w:t>
            </w:r>
          </w:p>
        </w:tc>
      </w:tr>
      <w:tr w:rsidR="004B3A66" w:rsidRPr="00F647D7" w14:paraId="08FAAB7C" w14:textId="77777777" w:rsidTr="00573539">
        <w:tc>
          <w:tcPr>
            <w:tcW w:w="812" w:type="dxa"/>
            <w:hideMark/>
          </w:tcPr>
          <w:p w14:paraId="15873EFE" w14:textId="77777777" w:rsidR="004B3A66" w:rsidRPr="00F647D7" w:rsidRDefault="004B3A66" w:rsidP="00573539">
            <w:pPr>
              <w:tabs>
                <w:tab w:val="clear" w:pos="567"/>
              </w:tabs>
              <w:spacing w:before="40" w:after="40"/>
              <w:rPr>
                <w:sz w:val="22"/>
              </w:rPr>
            </w:pPr>
            <w:r w:rsidRPr="00F647D7">
              <w:rPr>
                <w:sz w:val="22"/>
              </w:rPr>
              <w:t>201</w:t>
            </w:r>
          </w:p>
        </w:tc>
        <w:tc>
          <w:tcPr>
            <w:tcW w:w="8539" w:type="dxa"/>
            <w:hideMark/>
          </w:tcPr>
          <w:p w14:paraId="00885392" w14:textId="77777777" w:rsidR="004B3A66" w:rsidRPr="00F647D7" w:rsidRDefault="004B3A66" w:rsidP="00573539">
            <w:pPr>
              <w:tabs>
                <w:tab w:val="clear" w:pos="567"/>
              </w:tabs>
              <w:spacing w:before="40" w:after="40"/>
              <w:rPr>
                <w:sz w:val="22"/>
              </w:rPr>
            </w:pPr>
            <w:r w:rsidRPr="00F647D7">
              <w:rPr>
                <w:sz w:val="22"/>
              </w:rPr>
              <w:t xml:space="preserve">Southeast Asian Fisheries Development Center 2007, </w:t>
            </w:r>
            <w:hyperlink r:id="rId212" w:history="1">
              <w:r w:rsidRPr="00F647D7">
                <w:rPr>
                  <w:rStyle w:val="Hyperlink"/>
                  <w:sz w:val="22"/>
                </w:rPr>
                <w:t>Biosecurity for shrimp farms</w:t>
              </w:r>
            </w:hyperlink>
            <w:r w:rsidRPr="00F647D7">
              <w:rPr>
                <w:sz w:val="22"/>
              </w:rPr>
              <w:t>, Bangkok, Thailand, accessed 27 June 2017.</w:t>
            </w:r>
          </w:p>
        </w:tc>
      </w:tr>
      <w:tr w:rsidR="004B3A66" w:rsidRPr="00F647D7" w14:paraId="634C35EF" w14:textId="77777777" w:rsidTr="00573539">
        <w:tc>
          <w:tcPr>
            <w:tcW w:w="812" w:type="dxa"/>
            <w:hideMark/>
          </w:tcPr>
          <w:p w14:paraId="1391644E" w14:textId="77777777" w:rsidR="004B3A66" w:rsidRPr="00F647D7" w:rsidRDefault="004B3A66" w:rsidP="00573539">
            <w:pPr>
              <w:tabs>
                <w:tab w:val="clear" w:pos="567"/>
              </w:tabs>
              <w:spacing w:before="40" w:after="40"/>
              <w:rPr>
                <w:sz w:val="22"/>
              </w:rPr>
            </w:pPr>
            <w:r w:rsidRPr="00F647D7">
              <w:rPr>
                <w:sz w:val="22"/>
              </w:rPr>
              <w:t>202</w:t>
            </w:r>
          </w:p>
        </w:tc>
        <w:tc>
          <w:tcPr>
            <w:tcW w:w="8539" w:type="dxa"/>
            <w:hideMark/>
          </w:tcPr>
          <w:p w14:paraId="4BC1C26A" w14:textId="77777777" w:rsidR="004B3A66" w:rsidRPr="00F647D7" w:rsidRDefault="004B3A66" w:rsidP="00573539">
            <w:pPr>
              <w:tabs>
                <w:tab w:val="clear" w:pos="567"/>
              </w:tabs>
              <w:spacing w:before="40" w:after="40"/>
              <w:rPr>
                <w:sz w:val="22"/>
              </w:rPr>
            </w:pPr>
            <w:r w:rsidRPr="00F647D7">
              <w:rPr>
                <w:sz w:val="22"/>
              </w:rPr>
              <w:t xml:space="preserve">Taw, N 2010, </w:t>
            </w:r>
            <w:hyperlink r:id="rId213" w:history="1">
              <w:r w:rsidRPr="00F647D7">
                <w:rPr>
                  <w:rStyle w:val="Hyperlink"/>
                  <w:sz w:val="22"/>
                </w:rPr>
                <w:t>Commercial shrimp (Litopenaeus vannamei) farming using biofloc system</w:t>
              </w:r>
            </w:hyperlink>
            <w:r w:rsidRPr="00F647D7">
              <w:rPr>
                <w:sz w:val="22"/>
              </w:rPr>
              <w:t>, presentation to Aquaculture Seminar Series, Biofloc and Recirculation Systems for Aquaculture, Kuala Lumpur, Malaysia, 19 June, accessed 27 June 2017.</w:t>
            </w:r>
          </w:p>
        </w:tc>
      </w:tr>
      <w:tr w:rsidR="004B3A66" w:rsidRPr="00F647D7" w14:paraId="3F33E55A" w14:textId="77777777" w:rsidTr="00573539">
        <w:tc>
          <w:tcPr>
            <w:tcW w:w="812" w:type="dxa"/>
            <w:hideMark/>
          </w:tcPr>
          <w:p w14:paraId="7DBDF6AD" w14:textId="77777777" w:rsidR="004B3A66" w:rsidRPr="00F647D7" w:rsidRDefault="004B3A66" w:rsidP="00573539">
            <w:pPr>
              <w:tabs>
                <w:tab w:val="clear" w:pos="567"/>
              </w:tabs>
              <w:spacing w:before="40" w:after="40"/>
              <w:rPr>
                <w:sz w:val="22"/>
              </w:rPr>
            </w:pPr>
            <w:r w:rsidRPr="00F647D7">
              <w:rPr>
                <w:sz w:val="22"/>
              </w:rPr>
              <w:t>203</w:t>
            </w:r>
          </w:p>
        </w:tc>
        <w:tc>
          <w:tcPr>
            <w:tcW w:w="8539" w:type="dxa"/>
            <w:hideMark/>
          </w:tcPr>
          <w:p w14:paraId="7BAD376A" w14:textId="031E6D7F" w:rsidR="004B3A66" w:rsidRPr="00F647D7" w:rsidRDefault="003D7F79" w:rsidP="003D7F79">
            <w:pPr>
              <w:tabs>
                <w:tab w:val="clear" w:pos="567"/>
              </w:tabs>
              <w:spacing w:before="40" w:after="40"/>
              <w:rPr>
                <w:sz w:val="22"/>
              </w:rPr>
            </w:pPr>
            <w:r>
              <w:rPr>
                <w:sz w:val="22"/>
              </w:rPr>
              <w:t>Dick</w:t>
            </w:r>
            <w:r w:rsidR="004B3A66" w:rsidRPr="00F647D7">
              <w:rPr>
                <w:sz w:val="22"/>
              </w:rPr>
              <w:t xml:space="preserve">, </w:t>
            </w:r>
            <w:r>
              <w:rPr>
                <w:sz w:val="22"/>
              </w:rPr>
              <w:t>A</w:t>
            </w:r>
            <w:r w:rsidR="004B3A66" w:rsidRPr="00F647D7">
              <w:rPr>
                <w:sz w:val="22"/>
              </w:rPr>
              <w:t xml:space="preserve"> 2017, </w:t>
            </w:r>
            <w:hyperlink r:id="rId214" w:history="1">
              <w:r w:rsidR="004B3A66" w:rsidRPr="00F647D7">
                <w:rPr>
                  <w:rStyle w:val="Hyperlink"/>
                  <w:sz w:val="22"/>
                </w:rPr>
                <w:t>Evidence to Senate Rural and Regional Affairs and Transport References Committee</w:t>
              </w:r>
            </w:hyperlink>
            <w:r w:rsidR="004B3A66" w:rsidRPr="00F647D7">
              <w:rPr>
                <w:sz w:val="22"/>
              </w:rPr>
              <w:t>, Parliament of Australia, Yatala, 27 June, p. 2, accessed 15 July 2017.</w:t>
            </w:r>
          </w:p>
        </w:tc>
      </w:tr>
      <w:tr w:rsidR="004B3A66" w:rsidRPr="00F647D7" w14:paraId="1B171EBB" w14:textId="77777777" w:rsidTr="00573539">
        <w:tc>
          <w:tcPr>
            <w:tcW w:w="812" w:type="dxa"/>
            <w:hideMark/>
          </w:tcPr>
          <w:p w14:paraId="44F293AC" w14:textId="77777777" w:rsidR="004B3A66" w:rsidRPr="00F647D7" w:rsidRDefault="004B3A66" w:rsidP="00573539">
            <w:pPr>
              <w:tabs>
                <w:tab w:val="clear" w:pos="567"/>
              </w:tabs>
              <w:spacing w:before="40" w:after="40"/>
              <w:rPr>
                <w:sz w:val="22"/>
              </w:rPr>
            </w:pPr>
            <w:r w:rsidRPr="00F647D7">
              <w:rPr>
                <w:sz w:val="22"/>
              </w:rPr>
              <w:t>204</w:t>
            </w:r>
          </w:p>
        </w:tc>
        <w:tc>
          <w:tcPr>
            <w:tcW w:w="8539" w:type="dxa"/>
            <w:hideMark/>
          </w:tcPr>
          <w:p w14:paraId="29180F7E" w14:textId="77777777" w:rsidR="004B3A66" w:rsidRPr="00F647D7" w:rsidRDefault="004B3A66" w:rsidP="00573539">
            <w:pPr>
              <w:tabs>
                <w:tab w:val="clear" w:pos="567"/>
              </w:tabs>
              <w:spacing w:before="40" w:after="40"/>
              <w:rPr>
                <w:sz w:val="22"/>
              </w:rPr>
            </w:pPr>
            <w:r w:rsidRPr="00F647D7">
              <w:rPr>
                <w:sz w:val="22"/>
              </w:rPr>
              <w:t xml:space="preserve">New South Wales Department of Primary Industries 2017, </w:t>
            </w:r>
            <w:hyperlink r:id="rId215" w:history="1">
              <w:r w:rsidRPr="00F647D7">
                <w:rPr>
                  <w:rStyle w:val="Hyperlink"/>
                  <w:sz w:val="22"/>
                </w:rPr>
                <w:t>Recreational fishing education</w:t>
              </w:r>
            </w:hyperlink>
            <w:r w:rsidRPr="00F647D7">
              <w:rPr>
                <w:sz w:val="22"/>
              </w:rPr>
              <w:t>, Sydney, accessed 13 July 2017.</w:t>
            </w:r>
          </w:p>
        </w:tc>
      </w:tr>
      <w:tr w:rsidR="004B3A66" w:rsidRPr="00F647D7" w14:paraId="064061AF" w14:textId="77777777" w:rsidTr="00573539">
        <w:tc>
          <w:tcPr>
            <w:tcW w:w="812" w:type="dxa"/>
            <w:hideMark/>
          </w:tcPr>
          <w:p w14:paraId="6102AA1F" w14:textId="77777777" w:rsidR="004B3A66" w:rsidRPr="00F647D7" w:rsidRDefault="004B3A66" w:rsidP="00573539">
            <w:pPr>
              <w:tabs>
                <w:tab w:val="clear" w:pos="567"/>
              </w:tabs>
              <w:spacing w:before="40" w:after="40"/>
              <w:rPr>
                <w:sz w:val="22"/>
              </w:rPr>
            </w:pPr>
            <w:r w:rsidRPr="00F647D7">
              <w:rPr>
                <w:sz w:val="22"/>
              </w:rPr>
              <w:t>205</w:t>
            </w:r>
          </w:p>
        </w:tc>
        <w:tc>
          <w:tcPr>
            <w:tcW w:w="8539" w:type="dxa"/>
            <w:hideMark/>
          </w:tcPr>
          <w:p w14:paraId="3E455E53" w14:textId="77777777" w:rsidR="004B3A66" w:rsidRPr="00F647D7" w:rsidRDefault="004B3A66" w:rsidP="00573539">
            <w:pPr>
              <w:tabs>
                <w:tab w:val="clear" w:pos="567"/>
              </w:tabs>
              <w:spacing w:before="40" w:after="40"/>
              <w:rPr>
                <w:sz w:val="22"/>
              </w:rPr>
            </w:pPr>
            <w:r w:rsidRPr="00F647D7">
              <w:rPr>
                <w:sz w:val="22"/>
              </w:rPr>
              <w:t xml:space="preserve">WA Fisheries 2016, </w:t>
            </w:r>
            <w:hyperlink r:id="rId216" w:history="1">
              <w:r w:rsidRPr="00F647D7">
                <w:rPr>
                  <w:rStyle w:val="Hyperlink"/>
                  <w:sz w:val="22"/>
                </w:rPr>
                <w:t>Education</w:t>
              </w:r>
            </w:hyperlink>
            <w:r w:rsidRPr="00F647D7">
              <w:rPr>
                <w:sz w:val="22"/>
              </w:rPr>
              <w:t>, Department of Primary Industries and Regional Development, Perth, 16 December, accessed 13 July 2017.</w:t>
            </w:r>
          </w:p>
        </w:tc>
      </w:tr>
      <w:tr w:rsidR="004B3A66" w:rsidRPr="00F647D7" w14:paraId="0D5804FC" w14:textId="77777777" w:rsidTr="00573539">
        <w:tc>
          <w:tcPr>
            <w:tcW w:w="812" w:type="dxa"/>
            <w:hideMark/>
          </w:tcPr>
          <w:p w14:paraId="6EF02DA5" w14:textId="77777777" w:rsidR="004B3A66" w:rsidRPr="00F647D7" w:rsidRDefault="004B3A66" w:rsidP="00573539">
            <w:pPr>
              <w:tabs>
                <w:tab w:val="clear" w:pos="567"/>
              </w:tabs>
              <w:spacing w:before="40" w:after="40"/>
              <w:rPr>
                <w:sz w:val="22"/>
              </w:rPr>
            </w:pPr>
            <w:r w:rsidRPr="00F647D7">
              <w:rPr>
                <w:sz w:val="22"/>
              </w:rPr>
              <w:t>206</w:t>
            </w:r>
          </w:p>
        </w:tc>
        <w:tc>
          <w:tcPr>
            <w:tcW w:w="8539" w:type="dxa"/>
            <w:hideMark/>
          </w:tcPr>
          <w:p w14:paraId="0F140031" w14:textId="77777777" w:rsidR="004B3A66" w:rsidRPr="00F647D7" w:rsidRDefault="004B3A66" w:rsidP="00573539">
            <w:pPr>
              <w:tabs>
                <w:tab w:val="clear" w:pos="567"/>
              </w:tabs>
              <w:spacing w:before="40" w:after="40"/>
              <w:rPr>
                <w:sz w:val="22"/>
              </w:rPr>
            </w:pPr>
            <w:r w:rsidRPr="00F647D7">
              <w:rPr>
                <w:sz w:val="22"/>
              </w:rPr>
              <w:t xml:space="preserve">Victorian Fisheries Authority n.d., </w:t>
            </w:r>
            <w:hyperlink r:id="rId217" w:history="1">
              <w:r w:rsidRPr="00F647D7">
                <w:rPr>
                  <w:rStyle w:val="Hyperlink"/>
                  <w:sz w:val="22"/>
                </w:rPr>
                <w:t>Enforcement and education</w:t>
              </w:r>
            </w:hyperlink>
            <w:r w:rsidRPr="00F647D7">
              <w:rPr>
                <w:sz w:val="22"/>
              </w:rPr>
              <w:t>, accessed 13 July 2017.</w:t>
            </w:r>
          </w:p>
        </w:tc>
      </w:tr>
      <w:tr w:rsidR="004B3A66" w:rsidRPr="00F647D7" w14:paraId="6C2F9AF4" w14:textId="77777777" w:rsidTr="00573539">
        <w:tc>
          <w:tcPr>
            <w:tcW w:w="812" w:type="dxa"/>
            <w:hideMark/>
          </w:tcPr>
          <w:p w14:paraId="04C3FF55" w14:textId="77777777" w:rsidR="004B3A66" w:rsidRPr="00F647D7" w:rsidRDefault="004B3A66" w:rsidP="00573539">
            <w:pPr>
              <w:tabs>
                <w:tab w:val="clear" w:pos="567"/>
              </w:tabs>
              <w:spacing w:before="40" w:after="40"/>
              <w:rPr>
                <w:sz w:val="22"/>
              </w:rPr>
            </w:pPr>
            <w:r w:rsidRPr="00F647D7">
              <w:rPr>
                <w:sz w:val="22"/>
              </w:rPr>
              <w:t>207</w:t>
            </w:r>
          </w:p>
        </w:tc>
        <w:tc>
          <w:tcPr>
            <w:tcW w:w="8539" w:type="dxa"/>
            <w:hideMark/>
          </w:tcPr>
          <w:p w14:paraId="6E2713CD" w14:textId="77777777" w:rsidR="004B3A66" w:rsidRPr="00F647D7" w:rsidRDefault="004B3A66" w:rsidP="00573539">
            <w:pPr>
              <w:tabs>
                <w:tab w:val="clear" w:pos="567"/>
              </w:tabs>
              <w:spacing w:before="40" w:after="40"/>
              <w:rPr>
                <w:sz w:val="22"/>
              </w:rPr>
            </w:pPr>
            <w:r w:rsidRPr="00F647D7">
              <w:rPr>
                <w:sz w:val="22"/>
              </w:rPr>
              <w:t xml:space="preserve">Leave no trace 2009, </w:t>
            </w:r>
            <w:hyperlink r:id="rId218" w:history="1">
              <w:r w:rsidRPr="00F647D7">
                <w:rPr>
                  <w:rStyle w:val="Hyperlink"/>
                  <w:sz w:val="22"/>
                </w:rPr>
                <w:t>Recreational activities within public drinking water source areas</w:t>
              </w:r>
            </w:hyperlink>
            <w:r w:rsidRPr="00F647D7">
              <w:rPr>
                <w:sz w:val="22"/>
              </w:rPr>
              <w:t>, submission to the Standing Committee on Public Administration Inquiry into recreation activities within public drinking water source areas, Western Australia, 17 December, accessed 19 May 2017.</w:t>
            </w:r>
          </w:p>
        </w:tc>
      </w:tr>
    </w:tbl>
    <w:p w14:paraId="76F7F934" w14:textId="694015CF" w:rsidR="008078E0" w:rsidRPr="00D83C78" w:rsidRDefault="008078E0" w:rsidP="00F647D7">
      <w:pPr>
        <w:tabs>
          <w:tab w:val="clear" w:pos="567"/>
        </w:tabs>
        <w:spacing w:before="0" w:after="0"/>
        <w:rPr>
          <w:b/>
          <w:sz w:val="28"/>
          <w:szCs w:val="28"/>
        </w:rPr>
      </w:pPr>
    </w:p>
    <w:sectPr w:rsidR="008078E0" w:rsidRPr="00D83C78" w:rsidSect="00BD5624">
      <w:headerReference w:type="default" r:id="rId219"/>
      <w:footerReference w:type="default" r:id="rId220"/>
      <w:endnotePr>
        <w:numFmt w:val="decimal"/>
      </w:endnotePr>
      <w:pgSz w:w="11906" w:h="16838" w:code="9"/>
      <w:pgMar w:top="1583" w:right="1247" w:bottom="1560" w:left="1247" w:header="567" w:footer="66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099CFF" w14:textId="77777777" w:rsidR="00F94281" w:rsidRDefault="00F94281">
      <w:pPr>
        <w:spacing w:after="0"/>
      </w:pPr>
      <w:r>
        <w:separator/>
      </w:r>
    </w:p>
    <w:p w14:paraId="46D8E948" w14:textId="77777777" w:rsidR="00F94281" w:rsidRDefault="00F94281"/>
    <w:p w14:paraId="0A7A58BC" w14:textId="77777777" w:rsidR="00F94281" w:rsidRDefault="00F94281"/>
    <w:p w14:paraId="30B7D815" w14:textId="77777777" w:rsidR="00F94281" w:rsidRDefault="00F94281"/>
    <w:p w14:paraId="1BF8ECDA" w14:textId="77777777" w:rsidR="00F94281" w:rsidRDefault="00F94281"/>
    <w:p w14:paraId="4751ACBB" w14:textId="77777777" w:rsidR="00F94281" w:rsidRDefault="00F94281"/>
  </w:endnote>
  <w:endnote w:type="continuationSeparator" w:id="0">
    <w:p w14:paraId="3EBFFD21" w14:textId="77777777" w:rsidR="00F94281" w:rsidRDefault="00F94281">
      <w:pPr>
        <w:spacing w:after="0"/>
      </w:pPr>
      <w:r>
        <w:continuationSeparator/>
      </w:r>
    </w:p>
    <w:p w14:paraId="665EAB29" w14:textId="77777777" w:rsidR="00F94281" w:rsidRDefault="00F94281"/>
    <w:p w14:paraId="58D92B5F" w14:textId="77777777" w:rsidR="00F94281" w:rsidRDefault="00F94281"/>
    <w:p w14:paraId="38041C08" w14:textId="77777777" w:rsidR="00F94281" w:rsidRDefault="00F94281"/>
    <w:p w14:paraId="601AFEC6" w14:textId="77777777" w:rsidR="00F94281" w:rsidRDefault="00F94281"/>
    <w:p w14:paraId="5C8C7D5B" w14:textId="77777777" w:rsidR="00F94281" w:rsidRDefault="00F942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TradeGothic">
    <w:panose1 w:val="00000000000000000000"/>
    <w:charset w:val="00"/>
    <w:family w:val="swiss"/>
    <w:notTrueType/>
    <w:pitch w:val="default"/>
    <w:sig w:usb0="00000003" w:usb1="00000000" w:usb2="00000000" w:usb3="00000000" w:csb0="00000001" w:csb1="00000000"/>
  </w:font>
  <w:font w:name="AGaramond-Regular">
    <w:panose1 w:val="00000000000000000000"/>
    <w:charset w:val="00"/>
    <w:family w:val="auto"/>
    <w:notTrueType/>
    <w:pitch w:val="default"/>
    <w:sig w:usb0="00000003" w:usb1="00000000" w:usb2="00000000" w:usb3="00000000" w:csb0="00000001" w:csb1="00000000"/>
  </w:font>
  <w:font w:name="TimesNewRomanPSMT">
    <w:altName w:val="MS Mincho"/>
    <w:panose1 w:val="00000000000000000000"/>
    <w:charset w:val="00"/>
    <w:family w:val="roman"/>
    <w:notTrueType/>
    <w:pitch w:val="default"/>
    <w:sig w:usb0="00000003" w:usb1="08070000" w:usb2="00000010" w:usb3="00000000" w:csb0="00020001" w:csb1="00000000"/>
  </w:font>
  <w:font w:name="Microsoft Sans Serif">
    <w:panose1 w:val="020B0604020202020204"/>
    <w:charset w:val="00"/>
    <w:family w:val="swiss"/>
    <w:pitch w:val="variable"/>
    <w:sig w:usb0="E1002AFF" w:usb1="C0000002" w:usb2="00000008" w:usb3="00000000" w:csb0="000101FF" w:csb1="00000000"/>
  </w:font>
  <w:font w:name="HelveticaNeue">
    <w:charset w:val="00"/>
    <w:family w:val="auto"/>
    <w:pitch w:val="variable"/>
    <w:sig w:usb0="E50002FF" w:usb1="500079DB" w:usb2="0000001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2265493"/>
      <w:docPartObj>
        <w:docPartGallery w:val="Page Numbers (Bottom of Page)"/>
        <w:docPartUnique/>
      </w:docPartObj>
    </w:sdtPr>
    <w:sdtEndPr>
      <w:rPr>
        <w:noProof/>
      </w:rPr>
    </w:sdtEndPr>
    <w:sdtContent>
      <w:p w14:paraId="70655656" w14:textId="77777777" w:rsidR="00F94281" w:rsidRDefault="00F94281">
        <w:pPr>
          <w:pStyle w:val="Footer"/>
        </w:pPr>
        <w:r>
          <w:fldChar w:fldCharType="begin"/>
        </w:r>
        <w:r>
          <w:instrText xml:space="preserve"> PAGE   \* MERGEFORMAT </w:instrText>
        </w:r>
        <w:r>
          <w:fldChar w:fldCharType="separate"/>
        </w:r>
        <w:r w:rsidR="00F329C0">
          <w:rPr>
            <w:noProof/>
          </w:rPr>
          <w:t>ii</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756BB" w14:textId="77777777" w:rsidR="00F94281" w:rsidRDefault="00F94281">
    <w:pPr>
      <w:pStyle w:val="Footer"/>
      <w:pBdr>
        <w:top w:val="none" w:sz="0" w:space="0" w:color="auto"/>
      </w:pBdr>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4931756"/>
      <w:docPartObj>
        <w:docPartGallery w:val="Page Numbers (Bottom of Page)"/>
        <w:docPartUnique/>
      </w:docPartObj>
    </w:sdtPr>
    <w:sdtEndPr>
      <w:rPr>
        <w:noProof/>
      </w:rPr>
    </w:sdtEndPr>
    <w:sdtContent>
      <w:p w14:paraId="5B5A4636" w14:textId="086A7146" w:rsidR="00F94281" w:rsidRPr="00BD5624" w:rsidRDefault="00F94281" w:rsidP="00BD5624">
        <w:pPr>
          <w:pStyle w:val="Footer"/>
          <w:rPr>
            <w:rFonts w:cs="Times New Roman"/>
            <w:noProof/>
            <w:sz w:val="24"/>
            <w:lang w:val="en-AU" w:eastAsia="en-US" w:bidi="ar-SA"/>
          </w:rPr>
        </w:pPr>
        <w:r>
          <w:fldChar w:fldCharType="begin"/>
        </w:r>
        <w:r>
          <w:instrText xml:space="preserve"> PAGE   \* MERGEFORMAT </w:instrText>
        </w:r>
        <w:r>
          <w:fldChar w:fldCharType="separate"/>
        </w:r>
        <w:r w:rsidR="00F329C0">
          <w:rPr>
            <w:noProof/>
          </w:rPr>
          <w:t>16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7BB3E4" w14:textId="77777777" w:rsidR="00F94281" w:rsidRDefault="00F94281">
      <w:pPr>
        <w:spacing w:after="0"/>
      </w:pPr>
      <w:r>
        <w:separator/>
      </w:r>
    </w:p>
    <w:p w14:paraId="602000D9" w14:textId="77777777" w:rsidR="00F94281" w:rsidRDefault="00F94281"/>
    <w:p w14:paraId="3A280CC7" w14:textId="77777777" w:rsidR="00F94281" w:rsidRDefault="00F94281"/>
    <w:p w14:paraId="4B2E0DD2" w14:textId="77777777" w:rsidR="00F94281" w:rsidRDefault="00F94281"/>
  </w:footnote>
  <w:footnote w:type="continuationSeparator" w:id="0">
    <w:p w14:paraId="0A6A9B37" w14:textId="77777777" w:rsidR="00F94281" w:rsidRDefault="00F94281">
      <w:pPr>
        <w:spacing w:after="0"/>
      </w:pPr>
      <w:r>
        <w:continuationSeparator/>
      </w:r>
    </w:p>
    <w:p w14:paraId="36D14900" w14:textId="77777777" w:rsidR="00F94281" w:rsidRDefault="00F94281"/>
    <w:p w14:paraId="15EA4B6F" w14:textId="77777777" w:rsidR="00F94281" w:rsidRDefault="00F94281"/>
    <w:p w14:paraId="5ED40848" w14:textId="77777777" w:rsidR="00F94281" w:rsidRDefault="00F94281"/>
    <w:p w14:paraId="025246AE" w14:textId="77777777" w:rsidR="00F94281" w:rsidRDefault="00F94281"/>
    <w:p w14:paraId="7EC3F59B" w14:textId="77777777" w:rsidR="00F94281" w:rsidRDefault="00F9428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3F996" w14:textId="2AFD3AC1" w:rsidR="00F94281" w:rsidRDefault="00F94281" w:rsidP="00BF053B">
    <w:pPr>
      <w:pStyle w:val="Header"/>
      <w:pBdr>
        <w:bottom w:val="single" w:sz="4" w:space="6" w:color="auto"/>
      </w:pBdr>
      <w:tabs>
        <w:tab w:val="clear" w:pos="567"/>
        <w:tab w:val="clear" w:pos="4820"/>
        <w:tab w:val="right" w:pos="9356"/>
      </w:tabs>
      <w:spacing w:after="240"/>
      <w:jc w:val="left"/>
      <w:rPr>
        <w:sz w:val="22"/>
        <w:szCs w:val="22"/>
        <w:lang w:val="en-AU"/>
      </w:rPr>
    </w:pPr>
    <w:r>
      <w:rPr>
        <w:sz w:val="22"/>
        <w:szCs w:val="22"/>
        <w:lang w:val="en-AU"/>
      </w:rPr>
      <w:t>Uncooked prawn imports: effectiveness of biosecurity controls</w:t>
    </w:r>
    <w:r>
      <w:rPr>
        <w:sz w:val="22"/>
        <w:szCs w:val="22"/>
        <w:lang w:val="en-AU"/>
      </w:rPr>
      <w:tab/>
      <w:t>IGB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C4BB8" w14:textId="77777777" w:rsidR="00F94281" w:rsidRDefault="00F94281">
    <w:pPr>
      <w:pStyle w:val="Heade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1DF90" w14:textId="60D5E2CB" w:rsidR="00F94281" w:rsidRPr="00BD5624" w:rsidRDefault="00F94281" w:rsidP="00BD5624">
    <w:pPr>
      <w:pStyle w:val="Header"/>
      <w:tabs>
        <w:tab w:val="clear" w:pos="567"/>
        <w:tab w:val="clear" w:pos="4820"/>
        <w:tab w:val="right" w:pos="9356"/>
      </w:tabs>
      <w:jc w:val="left"/>
      <w:rPr>
        <w:sz w:val="22"/>
        <w:szCs w:val="22"/>
      </w:rPr>
    </w:pPr>
    <w:r>
      <w:rPr>
        <w:sz w:val="22"/>
        <w:szCs w:val="22"/>
        <w:lang w:val="en-AU"/>
      </w:rPr>
      <w:t>Uncooked prawn imports: effectiveness of biosecurity controls</w:t>
    </w:r>
    <w:r>
      <w:rPr>
        <w:sz w:val="22"/>
        <w:szCs w:val="22"/>
        <w:lang w:val="en-AU"/>
      </w:rPr>
      <w:tab/>
      <w:t>IGB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21CCA3D"/>
    <w:multiLevelType w:val="hybridMultilevel"/>
    <w:tmpl w:val="FAED963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E7D8D3A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44E6C90"/>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BAA4CF08"/>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5" w15:restartNumberingAfterBreak="0">
    <w:nsid w:val="FFFFFF89"/>
    <w:multiLevelType w:val="singleLevel"/>
    <w:tmpl w:val="6DEE9AC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C6E54"/>
    <w:multiLevelType w:val="hybridMultilevel"/>
    <w:tmpl w:val="D5CEF056"/>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7" w15:restartNumberingAfterBreak="0">
    <w:nsid w:val="03A156C0"/>
    <w:multiLevelType w:val="multilevel"/>
    <w:tmpl w:val="6EFE61E4"/>
    <w:styleLink w:val="Part1"/>
    <w:lvl w:ilvl="0">
      <w:start w:val="1"/>
      <w:numFmt w:val="lowerRoman"/>
      <w:pStyle w:val="ListNumber"/>
      <w:lvlText w:val="%1)"/>
      <w:lvlJc w:val="left"/>
      <w:pPr>
        <w:ind w:left="567" w:hanging="567"/>
      </w:pPr>
      <w:rPr>
        <w:rFonts w:hint="default"/>
      </w:rPr>
    </w:lvl>
    <w:lvl w:ilvl="1">
      <w:start w:val="1"/>
      <w:numFmt w:val="lowerLetter"/>
      <w:pStyle w:val="ListNumber2"/>
      <w:lvlText w:val="%2."/>
      <w:lvlJc w:val="left"/>
      <w:pPr>
        <w:ind w:left="1021" w:hanging="454"/>
      </w:pPr>
      <w:rPr>
        <w:rFonts w:hint="default"/>
      </w:rPr>
    </w:lvl>
    <w:lvl w:ilvl="2">
      <w:start w:val="1"/>
      <w:numFmt w:val="lowerRoman"/>
      <w:lvlText w:val="%3."/>
      <w:lvlJc w:val="righ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8" w15:restartNumberingAfterBreak="0">
    <w:nsid w:val="040F5E14"/>
    <w:multiLevelType w:val="hybridMultilevel"/>
    <w:tmpl w:val="C56C3C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04195F36"/>
    <w:multiLevelType w:val="hybridMultilevel"/>
    <w:tmpl w:val="71E83E02"/>
    <w:lvl w:ilvl="0" w:tplc="38CA202C">
      <w:numFmt w:val="bullet"/>
      <w:lvlText w:val="•"/>
      <w:lvlJc w:val="left"/>
      <w:pPr>
        <w:ind w:left="720" w:hanging="360"/>
      </w:pPr>
      <w:rPr>
        <w:rFonts w:ascii="Calibri" w:eastAsia="Calibri" w:hAnsi="Calibri" w:cs="Times New Roman" w:hint="default"/>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55B6D63"/>
    <w:multiLevelType w:val="hybridMultilevel"/>
    <w:tmpl w:val="9D565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EE6A9A"/>
    <w:multiLevelType w:val="multilevel"/>
    <w:tmpl w:val="D8665074"/>
    <w:styleLink w:val="LFO8"/>
    <w:lvl w:ilvl="0">
      <w:numFmt w:val="bullet"/>
      <w:lvlText w:val=""/>
      <w:lvlJc w:val="left"/>
      <w:pPr>
        <w:ind w:left="2871" w:hanging="360"/>
      </w:pPr>
      <w:rPr>
        <w:rFonts w:ascii="Symbol" w:hAnsi="Symbol"/>
      </w:rPr>
    </w:lvl>
    <w:lvl w:ilvl="1">
      <w:numFmt w:val="bullet"/>
      <w:lvlText w:val="•"/>
      <w:lvlJc w:val="left"/>
      <w:pPr>
        <w:ind w:left="2217" w:hanging="570"/>
      </w:pPr>
      <w:rPr>
        <w:rFonts w:ascii="Calibri" w:eastAsia="Calibri" w:hAnsi="Calibri" w:cs="Calibri"/>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12" w15:restartNumberingAfterBreak="0">
    <w:nsid w:val="192E30DB"/>
    <w:multiLevelType w:val="hybridMultilevel"/>
    <w:tmpl w:val="1794E5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96B606F"/>
    <w:multiLevelType w:val="hybridMultilevel"/>
    <w:tmpl w:val="E0560262"/>
    <w:lvl w:ilvl="0" w:tplc="A9884604">
      <w:start w:val="1"/>
      <w:numFmt w:val="bullet"/>
      <w:pStyle w:val="Table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950C91"/>
    <w:multiLevelType w:val="hybridMultilevel"/>
    <w:tmpl w:val="94D8A8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A4927E5"/>
    <w:multiLevelType w:val="hybridMultilevel"/>
    <w:tmpl w:val="A6AA61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17" w15:restartNumberingAfterBreak="0">
    <w:nsid w:val="1F123EC9"/>
    <w:multiLevelType w:val="hybridMultilevel"/>
    <w:tmpl w:val="EB6890D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8" w15:restartNumberingAfterBreak="0">
    <w:nsid w:val="20465044"/>
    <w:multiLevelType w:val="hybridMultilevel"/>
    <w:tmpl w:val="2F96DC9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1080" w:hanging="360"/>
      </w:pPr>
      <w:rPr>
        <w:rFonts w:ascii="Wingdings" w:hAnsi="Wingdings" w:hint="default"/>
      </w:rPr>
    </w:lvl>
    <w:lvl w:ilvl="3" w:tplc="0C090001">
      <w:start w:val="1"/>
      <w:numFmt w:val="bullet"/>
      <w:lvlText w:val=""/>
      <w:lvlJc w:val="left"/>
      <w:pPr>
        <w:ind w:left="1800" w:hanging="360"/>
      </w:pPr>
      <w:rPr>
        <w:rFonts w:ascii="Symbol" w:hAnsi="Symbol" w:hint="default"/>
      </w:rPr>
    </w:lvl>
    <w:lvl w:ilvl="4" w:tplc="0C090003">
      <w:start w:val="1"/>
      <w:numFmt w:val="bullet"/>
      <w:lvlText w:val="o"/>
      <w:lvlJc w:val="left"/>
      <w:pPr>
        <w:ind w:left="2520" w:hanging="360"/>
      </w:pPr>
      <w:rPr>
        <w:rFonts w:ascii="Courier New" w:hAnsi="Courier New" w:cs="Courier New" w:hint="default"/>
      </w:rPr>
    </w:lvl>
    <w:lvl w:ilvl="5" w:tplc="0C090005">
      <w:start w:val="1"/>
      <w:numFmt w:val="bullet"/>
      <w:lvlText w:val=""/>
      <w:lvlJc w:val="left"/>
      <w:pPr>
        <w:ind w:left="3240" w:hanging="360"/>
      </w:pPr>
      <w:rPr>
        <w:rFonts w:ascii="Wingdings" w:hAnsi="Wingdings" w:hint="default"/>
      </w:rPr>
    </w:lvl>
    <w:lvl w:ilvl="6" w:tplc="0C090001">
      <w:start w:val="1"/>
      <w:numFmt w:val="bullet"/>
      <w:lvlText w:val=""/>
      <w:lvlJc w:val="left"/>
      <w:pPr>
        <w:ind w:left="3960" w:hanging="360"/>
      </w:pPr>
      <w:rPr>
        <w:rFonts w:ascii="Symbol" w:hAnsi="Symbol" w:hint="default"/>
      </w:rPr>
    </w:lvl>
    <w:lvl w:ilvl="7" w:tplc="0C090003">
      <w:start w:val="1"/>
      <w:numFmt w:val="bullet"/>
      <w:lvlText w:val="o"/>
      <w:lvlJc w:val="left"/>
      <w:pPr>
        <w:ind w:left="4680" w:hanging="360"/>
      </w:pPr>
      <w:rPr>
        <w:rFonts w:ascii="Courier New" w:hAnsi="Courier New" w:cs="Courier New" w:hint="default"/>
      </w:rPr>
    </w:lvl>
    <w:lvl w:ilvl="8" w:tplc="0C090005">
      <w:start w:val="1"/>
      <w:numFmt w:val="bullet"/>
      <w:lvlText w:val=""/>
      <w:lvlJc w:val="left"/>
      <w:pPr>
        <w:ind w:left="5400" w:hanging="360"/>
      </w:pPr>
      <w:rPr>
        <w:rFonts w:ascii="Wingdings" w:hAnsi="Wingdings" w:hint="default"/>
      </w:rPr>
    </w:lvl>
  </w:abstractNum>
  <w:abstractNum w:abstractNumId="19" w15:restartNumberingAfterBreak="0">
    <w:nsid w:val="232D1E23"/>
    <w:multiLevelType w:val="multilevel"/>
    <w:tmpl w:val="1BD401F4"/>
    <w:numStyleLink w:val="Part2"/>
  </w:abstractNum>
  <w:abstractNum w:abstractNumId="20" w15:restartNumberingAfterBreak="0">
    <w:nsid w:val="258D4120"/>
    <w:multiLevelType w:val="multilevel"/>
    <w:tmpl w:val="62166416"/>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264C5D6F"/>
    <w:multiLevelType w:val="multilevel"/>
    <w:tmpl w:val="C576E114"/>
    <w:numStyleLink w:val="Headings"/>
  </w:abstractNum>
  <w:abstractNum w:abstractNumId="22" w15:restartNumberingAfterBreak="0">
    <w:nsid w:val="27412117"/>
    <w:multiLevelType w:val="hybridMultilevel"/>
    <w:tmpl w:val="618CAE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9B36237"/>
    <w:multiLevelType w:val="multilevel"/>
    <w:tmpl w:val="20F2356A"/>
    <w:styleLink w:val="Appendix"/>
    <w:lvl w:ilvl="0">
      <w:start w:val="1"/>
      <w:numFmt w:val="upperLetter"/>
      <w:lvlText w:val="Appendix %1"/>
      <w:lvlJc w:val="left"/>
      <w:pPr>
        <w:ind w:left="964" w:hanging="964"/>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4" w15:restartNumberingAfterBreak="0">
    <w:nsid w:val="2A913599"/>
    <w:multiLevelType w:val="multilevel"/>
    <w:tmpl w:val="02AA8FA0"/>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25" w15:restartNumberingAfterBreak="0">
    <w:nsid w:val="2F2425AB"/>
    <w:multiLevelType w:val="multilevel"/>
    <w:tmpl w:val="BC8603C0"/>
    <w:lvl w:ilvl="0">
      <w:start w:val="1"/>
      <w:numFmt w:val="decimal"/>
      <w:lvlText w:val="%1)"/>
      <w:lvlJc w:val="left"/>
      <w:pPr>
        <w:ind w:left="425" w:hanging="425"/>
      </w:pPr>
      <w:rPr>
        <w:color w:val="auto"/>
      </w:rPr>
    </w:lvl>
    <w:lvl w:ilvl="1">
      <w:start w:val="1"/>
      <w:numFmt w:val="lowerLetter"/>
      <w:lvlText w:val="%2)"/>
      <w:lvlJc w:val="left"/>
      <w:pPr>
        <w:ind w:left="794" w:hanging="369"/>
      </w:pPr>
    </w:lvl>
    <w:lvl w:ilvl="2">
      <w:start w:val="1"/>
      <w:numFmt w:val="lowerRoman"/>
      <w:lvlText w:val="%3)"/>
      <w:lvlJc w:val="right"/>
      <w:pPr>
        <w:ind w:left="1077" w:hanging="17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0CF2659"/>
    <w:multiLevelType w:val="hybridMultilevel"/>
    <w:tmpl w:val="A468B1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73E0B2D"/>
    <w:multiLevelType w:val="multilevel"/>
    <w:tmpl w:val="E438F216"/>
    <w:styleLink w:val="AppendixC3List"/>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none"/>
      <w:lvlText w:val="– "/>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8" w15:restartNumberingAfterBreak="0">
    <w:nsid w:val="4240666E"/>
    <w:multiLevelType w:val="multilevel"/>
    <w:tmpl w:val="C576E114"/>
    <w:numStyleLink w:val="Headings"/>
  </w:abstractNum>
  <w:abstractNum w:abstractNumId="29" w15:restartNumberingAfterBreak="0">
    <w:nsid w:val="43C80DAC"/>
    <w:multiLevelType w:val="hybridMultilevel"/>
    <w:tmpl w:val="43E8960A"/>
    <w:lvl w:ilvl="0" w:tplc="0C090001">
      <w:start w:val="1"/>
      <w:numFmt w:val="bullet"/>
      <w:lvlText w:val=""/>
      <w:lvlJc w:val="left"/>
      <w:pPr>
        <w:ind w:left="-130" w:hanging="360"/>
      </w:pPr>
      <w:rPr>
        <w:rFonts w:ascii="Symbol" w:hAnsi="Symbol" w:hint="default"/>
      </w:rPr>
    </w:lvl>
    <w:lvl w:ilvl="1" w:tplc="0C090003" w:tentative="1">
      <w:start w:val="1"/>
      <w:numFmt w:val="bullet"/>
      <w:lvlText w:val="o"/>
      <w:lvlJc w:val="left"/>
      <w:pPr>
        <w:ind w:left="590" w:hanging="360"/>
      </w:pPr>
      <w:rPr>
        <w:rFonts w:ascii="Courier New" w:hAnsi="Courier New" w:cs="Courier New" w:hint="default"/>
      </w:rPr>
    </w:lvl>
    <w:lvl w:ilvl="2" w:tplc="0C090005" w:tentative="1">
      <w:start w:val="1"/>
      <w:numFmt w:val="bullet"/>
      <w:lvlText w:val=""/>
      <w:lvlJc w:val="left"/>
      <w:pPr>
        <w:ind w:left="1310" w:hanging="360"/>
      </w:pPr>
      <w:rPr>
        <w:rFonts w:ascii="Wingdings" w:hAnsi="Wingdings" w:hint="default"/>
      </w:rPr>
    </w:lvl>
    <w:lvl w:ilvl="3" w:tplc="0C090001" w:tentative="1">
      <w:start w:val="1"/>
      <w:numFmt w:val="bullet"/>
      <w:lvlText w:val=""/>
      <w:lvlJc w:val="left"/>
      <w:pPr>
        <w:ind w:left="2030" w:hanging="360"/>
      </w:pPr>
      <w:rPr>
        <w:rFonts w:ascii="Symbol" w:hAnsi="Symbol" w:hint="default"/>
      </w:rPr>
    </w:lvl>
    <w:lvl w:ilvl="4" w:tplc="0C090003" w:tentative="1">
      <w:start w:val="1"/>
      <w:numFmt w:val="bullet"/>
      <w:lvlText w:val="o"/>
      <w:lvlJc w:val="left"/>
      <w:pPr>
        <w:ind w:left="2750" w:hanging="360"/>
      </w:pPr>
      <w:rPr>
        <w:rFonts w:ascii="Courier New" w:hAnsi="Courier New" w:cs="Courier New" w:hint="default"/>
      </w:rPr>
    </w:lvl>
    <w:lvl w:ilvl="5" w:tplc="0C090005" w:tentative="1">
      <w:start w:val="1"/>
      <w:numFmt w:val="bullet"/>
      <w:lvlText w:val=""/>
      <w:lvlJc w:val="left"/>
      <w:pPr>
        <w:ind w:left="3470" w:hanging="360"/>
      </w:pPr>
      <w:rPr>
        <w:rFonts w:ascii="Wingdings" w:hAnsi="Wingdings" w:hint="default"/>
      </w:rPr>
    </w:lvl>
    <w:lvl w:ilvl="6" w:tplc="0C090001" w:tentative="1">
      <w:start w:val="1"/>
      <w:numFmt w:val="bullet"/>
      <w:lvlText w:val=""/>
      <w:lvlJc w:val="left"/>
      <w:pPr>
        <w:ind w:left="4190" w:hanging="360"/>
      </w:pPr>
      <w:rPr>
        <w:rFonts w:ascii="Symbol" w:hAnsi="Symbol" w:hint="default"/>
      </w:rPr>
    </w:lvl>
    <w:lvl w:ilvl="7" w:tplc="0C090003" w:tentative="1">
      <w:start w:val="1"/>
      <w:numFmt w:val="bullet"/>
      <w:lvlText w:val="o"/>
      <w:lvlJc w:val="left"/>
      <w:pPr>
        <w:ind w:left="4910" w:hanging="360"/>
      </w:pPr>
      <w:rPr>
        <w:rFonts w:ascii="Courier New" w:hAnsi="Courier New" w:cs="Courier New" w:hint="default"/>
      </w:rPr>
    </w:lvl>
    <w:lvl w:ilvl="8" w:tplc="0C090005" w:tentative="1">
      <w:start w:val="1"/>
      <w:numFmt w:val="bullet"/>
      <w:lvlText w:val=""/>
      <w:lvlJc w:val="left"/>
      <w:pPr>
        <w:ind w:left="5630" w:hanging="360"/>
      </w:pPr>
      <w:rPr>
        <w:rFonts w:ascii="Wingdings" w:hAnsi="Wingdings" w:hint="default"/>
      </w:rPr>
    </w:lvl>
  </w:abstractNum>
  <w:abstractNum w:abstractNumId="30" w15:restartNumberingAfterBreak="0">
    <w:nsid w:val="44BE6CA6"/>
    <w:multiLevelType w:val="multilevel"/>
    <w:tmpl w:val="C576E114"/>
    <w:numStyleLink w:val="Headings"/>
  </w:abstractNum>
  <w:abstractNum w:abstractNumId="31" w15:restartNumberingAfterBreak="0">
    <w:nsid w:val="46DD5C12"/>
    <w:multiLevelType w:val="multilevel"/>
    <w:tmpl w:val="20F2356A"/>
    <w:numStyleLink w:val="Appendix"/>
  </w:abstractNum>
  <w:abstractNum w:abstractNumId="32" w15:restartNumberingAfterBreak="0">
    <w:nsid w:val="48411F5D"/>
    <w:multiLevelType w:val="hybridMultilevel"/>
    <w:tmpl w:val="B35EA8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BB40200"/>
    <w:multiLevelType w:val="hybridMultilevel"/>
    <w:tmpl w:val="F1C017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03C5BF3"/>
    <w:multiLevelType w:val="hybridMultilevel"/>
    <w:tmpl w:val="926CA7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2205260"/>
    <w:multiLevelType w:val="hybridMultilevel"/>
    <w:tmpl w:val="F4DC5C6A"/>
    <w:lvl w:ilvl="0" w:tplc="0C090019">
      <w:start w:val="1"/>
      <w:numFmt w:val="lowerLetter"/>
      <w:lvlText w:val="%1."/>
      <w:lvlJc w:val="left"/>
      <w:pPr>
        <w:ind w:left="1211" w:hanging="360"/>
      </w:p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37" w15:restartNumberingAfterBreak="0">
    <w:nsid w:val="55945AF0"/>
    <w:multiLevelType w:val="multilevel"/>
    <w:tmpl w:val="C576E114"/>
    <w:numStyleLink w:val="Headings"/>
  </w:abstractNum>
  <w:abstractNum w:abstractNumId="38" w15:restartNumberingAfterBreak="0">
    <w:nsid w:val="576174C2"/>
    <w:multiLevelType w:val="hybridMultilevel"/>
    <w:tmpl w:val="FE50D9E6"/>
    <w:lvl w:ilvl="0" w:tplc="FFCA95C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AA12966"/>
    <w:multiLevelType w:val="multilevel"/>
    <w:tmpl w:val="C762A95C"/>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0" w15:restartNumberingAfterBreak="0">
    <w:nsid w:val="5BF51EC7"/>
    <w:multiLevelType w:val="multilevel"/>
    <w:tmpl w:val="C576E114"/>
    <w:styleLink w:val="Headings"/>
    <w:lvl w:ilvl="0">
      <w:start w:val="1"/>
      <w:numFmt w:val="decimal"/>
      <w:pStyle w:val="Heading2"/>
      <w:lvlText w:val="%1"/>
      <w:lvlJc w:val="left"/>
      <w:pPr>
        <w:tabs>
          <w:tab w:val="num" w:pos="907"/>
        </w:tabs>
        <w:ind w:left="907" w:hanging="907"/>
      </w:pPr>
      <w:rPr>
        <w:rFonts w:ascii="Calibri" w:hAnsi="Calibri" w:hint="default"/>
        <w:b/>
        <w:i w:val="0"/>
      </w:rPr>
    </w:lvl>
    <w:lvl w:ilvl="1">
      <w:start w:val="1"/>
      <w:numFmt w:val="decimal"/>
      <w:pStyle w:val="Heading3"/>
      <w:lvlText w:val="%1.%2"/>
      <w:lvlJc w:val="left"/>
      <w:pPr>
        <w:tabs>
          <w:tab w:val="num" w:pos="907"/>
        </w:tabs>
        <w:ind w:left="907" w:hanging="907"/>
      </w:pPr>
      <w:rPr>
        <w:rFonts w:ascii="Calibri" w:hAnsi="Calibri" w:hint="default"/>
        <w:b/>
        <w:i w:val="0"/>
      </w:rPr>
    </w:lvl>
    <w:lvl w:ilvl="2">
      <w:start w:val="1"/>
      <w:numFmt w:val="decimal"/>
      <w:pStyle w:val="Heading4"/>
      <w:lvlText w:val="%1.%2.%3"/>
      <w:lvlJc w:val="left"/>
      <w:pPr>
        <w:tabs>
          <w:tab w:val="num" w:pos="907"/>
        </w:tabs>
        <w:ind w:left="907" w:hanging="907"/>
      </w:pPr>
      <w:rPr>
        <w:rFonts w:ascii="Calibri" w:hAnsi="Calibri" w:hint="default"/>
        <w:b/>
        <w:i w:val="0"/>
      </w:rPr>
    </w:lvl>
    <w:lvl w:ilvl="3">
      <w:start w:val="1"/>
      <w:numFmt w:val="none"/>
      <w:lvlText w:val=""/>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41" w15:restartNumberingAfterBreak="0">
    <w:nsid w:val="5CEA58A8"/>
    <w:multiLevelType w:val="multilevel"/>
    <w:tmpl w:val="C576E114"/>
    <w:numStyleLink w:val="Headings"/>
  </w:abstractNum>
  <w:abstractNum w:abstractNumId="42" w15:restartNumberingAfterBreak="0">
    <w:nsid w:val="5D75102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F15701A"/>
    <w:multiLevelType w:val="multilevel"/>
    <w:tmpl w:val="6EFE61E4"/>
    <w:numStyleLink w:val="Part1"/>
  </w:abstractNum>
  <w:abstractNum w:abstractNumId="44" w15:restartNumberingAfterBreak="0">
    <w:nsid w:val="6145635E"/>
    <w:multiLevelType w:val="multilevel"/>
    <w:tmpl w:val="E438F216"/>
    <w:numStyleLink w:val="AppendixC3List"/>
  </w:abstractNum>
  <w:abstractNum w:abstractNumId="45" w15:restartNumberingAfterBreak="0">
    <w:nsid w:val="67A61789"/>
    <w:multiLevelType w:val="multilevel"/>
    <w:tmpl w:val="1BD401F4"/>
    <w:styleLink w:val="Part2"/>
    <w:lvl w:ilvl="0">
      <w:start w:val="1"/>
      <w:numFmt w:val="decimal"/>
      <w:lvlText w:val="%1"/>
      <w:lvlJc w:val="left"/>
      <w:pPr>
        <w:ind w:left="851" w:hanging="851"/>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6AA86E94"/>
    <w:multiLevelType w:val="hybridMultilevel"/>
    <w:tmpl w:val="FFF4D9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C333C4E"/>
    <w:multiLevelType w:val="hybridMultilevel"/>
    <w:tmpl w:val="0246AA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794F280B"/>
    <w:multiLevelType w:val="hybridMultilevel"/>
    <w:tmpl w:val="D2D85C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B6F3718"/>
    <w:multiLevelType w:val="multilevel"/>
    <w:tmpl w:val="4FD873F6"/>
    <w:lvl w:ilvl="0">
      <w:start w:val="10"/>
      <w:numFmt w:val="decimal"/>
      <w:lvlText w:val="%1"/>
      <w:lvlJc w:val="left"/>
      <w:pPr>
        <w:ind w:left="552" w:hanging="552"/>
      </w:pPr>
      <w:rPr>
        <w:rFonts w:hint="default"/>
      </w:rPr>
    </w:lvl>
    <w:lvl w:ilvl="1">
      <w:start w:val="1"/>
      <w:numFmt w:val="decimal"/>
      <w:lvlText w:val="%1.%2"/>
      <w:lvlJc w:val="left"/>
      <w:pPr>
        <w:ind w:left="694" w:hanging="552"/>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1" w15:restartNumberingAfterBreak="0">
    <w:nsid w:val="7BD60B08"/>
    <w:multiLevelType w:val="hybridMultilevel"/>
    <w:tmpl w:val="5CE08A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D6A31D6"/>
    <w:multiLevelType w:val="hybridMultilevel"/>
    <w:tmpl w:val="15CEDF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EDC2329"/>
    <w:multiLevelType w:val="hybridMultilevel"/>
    <w:tmpl w:val="38BCD3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3"/>
  </w:num>
  <w:num w:numId="2">
    <w:abstractNumId w:val="7"/>
  </w:num>
  <w:num w:numId="3">
    <w:abstractNumId w:val="27"/>
  </w:num>
  <w:num w:numId="4">
    <w:abstractNumId w:val="44"/>
  </w:num>
  <w:num w:numId="5">
    <w:abstractNumId w:val="11"/>
  </w:num>
  <w:num w:numId="6">
    <w:abstractNumId w:val="9"/>
  </w:num>
  <w:num w:numId="7">
    <w:abstractNumId w:val="47"/>
  </w:num>
  <w:num w:numId="8">
    <w:abstractNumId w:val="45"/>
  </w:num>
  <w:num w:numId="9">
    <w:abstractNumId w:val="46"/>
  </w:num>
  <w:num w:numId="10">
    <w:abstractNumId w:val="49"/>
  </w:num>
  <w:num w:numId="11">
    <w:abstractNumId w:val="0"/>
  </w:num>
  <w:num w:numId="12">
    <w:abstractNumId w:val="5"/>
  </w:num>
  <w:num w:numId="13">
    <w:abstractNumId w:val="51"/>
  </w:num>
  <w:num w:numId="14">
    <w:abstractNumId w:val="15"/>
  </w:num>
  <w:num w:numId="15">
    <w:abstractNumId w:val="26"/>
  </w:num>
  <w:num w:numId="16">
    <w:abstractNumId w:val="12"/>
  </w:num>
  <w:num w:numId="17">
    <w:abstractNumId w:val="53"/>
  </w:num>
  <w:num w:numId="18">
    <w:abstractNumId w:val="34"/>
  </w:num>
  <w:num w:numId="19">
    <w:abstractNumId w:val="39"/>
  </w:num>
  <w:num w:numId="20">
    <w:abstractNumId w:val="33"/>
  </w:num>
  <w:num w:numId="21">
    <w:abstractNumId w:val="16"/>
  </w:num>
  <w:num w:numId="22">
    <w:abstractNumId w:val="4"/>
  </w:num>
  <w:num w:numId="23">
    <w:abstractNumId w:val="48"/>
  </w:num>
  <w:num w:numId="24">
    <w:abstractNumId w:val="40"/>
  </w:num>
  <w:num w:numId="25">
    <w:abstractNumId w:val="23"/>
  </w:num>
  <w:num w:numId="26">
    <w:abstractNumId w:val="17"/>
  </w:num>
  <w:num w:numId="27">
    <w:abstractNumId w:val="6"/>
  </w:num>
  <w:num w:numId="28">
    <w:abstractNumId w:val="19"/>
    <w:lvlOverride w:ilvl="0">
      <w:lvl w:ilvl="0">
        <w:start w:val="1"/>
        <w:numFmt w:val="lowerRoman"/>
        <w:lvlText w:val="%1)"/>
        <w:lvlJc w:val="left"/>
        <w:pPr>
          <w:ind w:left="1134" w:hanging="1134"/>
        </w:pPr>
        <w:rPr>
          <w:rFonts w:hint="default"/>
        </w:rPr>
      </w:lvl>
    </w:lvlOverride>
    <w:lvlOverride w:ilvl="1">
      <w:lvl w:ilvl="1">
        <w:start w:val="1"/>
        <w:numFmt w:val="lowerLetter"/>
        <w:lvlText w:val="%2."/>
        <w:lvlJc w:val="left"/>
        <w:pPr>
          <w:ind w:left="1701" w:hanging="1134"/>
        </w:pPr>
        <w:rPr>
          <w:rFonts w:hint="default"/>
        </w:rPr>
      </w:lvl>
    </w:lvlOverride>
    <w:lvlOverride w:ilvl="2">
      <w:lvl w:ilvl="2">
        <w:start w:val="1"/>
        <w:numFmt w:val="lowerRoman"/>
        <w:lvlText w:val="%3."/>
        <w:lvlJc w:val="right"/>
        <w:pPr>
          <w:ind w:left="2268" w:hanging="1134"/>
        </w:pPr>
        <w:rPr>
          <w:rFonts w:hint="default"/>
        </w:rPr>
      </w:lvl>
    </w:lvlOverride>
    <w:lvlOverride w:ilvl="3">
      <w:lvl w:ilvl="3">
        <w:start w:val="1"/>
        <w:numFmt w:val="decimal"/>
        <w:lvlText w:val="%4."/>
        <w:lvlJc w:val="left"/>
        <w:pPr>
          <w:ind w:left="2835" w:hanging="1134"/>
        </w:pPr>
        <w:rPr>
          <w:rFonts w:hint="default"/>
        </w:rPr>
      </w:lvl>
    </w:lvlOverride>
    <w:lvlOverride w:ilvl="4">
      <w:lvl w:ilvl="4">
        <w:start w:val="1"/>
        <w:numFmt w:val="lowerLetter"/>
        <w:lvlText w:val="%5."/>
        <w:lvlJc w:val="left"/>
        <w:pPr>
          <w:ind w:left="3402" w:hanging="1134"/>
        </w:pPr>
        <w:rPr>
          <w:rFonts w:hint="default"/>
        </w:rPr>
      </w:lvl>
    </w:lvlOverride>
    <w:lvlOverride w:ilvl="5">
      <w:lvl w:ilvl="5">
        <w:start w:val="1"/>
        <w:numFmt w:val="lowerRoman"/>
        <w:lvlText w:val="%6."/>
        <w:lvlJc w:val="right"/>
        <w:pPr>
          <w:ind w:left="3969" w:hanging="1134"/>
        </w:pPr>
        <w:rPr>
          <w:rFonts w:hint="default"/>
        </w:rPr>
      </w:lvl>
    </w:lvlOverride>
    <w:lvlOverride w:ilvl="6">
      <w:lvl w:ilvl="6">
        <w:start w:val="1"/>
        <w:numFmt w:val="decimal"/>
        <w:lvlText w:val="%7."/>
        <w:lvlJc w:val="left"/>
        <w:pPr>
          <w:ind w:left="4536" w:hanging="1134"/>
        </w:pPr>
        <w:rPr>
          <w:rFonts w:hint="default"/>
        </w:rPr>
      </w:lvl>
    </w:lvlOverride>
    <w:lvlOverride w:ilvl="7">
      <w:lvl w:ilvl="7">
        <w:start w:val="1"/>
        <w:numFmt w:val="lowerLetter"/>
        <w:lvlText w:val="%8."/>
        <w:lvlJc w:val="left"/>
        <w:pPr>
          <w:ind w:left="5103" w:hanging="1134"/>
        </w:pPr>
        <w:rPr>
          <w:rFonts w:hint="default"/>
        </w:rPr>
      </w:lvl>
    </w:lvlOverride>
    <w:lvlOverride w:ilvl="8">
      <w:lvl w:ilvl="8">
        <w:start w:val="1"/>
        <w:numFmt w:val="lowerRoman"/>
        <w:lvlText w:val="%9."/>
        <w:lvlJc w:val="right"/>
        <w:pPr>
          <w:ind w:left="5670" w:hanging="1134"/>
        </w:pPr>
        <w:rPr>
          <w:rFonts w:hint="default"/>
        </w:rPr>
      </w:lvl>
    </w:lvlOverride>
  </w:num>
  <w:num w:numId="29">
    <w:abstractNumId w:val="35"/>
  </w:num>
  <w:num w:numId="30">
    <w:abstractNumId w:val="8"/>
  </w:num>
  <w:num w:numId="31">
    <w:abstractNumId w:val="22"/>
  </w:num>
  <w:num w:numId="32">
    <w:abstractNumId w:val="29"/>
  </w:num>
  <w:num w:numId="33">
    <w:abstractNumId w:val="50"/>
  </w:num>
  <w:num w:numId="34">
    <w:abstractNumId w:val="52"/>
  </w:num>
  <w:num w:numId="35">
    <w:abstractNumId w:val="10"/>
  </w:num>
  <w:num w:numId="36">
    <w:abstractNumId w:val="18"/>
  </w:num>
  <w:num w:numId="37">
    <w:abstractNumId w:val="42"/>
  </w:num>
  <w:num w:numId="38">
    <w:abstractNumId w:val="20"/>
  </w:num>
  <w:num w:numId="39">
    <w:abstractNumId w:val="39"/>
  </w:num>
  <w:num w:numId="40">
    <w:abstractNumId w:val="14"/>
  </w:num>
  <w:num w:numId="41">
    <w:abstractNumId w:val="38"/>
  </w:num>
  <w:num w:numId="42">
    <w:abstractNumId w:val="36"/>
  </w:num>
  <w:num w:numId="43">
    <w:abstractNumId w:val="32"/>
  </w:num>
  <w:num w:numId="44">
    <w:abstractNumId w:val="43"/>
  </w:num>
  <w:num w:numId="45">
    <w:abstractNumId w:val="41"/>
  </w:num>
  <w:num w:numId="46">
    <w:abstractNumId w:val="30"/>
  </w:num>
  <w:num w:numId="47">
    <w:abstractNumId w:val="3"/>
  </w:num>
  <w:num w:numId="48">
    <w:abstractNumId w:val="2"/>
  </w:num>
  <w:num w:numId="49">
    <w:abstractNumId w:val="1"/>
  </w:num>
  <w:num w:numId="50">
    <w:abstractNumId w:val="37"/>
    <w:lvlOverride w:ilvl="1">
      <w:lvl w:ilvl="1">
        <w:start w:val="1"/>
        <w:numFmt w:val="decimal"/>
        <w:lvlText w:val="%1.%2"/>
        <w:lvlJc w:val="left"/>
        <w:pPr>
          <w:tabs>
            <w:tab w:val="num" w:pos="907"/>
          </w:tabs>
          <w:ind w:left="907" w:hanging="907"/>
        </w:pPr>
        <w:rPr>
          <w:rFonts w:ascii="Calibri" w:hAnsi="Calibri" w:hint="default"/>
          <w:b/>
          <w:i w:val="0"/>
        </w:rPr>
      </w:lvl>
    </w:lvlOverride>
    <w:lvlOverride w:ilvl="2">
      <w:lvl w:ilvl="2">
        <w:start w:val="1"/>
        <w:numFmt w:val="decimal"/>
        <w:lvlText w:val="%1.%2.%3"/>
        <w:lvlJc w:val="left"/>
        <w:pPr>
          <w:tabs>
            <w:tab w:val="num" w:pos="907"/>
          </w:tabs>
          <w:ind w:left="907" w:hanging="907"/>
        </w:pPr>
        <w:rPr>
          <w:rFonts w:hint="default"/>
        </w:rPr>
      </w:lvl>
    </w:lvlOverride>
  </w:num>
  <w:num w:numId="51">
    <w:abstractNumId w:val="28"/>
  </w:num>
  <w:num w:numId="52">
    <w:abstractNumId w:val="21"/>
  </w:num>
  <w:num w:numId="53">
    <w:abstractNumId w:val="21"/>
  </w:num>
  <w:num w:numId="54">
    <w:abstractNumId w:val="21"/>
  </w:num>
  <w:num w:numId="55">
    <w:abstractNumId w:val="21"/>
  </w:num>
  <w:num w:numId="56">
    <w:abstractNumId w:val="21"/>
  </w:num>
  <w:num w:numId="57">
    <w:abstractNumId w:val="21"/>
  </w:num>
  <w:num w:numId="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4"/>
  </w:num>
  <w:num w:numId="6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
  </w:num>
  <w:num w:numId="62">
    <w:abstractNumId w:val="33"/>
  </w:num>
  <w:num w:numId="63">
    <w:abstractNumId w:val="13"/>
  </w:num>
  <w:num w:numId="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48128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 DOI&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CC703E"/>
    <w:rsid w:val="00000D76"/>
    <w:rsid w:val="000015D1"/>
    <w:rsid w:val="00002CB0"/>
    <w:rsid w:val="000034F2"/>
    <w:rsid w:val="00004C92"/>
    <w:rsid w:val="0000534C"/>
    <w:rsid w:val="00007261"/>
    <w:rsid w:val="000074B2"/>
    <w:rsid w:val="00010FF8"/>
    <w:rsid w:val="000119A4"/>
    <w:rsid w:val="00014886"/>
    <w:rsid w:val="00017B07"/>
    <w:rsid w:val="0002363A"/>
    <w:rsid w:val="00023DC2"/>
    <w:rsid w:val="00025099"/>
    <w:rsid w:val="00026B14"/>
    <w:rsid w:val="00031C58"/>
    <w:rsid w:val="0003306F"/>
    <w:rsid w:val="000341C2"/>
    <w:rsid w:val="00034DD1"/>
    <w:rsid w:val="00036D23"/>
    <w:rsid w:val="00037B0D"/>
    <w:rsid w:val="00037EB8"/>
    <w:rsid w:val="000406A2"/>
    <w:rsid w:val="000435B8"/>
    <w:rsid w:val="00043892"/>
    <w:rsid w:val="000458DA"/>
    <w:rsid w:val="000462D6"/>
    <w:rsid w:val="00051347"/>
    <w:rsid w:val="00051CD5"/>
    <w:rsid w:val="0005232E"/>
    <w:rsid w:val="00054AF5"/>
    <w:rsid w:val="00055101"/>
    <w:rsid w:val="00061542"/>
    <w:rsid w:val="00062AD4"/>
    <w:rsid w:val="00065267"/>
    <w:rsid w:val="0007071E"/>
    <w:rsid w:val="000746B8"/>
    <w:rsid w:val="00074928"/>
    <w:rsid w:val="00074B45"/>
    <w:rsid w:val="00075C1E"/>
    <w:rsid w:val="00075CC5"/>
    <w:rsid w:val="000779C9"/>
    <w:rsid w:val="00077B73"/>
    <w:rsid w:val="00077CBD"/>
    <w:rsid w:val="00077F2F"/>
    <w:rsid w:val="0008249A"/>
    <w:rsid w:val="00083FF8"/>
    <w:rsid w:val="000851C9"/>
    <w:rsid w:val="000852EE"/>
    <w:rsid w:val="00086015"/>
    <w:rsid w:val="0008656D"/>
    <w:rsid w:val="00086CDD"/>
    <w:rsid w:val="000907BF"/>
    <w:rsid w:val="00090E4F"/>
    <w:rsid w:val="00092D7B"/>
    <w:rsid w:val="00093C63"/>
    <w:rsid w:val="00095A6A"/>
    <w:rsid w:val="00095C89"/>
    <w:rsid w:val="000978E4"/>
    <w:rsid w:val="00097B41"/>
    <w:rsid w:val="000A05EA"/>
    <w:rsid w:val="000A127D"/>
    <w:rsid w:val="000A39C1"/>
    <w:rsid w:val="000A4038"/>
    <w:rsid w:val="000A45B1"/>
    <w:rsid w:val="000A49D9"/>
    <w:rsid w:val="000A54F4"/>
    <w:rsid w:val="000A560F"/>
    <w:rsid w:val="000A566F"/>
    <w:rsid w:val="000A6E2E"/>
    <w:rsid w:val="000B2535"/>
    <w:rsid w:val="000B3D87"/>
    <w:rsid w:val="000C0429"/>
    <w:rsid w:val="000C0EC6"/>
    <w:rsid w:val="000C1383"/>
    <w:rsid w:val="000C1F8D"/>
    <w:rsid w:val="000C3C7E"/>
    <w:rsid w:val="000C4977"/>
    <w:rsid w:val="000C5417"/>
    <w:rsid w:val="000C5B9F"/>
    <w:rsid w:val="000C7250"/>
    <w:rsid w:val="000C7995"/>
    <w:rsid w:val="000C7A04"/>
    <w:rsid w:val="000D11A9"/>
    <w:rsid w:val="000D1FF4"/>
    <w:rsid w:val="000D7FF1"/>
    <w:rsid w:val="000E11A0"/>
    <w:rsid w:val="000E1398"/>
    <w:rsid w:val="000E161B"/>
    <w:rsid w:val="000E1812"/>
    <w:rsid w:val="000E1AE0"/>
    <w:rsid w:val="000E26CD"/>
    <w:rsid w:val="000E292F"/>
    <w:rsid w:val="000E47DB"/>
    <w:rsid w:val="000E55A8"/>
    <w:rsid w:val="000F0AC1"/>
    <w:rsid w:val="000F0BCB"/>
    <w:rsid w:val="000F2491"/>
    <w:rsid w:val="000F45F9"/>
    <w:rsid w:val="000F4FE1"/>
    <w:rsid w:val="000F53BE"/>
    <w:rsid w:val="000F690D"/>
    <w:rsid w:val="000F7C8D"/>
    <w:rsid w:val="001067C3"/>
    <w:rsid w:val="0011028B"/>
    <w:rsid w:val="001103B4"/>
    <w:rsid w:val="0011195B"/>
    <w:rsid w:val="00112780"/>
    <w:rsid w:val="00115293"/>
    <w:rsid w:val="0011644D"/>
    <w:rsid w:val="001169D3"/>
    <w:rsid w:val="00117BFA"/>
    <w:rsid w:val="00120F20"/>
    <w:rsid w:val="00121BC1"/>
    <w:rsid w:val="0012200D"/>
    <w:rsid w:val="001232EC"/>
    <w:rsid w:val="001266D3"/>
    <w:rsid w:val="00126A12"/>
    <w:rsid w:val="00131F8D"/>
    <w:rsid w:val="00147241"/>
    <w:rsid w:val="00150757"/>
    <w:rsid w:val="00150A32"/>
    <w:rsid w:val="0015122E"/>
    <w:rsid w:val="00151F61"/>
    <w:rsid w:val="001573B9"/>
    <w:rsid w:val="00160B82"/>
    <w:rsid w:val="00161430"/>
    <w:rsid w:val="00164FBB"/>
    <w:rsid w:val="0017018D"/>
    <w:rsid w:val="001715E4"/>
    <w:rsid w:val="00172577"/>
    <w:rsid w:val="00174800"/>
    <w:rsid w:val="00175789"/>
    <w:rsid w:val="00175AE9"/>
    <w:rsid w:val="00177E6A"/>
    <w:rsid w:val="001800DB"/>
    <w:rsid w:val="00181A96"/>
    <w:rsid w:val="0018567A"/>
    <w:rsid w:val="00186B58"/>
    <w:rsid w:val="00186FB9"/>
    <w:rsid w:val="001874D7"/>
    <w:rsid w:val="00190105"/>
    <w:rsid w:val="00190893"/>
    <w:rsid w:val="00191C38"/>
    <w:rsid w:val="00192538"/>
    <w:rsid w:val="0019261F"/>
    <w:rsid w:val="001936C7"/>
    <w:rsid w:val="00196FF9"/>
    <w:rsid w:val="00197604"/>
    <w:rsid w:val="001A2532"/>
    <w:rsid w:val="001A25E9"/>
    <w:rsid w:val="001A2B1B"/>
    <w:rsid w:val="001A588B"/>
    <w:rsid w:val="001A7ABD"/>
    <w:rsid w:val="001B2CBD"/>
    <w:rsid w:val="001B4209"/>
    <w:rsid w:val="001B5D47"/>
    <w:rsid w:val="001B67FB"/>
    <w:rsid w:val="001B680D"/>
    <w:rsid w:val="001C01AE"/>
    <w:rsid w:val="001C5BFD"/>
    <w:rsid w:val="001C6E2E"/>
    <w:rsid w:val="001C7475"/>
    <w:rsid w:val="001C7DDA"/>
    <w:rsid w:val="001D45DD"/>
    <w:rsid w:val="001D76D4"/>
    <w:rsid w:val="001E20FB"/>
    <w:rsid w:val="001E27DE"/>
    <w:rsid w:val="001E2F6D"/>
    <w:rsid w:val="001F0264"/>
    <w:rsid w:val="001F06E1"/>
    <w:rsid w:val="001F3A0B"/>
    <w:rsid w:val="001F3CE5"/>
    <w:rsid w:val="001F3D04"/>
    <w:rsid w:val="001F4221"/>
    <w:rsid w:val="001F600C"/>
    <w:rsid w:val="001F7571"/>
    <w:rsid w:val="00200E2D"/>
    <w:rsid w:val="0020153E"/>
    <w:rsid w:val="002024CF"/>
    <w:rsid w:val="00202E66"/>
    <w:rsid w:val="002044B1"/>
    <w:rsid w:val="002051EE"/>
    <w:rsid w:val="00205889"/>
    <w:rsid w:val="00210D09"/>
    <w:rsid w:val="00212653"/>
    <w:rsid w:val="0021372F"/>
    <w:rsid w:val="00213C5F"/>
    <w:rsid w:val="00213D38"/>
    <w:rsid w:val="0021651B"/>
    <w:rsid w:val="00216BD0"/>
    <w:rsid w:val="00221C82"/>
    <w:rsid w:val="00222300"/>
    <w:rsid w:val="0022277C"/>
    <w:rsid w:val="00222BF7"/>
    <w:rsid w:val="00224377"/>
    <w:rsid w:val="0022751F"/>
    <w:rsid w:val="002276E7"/>
    <w:rsid w:val="00227C51"/>
    <w:rsid w:val="002338E2"/>
    <w:rsid w:val="00237ED8"/>
    <w:rsid w:val="002403E0"/>
    <w:rsid w:val="002408B9"/>
    <w:rsid w:val="0024294F"/>
    <w:rsid w:val="00242B77"/>
    <w:rsid w:val="00242EE8"/>
    <w:rsid w:val="00243531"/>
    <w:rsid w:val="0024397C"/>
    <w:rsid w:val="0024462A"/>
    <w:rsid w:val="002469B6"/>
    <w:rsid w:val="00247570"/>
    <w:rsid w:val="002477D2"/>
    <w:rsid w:val="00247ECA"/>
    <w:rsid w:val="0025011B"/>
    <w:rsid w:val="002525FA"/>
    <w:rsid w:val="002541F9"/>
    <w:rsid w:val="00254AD5"/>
    <w:rsid w:val="002568E8"/>
    <w:rsid w:val="00256FA0"/>
    <w:rsid w:val="002640DB"/>
    <w:rsid w:val="00271090"/>
    <w:rsid w:val="002734D1"/>
    <w:rsid w:val="00274E68"/>
    <w:rsid w:val="00275FC5"/>
    <w:rsid w:val="00280011"/>
    <w:rsid w:val="002801A7"/>
    <w:rsid w:val="00281133"/>
    <w:rsid w:val="002814F0"/>
    <w:rsid w:val="002818DA"/>
    <w:rsid w:val="0028244E"/>
    <w:rsid w:val="002839B9"/>
    <w:rsid w:val="00283ECB"/>
    <w:rsid w:val="00284F22"/>
    <w:rsid w:val="0028613E"/>
    <w:rsid w:val="00286CAA"/>
    <w:rsid w:val="00287BA3"/>
    <w:rsid w:val="00292BC8"/>
    <w:rsid w:val="00292E26"/>
    <w:rsid w:val="0029368D"/>
    <w:rsid w:val="00295AE8"/>
    <w:rsid w:val="00295B7A"/>
    <w:rsid w:val="00295CD3"/>
    <w:rsid w:val="00297321"/>
    <w:rsid w:val="002A14CA"/>
    <w:rsid w:val="002A3367"/>
    <w:rsid w:val="002A55AB"/>
    <w:rsid w:val="002A6631"/>
    <w:rsid w:val="002A74D4"/>
    <w:rsid w:val="002B0A75"/>
    <w:rsid w:val="002B16DB"/>
    <w:rsid w:val="002B3158"/>
    <w:rsid w:val="002B3C85"/>
    <w:rsid w:val="002B408B"/>
    <w:rsid w:val="002B57AD"/>
    <w:rsid w:val="002B6666"/>
    <w:rsid w:val="002B67D0"/>
    <w:rsid w:val="002B70BF"/>
    <w:rsid w:val="002C1526"/>
    <w:rsid w:val="002C477E"/>
    <w:rsid w:val="002C7940"/>
    <w:rsid w:val="002D197A"/>
    <w:rsid w:val="002D21D9"/>
    <w:rsid w:val="002D2F6A"/>
    <w:rsid w:val="002D3963"/>
    <w:rsid w:val="002D54BE"/>
    <w:rsid w:val="002E0F3B"/>
    <w:rsid w:val="002E2A16"/>
    <w:rsid w:val="002E2FBF"/>
    <w:rsid w:val="002E6441"/>
    <w:rsid w:val="002E6ED9"/>
    <w:rsid w:val="002F249C"/>
    <w:rsid w:val="002F38A4"/>
    <w:rsid w:val="002F3A44"/>
    <w:rsid w:val="002F5FFC"/>
    <w:rsid w:val="002F72C5"/>
    <w:rsid w:val="002F7736"/>
    <w:rsid w:val="003013D3"/>
    <w:rsid w:val="00301457"/>
    <w:rsid w:val="00301550"/>
    <w:rsid w:val="00303C1A"/>
    <w:rsid w:val="003056AF"/>
    <w:rsid w:val="003056DE"/>
    <w:rsid w:val="00307060"/>
    <w:rsid w:val="003078E8"/>
    <w:rsid w:val="0031053B"/>
    <w:rsid w:val="00312B55"/>
    <w:rsid w:val="00317C05"/>
    <w:rsid w:val="00321D56"/>
    <w:rsid w:val="0032333E"/>
    <w:rsid w:val="00323AE3"/>
    <w:rsid w:val="00323F15"/>
    <w:rsid w:val="003252AD"/>
    <w:rsid w:val="003265FC"/>
    <w:rsid w:val="00326920"/>
    <w:rsid w:val="00332285"/>
    <w:rsid w:val="003329F2"/>
    <w:rsid w:val="00336AEF"/>
    <w:rsid w:val="003372B8"/>
    <w:rsid w:val="003378B3"/>
    <w:rsid w:val="00337EEE"/>
    <w:rsid w:val="00341520"/>
    <w:rsid w:val="003421CA"/>
    <w:rsid w:val="003422EC"/>
    <w:rsid w:val="00342AB4"/>
    <w:rsid w:val="0034395F"/>
    <w:rsid w:val="00345D98"/>
    <w:rsid w:val="003461B0"/>
    <w:rsid w:val="003463D8"/>
    <w:rsid w:val="00346886"/>
    <w:rsid w:val="003468CA"/>
    <w:rsid w:val="003557F0"/>
    <w:rsid w:val="00355D27"/>
    <w:rsid w:val="00356295"/>
    <w:rsid w:val="00357069"/>
    <w:rsid w:val="003575E9"/>
    <w:rsid w:val="003604B1"/>
    <w:rsid w:val="00360690"/>
    <w:rsid w:val="00362175"/>
    <w:rsid w:val="00362706"/>
    <w:rsid w:val="00365C49"/>
    <w:rsid w:val="0037074B"/>
    <w:rsid w:val="003707A5"/>
    <w:rsid w:val="003708EA"/>
    <w:rsid w:val="003770A8"/>
    <w:rsid w:val="003777A9"/>
    <w:rsid w:val="00377C3E"/>
    <w:rsid w:val="00377D74"/>
    <w:rsid w:val="003800B6"/>
    <w:rsid w:val="00381EBA"/>
    <w:rsid w:val="00382874"/>
    <w:rsid w:val="00386D26"/>
    <w:rsid w:val="00386D4D"/>
    <w:rsid w:val="00387E62"/>
    <w:rsid w:val="00393BD8"/>
    <w:rsid w:val="0039504F"/>
    <w:rsid w:val="0039601F"/>
    <w:rsid w:val="00396737"/>
    <w:rsid w:val="003A09D9"/>
    <w:rsid w:val="003A2515"/>
    <w:rsid w:val="003A3D25"/>
    <w:rsid w:val="003A4004"/>
    <w:rsid w:val="003A6D35"/>
    <w:rsid w:val="003A70A8"/>
    <w:rsid w:val="003B000F"/>
    <w:rsid w:val="003B0513"/>
    <w:rsid w:val="003B07D2"/>
    <w:rsid w:val="003B2049"/>
    <w:rsid w:val="003B251A"/>
    <w:rsid w:val="003B2FBE"/>
    <w:rsid w:val="003B5B02"/>
    <w:rsid w:val="003B5F16"/>
    <w:rsid w:val="003B610C"/>
    <w:rsid w:val="003B620C"/>
    <w:rsid w:val="003C1F8E"/>
    <w:rsid w:val="003C29F5"/>
    <w:rsid w:val="003C2ADB"/>
    <w:rsid w:val="003C2EF4"/>
    <w:rsid w:val="003C3F55"/>
    <w:rsid w:val="003C6832"/>
    <w:rsid w:val="003C77C8"/>
    <w:rsid w:val="003D09AB"/>
    <w:rsid w:val="003D11B8"/>
    <w:rsid w:val="003D2AE7"/>
    <w:rsid w:val="003D65FF"/>
    <w:rsid w:val="003D71AA"/>
    <w:rsid w:val="003D7BBE"/>
    <w:rsid w:val="003D7F79"/>
    <w:rsid w:val="003E0002"/>
    <w:rsid w:val="003E221F"/>
    <w:rsid w:val="003E3625"/>
    <w:rsid w:val="003E4669"/>
    <w:rsid w:val="003E4FAA"/>
    <w:rsid w:val="003E54B4"/>
    <w:rsid w:val="003E58CD"/>
    <w:rsid w:val="003F30ED"/>
    <w:rsid w:val="003F357E"/>
    <w:rsid w:val="003F57D7"/>
    <w:rsid w:val="003F6201"/>
    <w:rsid w:val="003F78E4"/>
    <w:rsid w:val="003F7CDE"/>
    <w:rsid w:val="0040113B"/>
    <w:rsid w:val="00405CC5"/>
    <w:rsid w:val="00405F55"/>
    <w:rsid w:val="0040610A"/>
    <w:rsid w:val="004076BF"/>
    <w:rsid w:val="00407D16"/>
    <w:rsid w:val="00410704"/>
    <w:rsid w:val="00411E41"/>
    <w:rsid w:val="00416327"/>
    <w:rsid w:val="00416C2B"/>
    <w:rsid w:val="0042114D"/>
    <w:rsid w:val="004218D5"/>
    <w:rsid w:val="00426E37"/>
    <w:rsid w:val="0042751A"/>
    <w:rsid w:val="00430F02"/>
    <w:rsid w:val="0043157D"/>
    <w:rsid w:val="00435DB4"/>
    <w:rsid w:val="00436229"/>
    <w:rsid w:val="004373B6"/>
    <w:rsid w:val="00440268"/>
    <w:rsid w:val="00440BF2"/>
    <w:rsid w:val="00443433"/>
    <w:rsid w:val="004435DA"/>
    <w:rsid w:val="004452F0"/>
    <w:rsid w:val="0044578C"/>
    <w:rsid w:val="00447B29"/>
    <w:rsid w:val="00450B04"/>
    <w:rsid w:val="00454E13"/>
    <w:rsid w:val="00455CF2"/>
    <w:rsid w:val="0046605D"/>
    <w:rsid w:val="00466A7F"/>
    <w:rsid w:val="00466AC7"/>
    <w:rsid w:val="00467B8B"/>
    <w:rsid w:val="00467D4C"/>
    <w:rsid w:val="0047005A"/>
    <w:rsid w:val="0047068F"/>
    <w:rsid w:val="00471032"/>
    <w:rsid w:val="00472C83"/>
    <w:rsid w:val="004735DD"/>
    <w:rsid w:val="00474DBA"/>
    <w:rsid w:val="004768C7"/>
    <w:rsid w:val="00476B9F"/>
    <w:rsid w:val="00476BBF"/>
    <w:rsid w:val="00477128"/>
    <w:rsid w:val="004771DA"/>
    <w:rsid w:val="00483B9F"/>
    <w:rsid w:val="004841AC"/>
    <w:rsid w:val="004854DF"/>
    <w:rsid w:val="00486403"/>
    <w:rsid w:val="0048708C"/>
    <w:rsid w:val="00487583"/>
    <w:rsid w:val="004901C8"/>
    <w:rsid w:val="0049135B"/>
    <w:rsid w:val="004922C2"/>
    <w:rsid w:val="00492767"/>
    <w:rsid w:val="00492B09"/>
    <w:rsid w:val="004938EE"/>
    <w:rsid w:val="00493EEB"/>
    <w:rsid w:val="00494835"/>
    <w:rsid w:val="00495572"/>
    <w:rsid w:val="004A1F7E"/>
    <w:rsid w:val="004A22E2"/>
    <w:rsid w:val="004A2558"/>
    <w:rsid w:val="004A3248"/>
    <w:rsid w:val="004A5792"/>
    <w:rsid w:val="004A7028"/>
    <w:rsid w:val="004A72FB"/>
    <w:rsid w:val="004B05B7"/>
    <w:rsid w:val="004B2980"/>
    <w:rsid w:val="004B2DBE"/>
    <w:rsid w:val="004B3A66"/>
    <w:rsid w:val="004B4AF0"/>
    <w:rsid w:val="004B61F5"/>
    <w:rsid w:val="004B6889"/>
    <w:rsid w:val="004C01B4"/>
    <w:rsid w:val="004C4120"/>
    <w:rsid w:val="004C5646"/>
    <w:rsid w:val="004C638D"/>
    <w:rsid w:val="004C7E40"/>
    <w:rsid w:val="004D05F6"/>
    <w:rsid w:val="004D0ADA"/>
    <w:rsid w:val="004D148D"/>
    <w:rsid w:val="004D39C1"/>
    <w:rsid w:val="004D3AF2"/>
    <w:rsid w:val="004D4BB7"/>
    <w:rsid w:val="004D6A36"/>
    <w:rsid w:val="004D6B1E"/>
    <w:rsid w:val="004D745D"/>
    <w:rsid w:val="004E428D"/>
    <w:rsid w:val="004E630F"/>
    <w:rsid w:val="004E632C"/>
    <w:rsid w:val="004F0D82"/>
    <w:rsid w:val="004F28AA"/>
    <w:rsid w:val="004F4EAF"/>
    <w:rsid w:val="004F721A"/>
    <w:rsid w:val="004F7E08"/>
    <w:rsid w:val="00501C87"/>
    <w:rsid w:val="00504F41"/>
    <w:rsid w:val="0050617D"/>
    <w:rsid w:val="00510BDC"/>
    <w:rsid w:val="00511FED"/>
    <w:rsid w:val="00512E00"/>
    <w:rsid w:val="005131D8"/>
    <w:rsid w:val="00517310"/>
    <w:rsid w:val="005203CF"/>
    <w:rsid w:val="00521C9F"/>
    <w:rsid w:val="005223EB"/>
    <w:rsid w:val="00522945"/>
    <w:rsid w:val="005234FD"/>
    <w:rsid w:val="0052411A"/>
    <w:rsid w:val="00524726"/>
    <w:rsid w:val="00527A48"/>
    <w:rsid w:val="0053088F"/>
    <w:rsid w:val="005309EF"/>
    <w:rsid w:val="00534C9F"/>
    <w:rsid w:val="005355F5"/>
    <w:rsid w:val="0053691D"/>
    <w:rsid w:val="00536A8B"/>
    <w:rsid w:val="0054041F"/>
    <w:rsid w:val="005412BF"/>
    <w:rsid w:val="00541E76"/>
    <w:rsid w:val="00544C5A"/>
    <w:rsid w:val="00546366"/>
    <w:rsid w:val="005502CA"/>
    <w:rsid w:val="0055153D"/>
    <w:rsid w:val="00552EC6"/>
    <w:rsid w:val="00553EE9"/>
    <w:rsid w:val="005601F2"/>
    <w:rsid w:val="0056176A"/>
    <w:rsid w:val="00561C8C"/>
    <w:rsid w:val="00561F93"/>
    <w:rsid w:val="005620C1"/>
    <w:rsid w:val="005627E1"/>
    <w:rsid w:val="00563C92"/>
    <w:rsid w:val="0056410D"/>
    <w:rsid w:val="005645E2"/>
    <w:rsid w:val="0056565E"/>
    <w:rsid w:val="00565835"/>
    <w:rsid w:val="005676D7"/>
    <w:rsid w:val="00567A30"/>
    <w:rsid w:val="00570605"/>
    <w:rsid w:val="00572DCF"/>
    <w:rsid w:val="00573539"/>
    <w:rsid w:val="00573B69"/>
    <w:rsid w:val="00573BEC"/>
    <w:rsid w:val="00573D70"/>
    <w:rsid w:val="00574585"/>
    <w:rsid w:val="00574B48"/>
    <w:rsid w:val="005750B9"/>
    <w:rsid w:val="00575101"/>
    <w:rsid w:val="0057513F"/>
    <w:rsid w:val="00581BE9"/>
    <w:rsid w:val="00583008"/>
    <w:rsid w:val="005836BB"/>
    <w:rsid w:val="005857F3"/>
    <w:rsid w:val="005861A2"/>
    <w:rsid w:val="005865C6"/>
    <w:rsid w:val="00587EB2"/>
    <w:rsid w:val="00592A9D"/>
    <w:rsid w:val="0059372E"/>
    <w:rsid w:val="005947C3"/>
    <w:rsid w:val="00595223"/>
    <w:rsid w:val="00595AEC"/>
    <w:rsid w:val="005A0023"/>
    <w:rsid w:val="005A1031"/>
    <w:rsid w:val="005A13FD"/>
    <w:rsid w:val="005A52C1"/>
    <w:rsid w:val="005A6E11"/>
    <w:rsid w:val="005B0926"/>
    <w:rsid w:val="005B286B"/>
    <w:rsid w:val="005B36A0"/>
    <w:rsid w:val="005B61C7"/>
    <w:rsid w:val="005B674E"/>
    <w:rsid w:val="005C1675"/>
    <w:rsid w:val="005C231A"/>
    <w:rsid w:val="005C281D"/>
    <w:rsid w:val="005C2923"/>
    <w:rsid w:val="005C3952"/>
    <w:rsid w:val="005C45CC"/>
    <w:rsid w:val="005C5E8C"/>
    <w:rsid w:val="005C6203"/>
    <w:rsid w:val="005C7675"/>
    <w:rsid w:val="005C7F07"/>
    <w:rsid w:val="005D2F78"/>
    <w:rsid w:val="005D4A96"/>
    <w:rsid w:val="005D7715"/>
    <w:rsid w:val="005E0B3F"/>
    <w:rsid w:val="005E0D16"/>
    <w:rsid w:val="005E2A28"/>
    <w:rsid w:val="005E375A"/>
    <w:rsid w:val="005E3A5C"/>
    <w:rsid w:val="005E43CB"/>
    <w:rsid w:val="005E62E4"/>
    <w:rsid w:val="005E640E"/>
    <w:rsid w:val="005F0830"/>
    <w:rsid w:val="005F1A15"/>
    <w:rsid w:val="005F42F8"/>
    <w:rsid w:val="005F432D"/>
    <w:rsid w:val="005F4D69"/>
    <w:rsid w:val="005F53D6"/>
    <w:rsid w:val="005F61EF"/>
    <w:rsid w:val="005F6FA4"/>
    <w:rsid w:val="005F745C"/>
    <w:rsid w:val="006002C1"/>
    <w:rsid w:val="00600384"/>
    <w:rsid w:val="0060288A"/>
    <w:rsid w:val="00604CE0"/>
    <w:rsid w:val="00605365"/>
    <w:rsid w:val="006068F4"/>
    <w:rsid w:val="0060725B"/>
    <w:rsid w:val="00610545"/>
    <w:rsid w:val="00611281"/>
    <w:rsid w:val="00612596"/>
    <w:rsid w:val="00612C7F"/>
    <w:rsid w:val="0061777C"/>
    <w:rsid w:val="006217A2"/>
    <w:rsid w:val="00621D0D"/>
    <w:rsid w:val="00622489"/>
    <w:rsid w:val="00625596"/>
    <w:rsid w:val="0062568A"/>
    <w:rsid w:val="00626988"/>
    <w:rsid w:val="006318C7"/>
    <w:rsid w:val="00632A61"/>
    <w:rsid w:val="00633688"/>
    <w:rsid w:val="00633890"/>
    <w:rsid w:val="00633EC9"/>
    <w:rsid w:val="0063545E"/>
    <w:rsid w:val="00637E5A"/>
    <w:rsid w:val="00641609"/>
    <w:rsid w:val="00641A09"/>
    <w:rsid w:val="00641BA5"/>
    <w:rsid w:val="00642C86"/>
    <w:rsid w:val="0064357D"/>
    <w:rsid w:val="00643E28"/>
    <w:rsid w:val="006465B0"/>
    <w:rsid w:val="0064799B"/>
    <w:rsid w:val="00650D86"/>
    <w:rsid w:val="006513DC"/>
    <w:rsid w:val="00652A28"/>
    <w:rsid w:val="00653400"/>
    <w:rsid w:val="0065413F"/>
    <w:rsid w:val="00654FD0"/>
    <w:rsid w:val="00654FF3"/>
    <w:rsid w:val="00655B52"/>
    <w:rsid w:val="00656A9A"/>
    <w:rsid w:val="00661DBA"/>
    <w:rsid w:val="006653C2"/>
    <w:rsid w:val="00665968"/>
    <w:rsid w:val="00665CED"/>
    <w:rsid w:val="00665F47"/>
    <w:rsid w:val="0066652F"/>
    <w:rsid w:val="00666DB7"/>
    <w:rsid w:val="00666E26"/>
    <w:rsid w:val="00667F71"/>
    <w:rsid w:val="006749DF"/>
    <w:rsid w:val="006757A8"/>
    <w:rsid w:val="0067584C"/>
    <w:rsid w:val="00676B9D"/>
    <w:rsid w:val="006804E6"/>
    <w:rsid w:val="006810A8"/>
    <w:rsid w:val="006839DE"/>
    <w:rsid w:val="0068532C"/>
    <w:rsid w:val="00685640"/>
    <w:rsid w:val="0068584D"/>
    <w:rsid w:val="00685B80"/>
    <w:rsid w:val="00690E09"/>
    <w:rsid w:val="00692309"/>
    <w:rsid w:val="0069676B"/>
    <w:rsid w:val="00697211"/>
    <w:rsid w:val="006972A9"/>
    <w:rsid w:val="006A1094"/>
    <w:rsid w:val="006A12A5"/>
    <w:rsid w:val="006A16DD"/>
    <w:rsid w:val="006A2E10"/>
    <w:rsid w:val="006A500F"/>
    <w:rsid w:val="006A6F4F"/>
    <w:rsid w:val="006B015A"/>
    <w:rsid w:val="006B14C4"/>
    <w:rsid w:val="006B236A"/>
    <w:rsid w:val="006B2626"/>
    <w:rsid w:val="006B2D51"/>
    <w:rsid w:val="006B3976"/>
    <w:rsid w:val="006B3B2E"/>
    <w:rsid w:val="006B5708"/>
    <w:rsid w:val="006B721A"/>
    <w:rsid w:val="006C2953"/>
    <w:rsid w:val="006C6C48"/>
    <w:rsid w:val="006C7D64"/>
    <w:rsid w:val="006D3241"/>
    <w:rsid w:val="006D491D"/>
    <w:rsid w:val="006E00EA"/>
    <w:rsid w:val="006E04B7"/>
    <w:rsid w:val="006E2454"/>
    <w:rsid w:val="006E27E2"/>
    <w:rsid w:val="006E3ACF"/>
    <w:rsid w:val="006E5D1A"/>
    <w:rsid w:val="006E64DD"/>
    <w:rsid w:val="006E7A04"/>
    <w:rsid w:val="006F05BC"/>
    <w:rsid w:val="006F0791"/>
    <w:rsid w:val="006F1D68"/>
    <w:rsid w:val="006F2009"/>
    <w:rsid w:val="006F2901"/>
    <w:rsid w:val="006F3379"/>
    <w:rsid w:val="006F5A4F"/>
    <w:rsid w:val="0070110F"/>
    <w:rsid w:val="00706307"/>
    <w:rsid w:val="007078A1"/>
    <w:rsid w:val="007103F6"/>
    <w:rsid w:val="007118BB"/>
    <w:rsid w:val="00711CA0"/>
    <w:rsid w:val="007137B4"/>
    <w:rsid w:val="00715D95"/>
    <w:rsid w:val="00721433"/>
    <w:rsid w:val="00721F4C"/>
    <w:rsid w:val="00723E0D"/>
    <w:rsid w:val="007270EF"/>
    <w:rsid w:val="00732180"/>
    <w:rsid w:val="00735C33"/>
    <w:rsid w:val="00736C15"/>
    <w:rsid w:val="00736DD6"/>
    <w:rsid w:val="007404CB"/>
    <w:rsid w:val="00740928"/>
    <w:rsid w:val="00740A72"/>
    <w:rsid w:val="00740F7E"/>
    <w:rsid w:val="007427B4"/>
    <w:rsid w:val="007444C9"/>
    <w:rsid w:val="00746900"/>
    <w:rsid w:val="00746974"/>
    <w:rsid w:val="00750AF6"/>
    <w:rsid w:val="00750E24"/>
    <w:rsid w:val="00751DC1"/>
    <w:rsid w:val="007561F9"/>
    <w:rsid w:val="007575DF"/>
    <w:rsid w:val="00760012"/>
    <w:rsid w:val="00761AA1"/>
    <w:rsid w:val="00761F1A"/>
    <w:rsid w:val="007632A2"/>
    <w:rsid w:val="0076391A"/>
    <w:rsid w:val="00764CC9"/>
    <w:rsid w:val="00766629"/>
    <w:rsid w:val="00766BC7"/>
    <w:rsid w:val="0076727C"/>
    <w:rsid w:val="00767489"/>
    <w:rsid w:val="00767FF3"/>
    <w:rsid w:val="007704ED"/>
    <w:rsid w:val="00771C64"/>
    <w:rsid w:val="0077258F"/>
    <w:rsid w:val="00775CC0"/>
    <w:rsid w:val="007773CD"/>
    <w:rsid w:val="00780D3B"/>
    <w:rsid w:val="00781DF9"/>
    <w:rsid w:val="0078409F"/>
    <w:rsid w:val="00786483"/>
    <w:rsid w:val="007876F0"/>
    <w:rsid w:val="00790119"/>
    <w:rsid w:val="0079085B"/>
    <w:rsid w:val="00791B8E"/>
    <w:rsid w:val="007951CF"/>
    <w:rsid w:val="0079536A"/>
    <w:rsid w:val="007A0010"/>
    <w:rsid w:val="007A108C"/>
    <w:rsid w:val="007A4662"/>
    <w:rsid w:val="007A4915"/>
    <w:rsid w:val="007B06C1"/>
    <w:rsid w:val="007B1B4F"/>
    <w:rsid w:val="007B2607"/>
    <w:rsid w:val="007B354F"/>
    <w:rsid w:val="007B4E45"/>
    <w:rsid w:val="007B6110"/>
    <w:rsid w:val="007C1DB2"/>
    <w:rsid w:val="007C2EFF"/>
    <w:rsid w:val="007C59C5"/>
    <w:rsid w:val="007C7B9D"/>
    <w:rsid w:val="007C7F84"/>
    <w:rsid w:val="007D0491"/>
    <w:rsid w:val="007D0EDB"/>
    <w:rsid w:val="007D1B30"/>
    <w:rsid w:val="007D4104"/>
    <w:rsid w:val="007D4F28"/>
    <w:rsid w:val="007D580F"/>
    <w:rsid w:val="007E0A6D"/>
    <w:rsid w:val="007E0CA3"/>
    <w:rsid w:val="007E4C81"/>
    <w:rsid w:val="007E59D5"/>
    <w:rsid w:val="007E5A82"/>
    <w:rsid w:val="007E7627"/>
    <w:rsid w:val="007F2AF3"/>
    <w:rsid w:val="007F3BFE"/>
    <w:rsid w:val="007F4D83"/>
    <w:rsid w:val="007F51B2"/>
    <w:rsid w:val="007F5311"/>
    <w:rsid w:val="007F5A4D"/>
    <w:rsid w:val="007F5B42"/>
    <w:rsid w:val="007F7180"/>
    <w:rsid w:val="007F75C8"/>
    <w:rsid w:val="007F7855"/>
    <w:rsid w:val="00801292"/>
    <w:rsid w:val="0080489E"/>
    <w:rsid w:val="008064B3"/>
    <w:rsid w:val="008078E0"/>
    <w:rsid w:val="00810679"/>
    <w:rsid w:val="00816701"/>
    <w:rsid w:val="00820EF4"/>
    <w:rsid w:val="008243BB"/>
    <w:rsid w:val="008256E3"/>
    <w:rsid w:val="00825C6C"/>
    <w:rsid w:val="00826553"/>
    <w:rsid w:val="00826CF4"/>
    <w:rsid w:val="00827C41"/>
    <w:rsid w:val="00827CFD"/>
    <w:rsid w:val="00832116"/>
    <w:rsid w:val="00832C5A"/>
    <w:rsid w:val="0083531C"/>
    <w:rsid w:val="008373A7"/>
    <w:rsid w:val="008409DD"/>
    <w:rsid w:val="00840E22"/>
    <w:rsid w:val="008427A1"/>
    <w:rsid w:val="0084322B"/>
    <w:rsid w:val="008433C8"/>
    <w:rsid w:val="00843430"/>
    <w:rsid w:val="008435C5"/>
    <w:rsid w:val="00843978"/>
    <w:rsid w:val="00845839"/>
    <w:rsid w:val="00845F46"/>
    <w:rsid w:val="00846148"/>
    <w:rsid w:val="0084759A"/>
    <w:rsid w:val="00847913"/>
    <w:rsid w:val="00850ADC"/>
    <w:rsid w:val="00851B3C"/>
    <w:rsid w:val="0085417E"/>
    <w:rsid w:val="0085607C"/>
    <w:rsid w:val="008571A1"/>
    <w:rsid w:val="0085771A"/>
    <w:rsid w:val="00862E63"/>
    <w:rsid w:val="0086427A"/>
    <w:rsid w:val="00865479"/>
    <w:rsid w:val="00871451"/>
    <w:rsid w:val="00871DA5"/>
    <w:rsid w:val="00872957"/>
    <w:rsid w:val="0087638C"/>
    <w:rsid w:val="00877CE4"/>
    <w:rsid w:val="00880223"/>
    <w:rsid w:val="00881B20"/>
    <w:rsid w:val="00882243"/>
    <w:rsid w:val="008823A5"/>
    <w:rsid w:val="0088269F"/>
    <w:rsid w:val="00882FE4"/>
    <w:rsid w:val="0088540A"/>
    <w:rsid w:val="00886545"/>
    <w:rsid w:val="0088665C"/>
    <w:rsid w:val="00886B8C"/>
    <w:rsid w:val="0088708C"/>
    <w:rsid w:val="0089052F"/>
    <w:rsid w:val="008907F1"/>
    <w:rsid w:val="00891906"/>
    <w:rsid w:val="008937FF"/>
    <w:rsid w:val="00893DD7"/>
    <w:rsid w:val="00894A91"/>
    <w:rsid w:val="00895C57"/>
    <w:rsid w:val="00895F6C"/>
    <w:rsid w:val="0089730F"/>
    <w:rsid w:val="00897C8C"/>
    <w:rsid w:val="008A1EFF"/>
    <w:rsid w:val="008A2C48"/>
    <w:rsid w:val="008A3C39"/>
    <w:rsid w:val="008A446C"/>
    <w:rsid w:val="008A5C59"/>
    <w:rsid w:val="008B0A53"/>
    <w:rsid w:val="008B24E8"/>
    <w:rsid w:val="008B49A1"/>
    <w:rsid w:val="008B4DAC"/>
    <w:rsid w:val="008C06DC"/>
    <w:rsid w:val="008C08F5"/>
    <w:rsid w:val="008C1CE4"/>
    <w:rsid w:val="008C28BF"/>
    <w:rsid w:val="008C436A"/>
    <w:rsid w:val="008C456D"/>
    <w:rsid w:val="008C5661"/>
    <w:rsid w:val="008C688F"/>
    <w:rsid w:val="008D1311"/>
    <w:rsid w:val="008D2014"/>
    <w:rsid w:val="008D6769"/>
    <w:rsid w:val="008D777E"/>
    <w:rsid w:val="008D7CEA"/>
    <w:rsid w:val="008E3C32"/>
    <w:rsid w:val="008E6BF8"/>
    <w:rsid w:val="008E78F6"/>
    <w:rsid w:val="008F07BC"/>
    <w:rsid w:val="008F281F"/>
    <w:rsid w:val="008F65EF"/>
    <w:rsid w:val="008F6BC9"/>
    <w:rsid w:val="008F725A"/>
    <w:rsid w:val="00900EC0"/>
    <w:rsid w:val="0090716A"/>
    <w:rsid w:val="00907747"/>
    <w:rsid w:val="00911AC2"/>
    <w:rsid w:val="00916A08"/>
    <w:rsid w:val="00921E59"/>
    <w:rsid w:val="00925346"/>
    <w:rsid w:val="00926913"/>
    <w:rsid w:val="00927201"/>
    <w:rsid w:val="00930299"/>
    <w:rsid w:val="00931D58"/>
    <w:rsid w:val="00932274"/>
    <w:rsid w:val="00932FC2"/>
    <w:rsid w:val="0093410D"/>
    <w:rsid w:val="00934A25"/>
    <w:rsid w:val="0093504A"/>
    <w:rsid w:val="009410B9"/>
    <w:rsid w:val="009416D8"/>
    <w:rsid w:val="00942996"/>
    <w:rsid w:val="00942C52"/>
    <w:rsid w:val="009433E4"/>
    <w:rsid w:val="009435EB"/>
    <w:rsid w:val="00943D0A"/>
    <w:rsid w:val="009452CD"/>
    <w:rsid w:val="0094680E"/>
    <w:rsid w:val="0095120F"/>
    <w:rsid w:val="00951A56"/>
    <w:rsid w:val="00953F01"/>
    <w:rsid w:val="00955289"/>
    <w:rsid w:val="009562DB"/>
    <w:rsid w:val="0095705F"/>
    <w:rsid w:val="009601E6"/>
    <w:rsid w:val="00961B4F"/>
    <w:rsid w:val="00963081"/>
    <w:rsid w:val="00963622"/>
    <w:rsid w:val="00964E7F"/>
    <w:rsid w:val="009661D7"/>
    <w:rsid w:val="009664DA"/>
    <w:rsid w:val="00967900"/>
    <w:rsid w:val="00971338"/>
    <w:rsid w:val="00972156"/>
    <w:rsid w:val="00974FE9"/>
    <w:rsid w:val="00980536"/>
    <w:rsid w:val="00980932"/>
    <w:rsid w:val="009833FD"/>
    <w:rsid w:val="00985E6C"/>
    <w:rsid w:val="009865B8"/>
    <w:rsid w:val="00986A9B"/>
    <w:rsid w:val="009905E1"/>
    <w:rsid w:val="00990A6E"/>
    <w:rsid w:val="00993D67"/>
    <w:rsid w:val="00994119"/>
    <w:rsid w:val="00996B61"/>
    <w:rsid w:val="00997EAC"/>
    <w:rsid w:val="009A0C74"/>
    <w:rsid w:val="009A1AE4"/>
    <w:rsid w:val="009A204C"/>
    <w:rsid w:val="009A25DE"/>
    <w:rsid w:val="009A27A9"/>
    <w:rsid w:val="009A3C9A"/>
    <w:rsid w:val="009A417E"/>
    <w:rsid w:val="009A505A"/>
    <w:rsid w:val="009A5C8B"/>
    <w:rsid w:val="009A5D2D"/>
    <w:rsid w:val="009C086C"/>
    <w:rsid w:val="009C11AF"/>
    <w:rsid w:val="009C15AA"/>
    <w:rsid w:val="009C1BB3"/>
    <w:rsid w:val="009C69A5"/>
    <w:rsid w:val="009D26E9"/>
    <w:rsid w:val="009D380B"/>
    <w:rsid w:val="009D5857"/>
    <w:rsid w:val="009D73FC"/>
    <w:rsid w:val="009E11E9"/>
    <w:rsid w:val="009E1451"/>
    <w:rsid w:val="009E613E"/>
    <w:rsid w:val="009E6841"/>
    <w:rsid w:val="009E7FB1"/>
    <w:rsid w:val="009F0C93"/>
    <w:rsid w:val="009F0CF4"/>
    <w:rsid w:val="009F24D9"/>
    <w:rsid w:val="009F5732"/>
    <w:rsid w:val="009F792C"/>
    <w:rsid w:val="00A005E4"/>
    <w:rsid w:val="00A0177F"/>
    <w:rsid w:val="00A01E13"/>
    <w:rsid w:val="00A0251B"/>
    <w:rsid w:val="00A03A42"/>
    <w:rsid w:val="00A0503C"/>
    <w:rsid w:val="00A05A0E"/>
    <w:rsid w:val="00A060E3"/>
    <w:rsid w:val="00A0621D"/>
    <w:rsid w:val="00A105F7"/>
    <w:rsid w:val="00A110F5"/>
    <w:rsid w:val="00A15157"/>
    <w:rsid w:val="00A15982"/>
    <w:rsid w:val="00A16BC7"/>
    <w:rsid w:val="00A16F2A"/>
    <w:rsid w:val="00A1708B"/>
    <w:rsid w:val="00A17CB7"/>
    <w:rsid w:val="00A2184E"/>
    <w:rsid w:val="00A2290B"/>
    <w:rsid w:val="00A22C9B"/>
    <w:rsid w:val="00A232E2"/>
    <w:rsid w:val="00A23951"/>
    <w:rsid w:val="00A23AD9"/>
    <w:rsid w:val="00A323F8"/>
    <w:rsid w:val="00A348A3"/>
    <w:rsid w:val="00A349F6"/>
    <w:rsid w:val="00A35F14"/>
    <w:rsid w:val="00A4077C"/>
    <w:rsid w:val="00A42272"/>
    <w:rsid w:val="00A4372F"/>
    <w:rsid w:val="00A469BA"/>
    <w:rsid w:val="00A51122"/>
    <w:rsid w:val="00A5158F"/>
    <w:rsid w:val="00A52E00"/>
    <w:rsid w:val="00A5328D"/>
    <w:rsid w:val="00A558A0"/>
    <w:rsid w:val="00A55F43"/>
    <w:rsid w:val="00A56E98"/>
    <w:rsid w:val="00A57561"/>
    <w:rsid w:val="00A5797E"/>
    <w:rsid w:val="00A627BB"/>
    <w:rsid w:val="00A6453C"/>
    <w:rsid w:val="00A64E60"/>
    <w:rsid w:val="00A65559"/>
    <w:rsid w:val="00A65BCE"/>
    <w:rsid w:val="00A66F70"/>
    <w:rsid w:val="00A73094"/>
    <w:rsid w:val="00A7331F"/>
    <w:rsid w:val="00A73371"/>
    <w:rsid w:val="00A746F0"/>
    <w:rsid w:val="00A74BC4"/>
    <w:rsid w:val="00A75DDD"/>
    <w:rsid w:val="00A80B70"/>
    <w:rsid w:val="00A815B1"/>
    <w:rsid w:val="00A815F6"/>
    <w:rsid w:val="00A81D4B"/>
    <w:rsid w:val="00A81E59"/>
    <w:rsid w:val="00A84BA9"/>
    <w:rsid w:val="00A91695"/>
    <w:rsid w:val="00A93053"/>
    <w:rsid w:val="00A95C0A"/>
    <w:rsid w:val="00A95C32"/>
    <w:rsid w:val="00A963C6"/>
    <w:rsid w:val="00A965BD"/>
    <w:rsid w:val="00A968E3"/>
    <w:rsid w:val="00A96D46"/>
    <w:rsid w:val="00AA0B09"/>
    <w:rsid w:val="00AA273E"/>
    <w:rsid w:val="00AA2D43"/>
    <w:rsid w:val="00AA44E9"/>
    <w:rsid w:val="00AA4A94"/>
    <w:rsid w:val="00AA5AE1"/>
    <w:rsid w:val="00AA642C"/>
    <w:rsid w:val="00AA6CD1"/>
    <w:rsid w:val="00AB0C7B"/>
    <w:rsid w:val="00AB3296"/>
    <w:rsid w:val="00AB479E"/>
    <w:rsid w:val="00AB6441"/>
    <w:rsid w:val="00AB7400"/>
    <w:rsid w:val="00AB75F3"/>
    <w:rsid w:val="00AC0071"/>
    <w:rsid w:val="00AC255C"/>
    <w:rsid w:val="00AC6E4E"/>
    <w:rsid w:val="00AD09D0"/>
    <w:rsid w:val="00AD119E"/>
    <w:rsid w:val="00AD1521"/>
    <w:rsid w:val="00AD1555"/>
    <w:rsid w:val="00AD3D4E"/>
    <w:rsid w:val="00AD4760"/>
    <w:rsid w:val="00AD7412"/>
    <w:rsid w:val="00AE07B2"/>
    <w:rsid w:val="00AE0DAF"/>
    <w:rsid w:val="00AE2682"/>
    <w:rsid w:val="00AE2C4A"/>
    <w:rsid w:val="00AE4490"/>
    <w:rsid w:val="00AE4DAC"/>
    <w:rsid w:val="00AE557C"/>
    <w:rsid w:val="00AE5E80"/>
    <w:rsid w:val="00AE7437"/>
    <w:rsid w:val="00AF051A"/>
    <w:rsid w:val="00AF0B5D"/>
    <w:rsid w:val="00AF649A"/>
    <w:rsid w:val="00AF785E"/>
    <w:rsid w:val="00AF7DE2"/>
    <w:rsid w:val="00B02575"/>
    <w:rsid w:val="00B050EA"/>
    <w:rsid w:val="00B05588"/>
    <w:rsid w:val="00B0621E"/>
    <w:rsid w:val="00B06C99"/>
    <w:rsid w:val="00B06ED1"/>
    <w:rsid w:val="00B12628"/>
    <w:rsid w:val="00B134E3"/>
    <w:rsid w:val="00B13831"/>
    <w:rsid w:val="00B13F4E"/>
    <w:rsid w:val="00B15212"/>
    <w:rsid w:val="00B1535C"/>
    <w:rsid w:val="00B15849"/>
    <w:rsid w:val="00B16443"/>
    <w:rsid w:val="00B16D88"/>
    <w:rsid w:val="00B179DD"/>
    <w:rsid w:val="00B17BB8"/>
    <w:rsid w:val="00B20032"/>
    <w:rsid w:val="00B20162"/>
    <w:rsid w:val="00B227D1"/>
    <w:rsid w:val="00B235EF"/>
    <w:rsid w:val="00B313DD"/>
    <w:rsid w:val="00B316DF"/>
    <w:rsid w:val="00B33A0D"/>
    <w:rsid w:val="00B33C85"/>
    <w:rsid w:val="00B3574A"/>
    <w:rsid w:val="00B359FE"/>
    <w:rsid w:val="00B35CC0"/>
    <w:rsid w:val="00B422B9"/>
    <w:rsid w:val="00B47957"/>
    <w:rsid w:val="00B5034D"/>
    <w:rsid w:val="00B518EC"/>
    <w:rsid w:val="00B533E9"/>
    <w:rsid w:val="00B54D3A"/>
    <w:rsid w:val="00B5515D"/>
    <w:rsid w:val="00B5705B"/>
    <w:rsid w:val="00B57488"/>
    <w:rsid w:val="00B6350B"/>
    <w:rsid w:val="00B63B03"/>
    <w:rsid w:val="00B71AEE"/>
    <w:rsid w:val="00B736D9"/>
    <w:rsid w:val="00B74C92"/>
    <w:rsid w:val="00B75462"/>
    <w:rsid w:val="00B76B9A"/>
    <w:rsid w:val="00B8379B"/>
    <w:rsid w:val="00B86C93"/>
    <w:rsid w:val="00B874F9"/>
    <w:rsid w:val="00B87D43"/>
    <w:rsid w:val="00B92BD8"/>
    <w:rsid w:val="00B92FA7"/>
    <w:rsid w:val="00B94D45"/>
    <w:rsid w:val="00B97BF4"/>
    <w:rsid w:val="00BA133D"/>
    <w:rsid w:val="00BA152E"/>
    <w:rsid w:val="00BA1A11"/>
    <w:rsid w:val="00BA3EB1"/>
    <w:rsid w:val="00BA3FDB"/>
    <w:rsid w:val="00BA52BA"/>
    <w:rsid w:val="00BB0383"/>
    <w:rsid w:val="00BB579A"/>
    <w:rsid w:val="00BB6E04"/>
    <w:rsid w:val="00BB7F80"/>
    <w:rsid w:val="00BC0B9B"/>
    <w:rsid w:val="00BC1013"/>
    <w:rsid w:val="00BC2D4C"/>
    <w:rsid w:val="00BC4752"/>
    <w:rsid w:val="00BC7B7D"/>
    <w:rsid w:val="00BC7D0A"/>
    <w:rsid w:val="00BD13A3"/>
    <w:rsid w:val="00BD3FAD"/>
    <w:rsid w:val="00BD517A"/>
    <w:rsid w:val="00BD5624"/>
    <w:rsid w:val="00BD6074"/>
    <w:rsid w:val="00BD7799"/>
    <w:rsid w:val="00BE0717"/>
    <w:rsid w:val="00BE0DED"/>
    <w:rsid w:val="00BE3D9F"/>
    <w:rsid w:val="00BE745E"/>
    <w:rsid w:val="00BE7F67"/>
    <w:rsid w:val="00BF053B"/>
    <w:rsid w:val="00BF1D3E"/>
    <w:rsid w:val="00BF2FBA"/>
    <w:rsid w:val="00BF4748"/>
    <w:rsid w:val="00BF68E7"/>
    <w:rsid w:val="00C0065B"/>
    <w:rsid w:val="00C00C75"/>
    <w:rsid w:val="00C0230A"/>
    <w:rsid w:val="00C0337D"/>
    <w:rsid w:val="00C0423C"/>
    <w:rsid w:val="00C04637"/>
    <w:rsid w:val="00C05D28"/>
    <w:rsid w:val="00C06EA4"/>
    <w:rsid w:val="00C07BB4"/>
    <w:rsid w:val="00C07C47"/>
    <w:rsid w:val="00C11334"/>
    <w:rsid w:val="00C11351"/>
    <w:rsid w:val="00C11C6C"/>
    <w:rsid w:val="00C134AF"/>
    <w:rsid w:val="00C136AB"/>
    <w:rsid w:val="00C143CD"/>
    <w:rsid w:val="00C17888"/>
    <w:rsid w:val="00C20234"/>
    <w:rsid w:val="00C216FD"/>
    <w:rsid w:val="00C2237F"/>
    <w:rsid w:val="00C226C5"/>
    <w:rsid w:val="00C22CAB"/>
    <w:rsid w:val="00C23A2F"/>
    <w:rsid w:val="00C23DE0"/>
    <w:rsid w:val="00C23E78"/>
    <w:rsid w:val="00C24712"/>
    <w:rsid w:val="00C27249"/>
    <w:rsid w:val="00C31350"/>
    <w:rsid w:val="00C339E8"/>
    <w:rsid w:val="00C33D10"/>
    <w:rsid w:val="00C35E93"/>
    <w:rsid w:val="00C40231"/>
    <w:rsid w:val="00C4122D"/>
    <w:rsid w:val="00C414A8"/>
    <w:rsid w:val="00C42663"/>
    <w:rsid w:val="00C426AD"/>
    <w:rsid w:val="00C4292B"/>
    <w:rsid w:val="00C4386F"/>
    <w:rsid w:val="00C43DB6"/>
    <w:rsid w:val="00C44D2C"/>
    <w:rsid w:val="00C44DFC"/>
    <w:rsid w:val="00C45B6A"/>
    <w:rsid w:val="00C45D06"/>
    <w:rsid w:val="00C46B2A"/>
    <w:rsid w:val="00C4751E"/>
    <w:rsid w:val="00C47E6E"/>
    <w:rsid w:val="00C51E9B"/>
    <w:rsid w:val="00C51EE3"/>
    <w:rsid w:val="00C529D5"/>
    <w:rsid w:val="00C56554"/>
    <w:rsid w:val="00C57150"/>
    <w:rsid w:val="00C578AB"/>
    <w:rsid w:val="00C60965"/>
    <w:rsid w:val="00C60E2F"/>
    <w:rsid w:val="00C61156"/>
    <w:rsid w:val="00C619AB"/>
    <w:rsid w:val="00C71109"/>
    <w:rsid w:val="00C713BA"/>
    <w:rsid w:val="00C72D71"/>
    <w:rsid w:val="00C738E3"/>
    <w:rsid w:val="00C73D26"/>
    <w:rsid w:val="00C83CF7"/>
    <w:rsid w:val="00C84A33"/>
    <w:rsid w:val="00C9053C"/>
    <w:rsid w:val="00C91C65"/>
    <w:rsid w:val="00C92347"/>
    <w:rsid w:val="00C948C1"/>
    <w:rsid w:val="00C94938"/>
    <w:rsid w:val="00C961FD"/>
    <w:rsid w:val="00CA06A3"/>
    <w:rsid w:val="00CA13CD"/>
    <w:rsid w:val="00CA2E18"/>
    <w:rsid w:val="00CA590E"/>
    <w:rsid w:val="00CA60CF"/>
    <w:rsid w:val="00CA643B"/>
    <w:rsid w:val="00CA66C5"/>
    <w:rsid w:val="00CA760A"/>
    <w:rsid w:val="00CB34EC"/>
    <w:rsid w:val="00CB4B12"/>
    <w:rsid w:val="00CB52AD"/>
    <w:rsid w:val="00CB797F"/>
    <w:rsid w:val="00CC0BFE"/>
    <w:rsid w:val="00CC1F88"/>
    <w:rsid w:val="00CC358E"/>
    <w:rsid w:val="00CC703E"/>
    <w:rsid w:val="00CC707A"/>
    <w:rsid w:val="00CC70DD"/>
    <w:rsid w:val="00CD0007"/>
    <w:rsid w:val="00CD4416"/>
    <w:rsid w:val="00CD5545"/>
    <w:rsid w:val="00CD6FA1"/>
    <w:rsid w:val="00CE1401"/>
    <w:rsid w:val="00CE2A6C"/>
    <w:rsid w:val="00CE2C24"/>
    <w:rsid w:val="00CE3470"/>
    <w:rsid w:val="00CE52B9"/>
    <w:rsid w:val="00CE7D3D"/>
    <w:rsid w:val="00CF019C"/>
    <w:rsid w:val="00CF0252"/>
    <w:rsid w:val="00CF2678"/>
    <w:rsid w:val="00CF34F1"/>
    <w:rsid w:val="00CF5688"/>
    <w:rsid w:val="00CF5D76"/>
    <w:rsid w:val="00CF5DA0"/>
    <w:rsid w:val="00CF67AC"/>
    <w:rsid w:val="00D00B34"/>
    <w:rsid w:val="00D00E1A"/>
    <w:rsid w:val="00D01A6F"/>
    <w:rsid w:val="00D01ECE"/>
    <w:rsid w:val="00D0299D"/>
    <w:rsid w:val="00D03CBC"/>
    <w:rsid w:val="00D05BBB"/>
    <w:rsid w:val="00D06FCD"/>
    <w:rsid w:val="00D11E0F"/>
    <w:rsid w:val="00D12B7A"/>
    <w:rsid w:val="00D154AF"/>
    <w:rsid w:val="00D170E0"/>
    <w:rsid w:val="00D17FF1"/>
    <w:rsid w:val="00D20AC2"/>
    <w:rsid w:val="00D2188D"/>
    <w:rsid w:val="00D21C4E"/>
    <w:rsid w:val="00D2270E"/>
    <w:rsid w:val="00D248D8"/>
    <w:rsid w:val="00D261A6"/>
    <w:rsid w:val="00D269F4"/>
    <w:rsid w:val="00D27BE6"/>
    <w:rsid w:val="00D31AE4"/>
    <w:rsid w:val="00D33113"/>
    <w:rsid w:val="00D34CC2"/>
    <w:rsid w:val="00D35052"/>
    <w:rsid w:val="00D35359"/>
    <w:rsid w:val="00D35464"/>
    <w:rsid w:val="00D3596B"/>
    <w:rsid w:val="00D36070"/>
    <w:rsid w:val="00D406CB"/>
    <w:rsid w:val="00D4089D"/>
    <w:rsid w:val="00D40D39"/>
    <w:rsid w:val="00D40FE5"/>
    <w:rsid w:val="00D4140C"/>
    <w:rsid w:val="00D418AF"/>
    <w:rsid w:val="00D424B1"/>
    <w:rsid w:val="00D4389C"/>
    <w:rsid w:val="00D45B83"/>
    <w:rsid w:val="00D47CE6"/>
    <w:rsid w:val="00D47E39"/>
    <w:rsid w:val="00D51704"/>
    <w:rsid w:val="00D554D2"/>
    <w:rsid w:val="00D57D6C"/>
    <w:rsid w:val="00D6279F"/>
    <w:rsid w:val="00D6287F"/>
    <w:rsid w:val="00D63947"/>
    <w:rsid w:val="00D65387"/>
    <w:rsid w:val="00D65B1F"/>
    <w:rsid w:val="00D66E7E"/>
    <w:rsid w:val="00D675CF"/>
    <w:rsid w:val="00D731A1"/>
    <w:rsid w:val="00D73284"/>
    <w:rsid w:val="00D740AE"/>
    <w:rsid w:val="00D76532"/>
    <w:rsid w:val="00D81057"/>
    <w:rsid w:val="00D81699"/>
    <w:rsid w:val="00D81A31"/>
    <w:rsid w:val="00D8346D"/>
    <w:rsid w:val="00D83B6F"/>
    <w:rsid w:val="00D83C78"/>
    <w:rsid w:val="00D83D47"/>
    <w:rsid w:val="00D85CF5"/>
    <w:rsid w:val="00D865D1"/>
    <w:rsid w:val="00D86DF3"/>
    <w:rsid w:val="00D87DE6"/>
    <w:rsid w:val="00D90276"/>
    <w:rsid w:val="00D94291"/>
    <w:rsid w:val="00D9672F"/>
    <w:rsid w:val="00D978CB"/>
    <w:rsid w:val="00DA1CA7"/>
    <w:rsid w:val="00DA1E70"/>
    <w:rsid w:val="00DA4B72"/>
    <w:rsid w:val="00DA4FCD"/>
    <w:rsid w:val="00DA5AA1"/>
    <w:rsid w:val="00DA6661"/>
    <w:rsid w:val="00DA6735"/>
    <w:rsid w:val="00DB06CC"/>
    <w:rsid w:val="00DB1639"/>
    <w:rsid w:val="00DB4796"/>
    <w:rsid w:val="00DB4874"/>
    <w:rsid w:val="00DB4AD1"/>
    <w:rsid w:val="00DB6D6A"/>
    <w:rsid w:val="00DB77A6"/>
    <w:rsid w:val="00DC3A65"/>
    <w:rsid w:val="00DC3EBF"/>
    <w:rsid w:val="00DC4ABB"/>
    <w:rsid w:val="00DC555D"/>
    <w:rsid w:val="00DC5F7A"/>
    <w:rsid w:val="00DD0105"/>
    <w:rsid w:val="00DD0BA9"/>
    <w:rsid w:val="00DD11EB"/>
    <w:rsid w:val="00DD1833"/>
    <w:rsid w:val="00DD1D21"/>
    <w:rsid w:val="00DD1E45"/>
    <w:rsid w:val="00DD38C3"/>
    <w:rsid w:val="00DD3AAF"/>
    <w:rsid w:val="00DD5D48"/>
    <w:rsid w:val="00DE0756"/>
    <w:rsid w:val="00DE3D5E"/>
    <w:rsid w:val="00DE427C"/>
    <w:rsid w:val="00DE5055"/>
    <w:rsid w:val="00DE748D"/>
    <w:rsid w:val="00DE7C98"/>
    <w:rsid w:val="00DF1C8D"/>
    <w:rsid w:val="00DF238A"/>
    <w:rsid w:val="00DF2848"/>
    <w:rsid w:val="00DF3DD7"/>
    <w:rsid w:val="00DF45EC"/>
    <w:rsid w:val="00DF567F"/>
    <w:rsid w:val="00E031BD"/>
    <w:rsid w:val="00E03632"/>
    <w:rsid w:val="00E0379A"/>
    <w:rsid w:val="00E03B7C"/>
    <w:rsid w:val="00E061AE"/>
    <w:rsid w:val="00E10E0E"/>
    <w:rsid w:val="00E1251F"/>
    <w:rsid w:val="00E12E22"/>
    <w:rsid w:val="00E1315E"/>
    <w:rsid w:val="00E14352"/>
    <w:rsid w:val="00E20A65"/>
    <w:rsid w:val="00E213B9"/>
    <w:rsid w:val="00E221DF"/>
    <w:rsid w:val="00E2253B"/>
    <w:rsid w:val="00E235EF"/>
    <w:rsid w:val="00E23BF4"/>
    <w:rsid w:val="00E252C9"/>
    <w:rsid w:val="00E25480"/>
    <w:rsid w:val="00E31430"/>
    <w:rsid w:val="00E3192E"/>
    <w:rsid w:val="00E3477F"/>
    <w:rsid w:val="00E35675"/>
    <w:rsid w:val="00E35A21"/>
    <w:rsid w:val="00E3620D"/>
    <w:rsid w:val="00E37F35"/>
    <w:rsid w:val="00E37FDB"/>
    <w:rsid w:val="00E41124"/>
    <w:rsid w:val="00E4267D"/>
    <w:rsid w:val="00E42AD0"/>
    <w:rsid w:val="00E42FE7"/>
    <w:rsid w:val="00E430A3"/>
    <w:rsid w:val="00E43410"/>
    <w:rsid w:val="00E444D8"/>
    <w:rsid w:val="00E5048C"/>
    <w:rsid w:val="00E5063D"/>
    <w:rsid w:val="00E5082E"/>
    <w:rsid w:val="00E51EF0"/>
    <w:rsid w:val="00E52372"/>
    <w:rsid w:val="00E527F6"/>
    <w:rsid w:val="00E52C99"/>
    <w:rsid w:val="00E53EF9"/>
    <w:rsid w:val="00E55CCF"/>
    <w:rsid w:val="00E56055"/>
    <w:rsid w:val="00E56A35"/>
    <w:rsid w:val="00E60019"/>
    <w:rsid w:val="00E6098F"/>
    <w:rsid w:val="00E62848"/>
    <w:rsid w:val="00E62D26"/>
    <w:rsid w:val="00E63BDE"/>
    <w:rsid w:val="00E66255"/>
    <w:rsid w:val="00E704F6"/>
    <w:rsid w:val="00E7174A"/>
    <w:rsid w:val="00E71E15"/>
    <w:rsid w:val="00E7299E"/>
    <w:rsid w:val="00E729F1"/>
    <w:rsid w:val="00E72A69"/>
    <w:rsid w:val="00E735C7"/>
    <w:rsid w:val="00E7419F"/>
    <w:rsid w:val="00E74627"/>
    <w:rsid w:val="00E74992"/>
    <w:rsid w:val="00E75C31"/>
    <w:rsid w:val="00E764A9"/>
    <w:rsid w:val="00E77420"/>
    <w:rsid w:val="00E856F0"/>
    <w:rsid w:val="00E91655"/>
    <w:rsid w:val="00E91BF3"/>
    <w:rsid w:val="00E92AF6"/>
    <w:rsid w:val="00E95C02"/>
    <w:rsid w:val="00E977F5"/>
    <w:rsid w:val="00EA1374"/>
    <w:rsid w:val="00EA42F3"/>
    <w:rsid w:val="00EB0F61"/>
    <w:rsid w:val="00EB1F39"/>
    <w:rsid w:val="00EB3EF3"/>
    <w:rsid w:val="00EB3FC6"/>
    <w:rsid w:val="00EB683B"/>
    <w:rsid w:val="00EB6865"/>
    <w:rsid w:val="00EB75D4"/>
    <w:rsid w:val="00EB7BB6"/>
    <w:rsid w:val="00EC09DD"/>
    <w:rsid w:val="00EC29DC"/>
    <w:rsid w:val="00EC4206"/>
    <w:rsid w:val="00EC7471"/>
    <w:rsid w:val="00EC7C3F"/>
    <w:rsid w:val="00ED0729"/>
    <w:rsid w:val="00ED0EE2"/>
    <w:rsid w:val="00ED27E0"/>
    <w:rsid w:val="00ED3FC8"/>
    <w:rsid w:val="00ED40BE"/>
    <w:rsid w:val="00ED59A3"/>
    <w:rsid w:val="00ED6A1A"/>
    <w:rsid w:val="00ED6BC1"/>
    <w:rsid w:val="00ED7FBA"/>
    <w:rsid w:val="00EE28E4"/>
    <w:rsid w:val="00EE379A"/>
    <w:rsid w:val="00EE3F27"/>
    <w:rsid w:val="00EE4C2C"/>
    <w:rsid w:val="00EE4F8A"/>
    <w:rsid w:val="00EE6F11"/>
    <w:rsid w:val="00EF0BEA"/>
    <w:rsid w:val="00EF0E59"/>
    <w:rsid w:val="00EF119D"/>
    <w:rsid w:val="00EF2FB4"/>
    <w:rsid w:val="00EF370E"/>
    <w:rsid w:val="00EF3FFC"/>
    <w:rsid w:val="00EF5198"/>
    <w:rsid w:val="00F00862"/>
    <w:rsid w:val="00F014BC"/>
    <w:rsid w:val="00F018E1"/>
    <w:rsid w:val="00F02A43"/>
    <w:rsid w:val="00F035A0"/>
    <w:rsid w:val="00F0496A"/>
    <w:rsid w:val="00F04AD2"/>
    <w:rsid w:val="00F064DF"/>
    <w:rsid w:val="00F10E2D"/>
    <w:rsid w:val="00F11CDA"/>
    <w:rsid w:val="00F12276"/>
    <w:rsid w:val="00F13280"/>
    <w:rsid w:val="00F1338C"/>
    <w:rsid w:val="00F14B59"/>
    <w:rsid w:val="00F15816"/>
    <w:rsid w:val="00F21C4B"/>
    <w:rsid w:val="00F222C7"/>
    <w:rsid w:val="00F238A0"/>
    <w:rsid w:val="00F2582F"/>
    <w:rsid w:val="00F27D59"/>
    <w:rsid w:val="00F300F2"/>
    <w:rsid w:val="00F307A5"/>
    <w:rsid w:val="00F31BFC"/>
    <w:rsid w:val="00F31FC7"/>
    <w:rsid w:val="00F329C0"/>
    <w:rsid w:val="00F32BD9"/>
    <w:rsid w:val="00F32C79"/>
    <w:rsid w:val="00F340D1"/>
    <w:rsid w:val="00F36138"/>
    <w:rsid w:val="00F367F5"/>
    <w:rsid w:val="00F45DC7"/>
    <w:rsid w:val="00F46063"/>
    <w:rsid w:val="00F47653"/>
    <w:rsid w:val="00F526C0"/>
    <w:rsid w:val="00F54026"/>
    <w:rsid w:val="00F551CA"/>
    <w:rsid w:val="00F56834"/>
    <w:rsid w:val="00F60A5C"/>
    <w:rsid w:val="00F61869"/>
    <w:rsid w:val="00F62047"/>
    <w:rsid w:val="00F62F72"/>
    <w:rsid w:val="00F647D7"/>
    <w:rsid w:val="00F64C72"/>
    <w:rsid w:val="00F666C1"/>
    <w:rsid w:val="00F70E3C"/>
    <w:rsid w:val="00F72852"/>
    <w:rsid w:val="00F72ED7"/>
    <w:rsid w:val="00F73C61"/>
    <w:rsid w:val="00F75CD4"/>
    <w:rsid w:val="00F76CB0"/>
    <w:rsid w:val="00F77795"/>
    <w:rsid w:val="00F8161B"/>
    <w:rsid w:val="00F82FAF"/>
    <w:rsid w:val="00F84A8D"/>
    <w:rsid w:val="00F865FD"/>
    <w:rsid w:val="00F86AB9"/>
    <w:rsid w:val="00F8722E"/>
    <w:rsid w:val="00F872F0"/>
    <w:rsid w:val="00F8793B"/>
    <w:rsid w:val="00F87A34"/>
    <w:rsid w:val="00F87AF4"/>
    <w:rsid w:val="00F90188"/>
    <w:rsid w:val="00F91038"/>
    <w:rsid w:val="00F94281"/>
    <w:rsid w:val="00F9559D"/>
    <w:rsid w:val="00F9575C"/>
    <w:rsid w:val="00F970F9"/>
    <w:rsid w:val="00F97722"/>
    <w:rsid w:val="00FA1152"/>
    <w:rsid w:val="00FA245F"/>
    <w:rsid w:val="00FA3798"/>
    <w:rsid w:val="00FA40B9"/>
    <w:rsid w:val="00FB0F9F"/>
    <w:rsid w:val="00FB139A"/>
    <w:rsid w:val="00FB279C"/>
    <w:rsid w:val="00FB2861"/>
    <w:rsid w:val="00FB2946"/>
    <w:rsid w:val="00FB2C9F"/>
    <w:rsid w:val="00FB4C83"/>
    <w:rsid w:val="00FB5071"/>
    <w:rsid w:val="00FB5C37"/>
    <w:rsid w:val="00FB6A3C"/>
    <w:rsid w:val="00FC0308"/>
    <w:rsid w:val="00FC1202"/>
    <w:rsid w:val="00FC1687"/>
    <w:rsid w:val="00FC1CCB"/>
    <w:rsid w:val="00FC3200"/>
    <w:rsid w:val="00FC369F"/>
    <w:rsid w:val="00FC4CE2"/>
    <w:rsid w:val="00FC58C8"/>
    <w:rsid w:val="00FD08D8"/>
    <w:rsid w:val="00FD17F0"/>
    <w:rsid w:val="00FD47E5"/>
    <w:rsid w:val="00FD5AFE"/>
    <w:rsid w:val="00FD685C"/>
    <w:rsid w:val="00FD7BFE"/>
    <w:rsid w:val="00FD7F85"/>
    <w:rsid w:val="00FE1EF3"/>
    <w:rsid w:val="00FE4D39"/>
    <w:rsid w:val="00FF1541"/>
    <w:rsid w:val="00FF4137"/>
    <w:rsid w:val="00FF417F"/>
    <w:rsid w:val="00FF699E"/>
    <w:rsid w:val="00FF79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81281"/>
    <o:shapelayout v:ext="edit">
      <o:idmap v:ext="edit" data="1"/>
    </o:shapelayout>
  </w:shapeDefaults>
  <w:decimalSymbol w:val="."/>
  <w:listSeparator w:val=","/>
  <w14:docId w14:val="6B553DFC"/>
  <w15:chartTrackingRefBased/>
  <w15:docId w15:val="{77362C3F-4E5A-44B0-85CB-8DF43922F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3" w:qFormat="1"/>
    <w:lsdException w:name="heading 3" w:uiPriority="4" w:qFormat="1"/>
    <w:lsdException w:name="heading 4" w:uiPriority="5"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12"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0"/>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1C6C"/>
    <w:pPr>
      <w:tabs>
        <w:tab w:val="left" w:pos="567"/>
      </w:tabs>
      <w:spacing w:before="120" w:after="120"/>
    </w:pPr>
    <w:rPr>
      <w:rFonts w:asciiTheme="minorHAnsi" w:hAnsiTheme="minorHAnsi"/>
      <w:sz w:val="24"/>
      <w:szCs w:val="22"/>
      <w:lang w:eastAsia="en-US"/>
    </w:rPr>
  </w:style>
  <w:style w:type="paragraph" w:styleId="Heading1">
    <w:name w:val="heading 1"/>
    <w:basedOn w:val="Normal"/>
    <w:next w:val="Normal"/>
    <w:link w:val="Heading1Char"/>
    <w:uiPriority w:val="1"/>
    <w:qFormat/>
    <w:rsid w:val="00A5158F"/>
    <w:pPr>
      <w:spacing w:before="600" w:after="0"/>
      <w:outlineLvl w:val="0"/>
    </w:pPr>
    <w:rPr>
      <w:b/>
      <w:sz w:val="48"/>
      <w:szCs w:val="48"/>
    </w:rPr>
  </w:style>
  <w:style w:type="paragraph" w:styleId="Heading2">
    <w:name w:val="heading 2"/>
    <w:next w:val="Normal"/>
    <w:link w:val="Heading2Char"/>
    <w:uiPriority w:val="3"/>
    <w:qFormat/>
    <w:rsid w:val="00BC0B9B"/>
    <w:pPr>
      <w:pageBreakBefore/>
      <w:numPr>
        <w:numId w:val="52"/>
      </w:numPr>
      <w:spacing w:after="240"/>
      <w:outlineLvl w:val="1"/>
    </w:pPr>
    <w:rPr>
      <w:rFonts w:asciiTheme="minorHAnsi" w:eastAsia="Times New Roman" w:hAnsiTheme="minorHAnsi"/>
      <w:b/>
      <w:bCs/>
      <w:color w:val="000000"/>
      <w:sz w:val="40"/>
      <w:szCs w:val="28"/>
    </w:rPr>
  </w:style>
  <w:style w:type="paragraph" w:styleId="Heading3">
    <w:name w:val="heading 3"/>
    <w:next w:val="Normal"/>
    <w:link w:val="Heading3Char"/>
    <w:uiPriority w:val="4"/>
    <w:qFormat/>
    <w:rsid w:val="00BC0B9B"/>
    <w:pPr>
      <w:keepNext/>
      <w:keepLines/>
      <w:numPr>
        <w:ilvl w:val="1"/>
        <w:numId w:val="52"/>
      </w:numPr>
      <w:spacing w:before="240"/>
      <w:outlineLvl w:val="2"/>
    </w:pPr>
    <w:rPr>
      <w:rFonts w:asciiTheme="minorHAnsi" w:eastAsia="Times New Roman" w:hAnsiTheme="minorHAnsi"/>
      <w:b/>
      <w:bCs/>
      <w:color w:val="000000"/>
      <w:sz w:val="32"/>
      <w:szCs w:val="28"/>
    </w:rPr>
  </w:style>
  <w:style w:type="paragraph" w:styleId="Heading4">
    <w:name w:val="heading 4"/>
    <w:next w:val="Normal"/>
    <w:link w:val="Heading4Char"/>
    <w:uiPriority w:val="5"/>
    <w:qFormat/>
    <w:rsid w:val="00BC0B9B"/>
    <w:pPr>
      <w:numPr>
        <w:ilvl w:val="2"/>
        <w:numId w:val="52"/>
      </w:numPr>
      <w:spacing w:before="240"/>
      <w:outlineLvl w:val="3"/>
    </w:pPr>
    <w:rPr>
      <w:rFonts w:asciiTheme="minorHAnsi" w:eastAsia="Times New Roman" w:hAnsiTheme="minorHAnsi" w:cs="Mangal"/>
      <w:b/>
      <w:bCs/>
      <w:sz w:val="28"/>
      <w:szCs w:val="22"/>
      <w:lang w:val="x-none" w:eastAsia="x-none" w:bidi="hi-IN"/>
    </w:rPr>
  </w:style>
  <w:style w:type="paragraph" w:styleId="Heading5">
    <w:name w:val="heading 5"/>
    <w:next w:val="Normal"/>
    <w:link w:val="Heading5Char"/>
    <w:uiPriority w:val="9"/>
    <w:qFormat/>
    <w:rsid w:val="00D33113"/>
    <w:pPr>
      <w:spacing w:before="240"/>
      <w:outlineLvl w:val="4"/>
    </w:pPr>
    <w:rPr>
      <w:rFonts w:asciiTheme="minorHAnsi" w:eastAsia="Times New Roman" w:hAnsiTheme="minorHAnsi" w:cs="Mangal"/>
      <w:b/>
      <w:bCs/>
      <w:iCs/>
      <w:sz w:val="24"/>
      <w:szCs w:val="22"/>
      <w:lang w:val="x-none" w:eastAsia="x-none"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rFonts w:eastAsia="Times New Roman" w:cs="Mangal"/>
      <w:sz w:val="20"/>
      <w:szCs w:val="20"/>
      <w:lang w:val="x-none" w:eastAsia="x-none" w:bidi="hi-IN"/>
    </w:rPr>
  </w:style>
  <w:style w:type="character" w:customStyle="1" w:styleId="CommentTextChar">
    <w:name w:val="Comment Text Char"/>
    <w:link w:val="CommentText"/>
    <w:uiPriority w:val="99"/>
    <w:rPr>
      <w:rFonts w:eastAsia="Times New Roman"/>
      <w:sz w:val="20"/>
      <w:szCs w:val="20"/>
    </w:rPr>
  </w:style>
  <w:style w:type="paragraph" w:styleId="Header">
    <w:name w:val="header"/>
    <w:basedOn w:val="Normal"/>
    <w:link w:val="HeaderChar"/>
    <w:pPr>
      <w:tabs>
        <w:tab w:val="center" w:pos="4820"/>
      </w:tabs>
      <w:jc w:val="center"/>
    </w:pPr>
    <w:rPr>
      <w:rFonts w:eastAsia="Times New Roman" w:cs="Mangal"/>
      <w:sz w:val="20"/>
      <w:szCs w:val="20"/>
      <w:lang w:val="x-none" w:eastAsia="x-none" w:bidi="hi-IN"/>
    </w:rPr>
  </w:style>
  <w:style w:type="character" w:customStyle="1" w:styleId="HeaderChar">
    <w:name w:val="Header Char"/>
    <w:link w:val="Header"/>
    <w:rPr>
      <w:rFonts w:ascii="Calibri" w:eastAsia="Times New Roman" w:hAnsi="Calibri"/>
      <w:sz w:val="20"/>
    </w:rPr>
  </w:style>
  <w:style w:type="paragraph" w:styleId="Footer">
    <w:name w:val="footer"/>
    <w:basedOn w:val="Normal"/>
    <w:link w:val="FooterChar"/>
    <w:uiPriority w:val="99"/>
    <w:pPr>
      <w:pBdr>
        <w:top w:val="single" w:sz="4" w:space="10" w:color="auto"/>
      </w:pBdr>
      <w:tabs>
        <w:tab w:val="center" w:pos="4536"/>
      </w:tabs>
      <w:spacing w:before="0"/>
      <w:jc w:val="right"/>
    </w:pPr>
    <w:rPr>
      <w:rFonts w:cs="Mangal"/>
      <w:sz w:val="20"/>
      <w:lang w:val="x-none" w:eastAsia="x-none" w:bidi="hi-IN"/>
    </w:rPr>
  </w:style>
  <w:style w:type="character" w:customStyle="1" w:styleId="FooterChar">
    <w:name w:val="Footer Char"/>
    <w:link w:val="Footer"/>
    <w:uiPriority w:val="99"/>
    <w:rPr>
      <w:rFonts w:ascii="Calibri" w:eastAsia="Calibri" w:hAnsi="Calibri" w:cs="Times New Roman"/>
      <w:sz w:val="20"/>
      <w:szCs w:val="22"/>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Lucida Grande" w:eastAsia="Times New Roman" w:hAnsi="Lucida Grande" w:cs="Mangal"/>
      <w:sz w:val="18"/>
      <w:szCs w:val="18"/>
      <w:lang w:val="x-none" w:eastAsia="x-none" w:bidi="hi-IN"/>
    </w:rPr>
  </w:style>
  <w:style w:type="character" w:customStyle="1" w:styleId="BalloonTextChar">
    <w:name w:val="Balloon Text Char"/>
    <w:link w:val="BalloonText"/>
    <w:uiPriority w:val="99"/>
    <w:semiHidden/>
    <w:rPr>
      <w:rFonts w:ascii="Lucida Grande" w:eastAsia="Times New Roman" w:hAnsi="Lucida Grande"/>
      <w:sz w:val="18"/>
      <w:szCs w:val="18"/>
    </w:rPr>
  </w:style>
  <w:style w:type="table" w:styleId="TableGrid">
    <w:name w:val="Table Grid"/>
    <w:basedOn w:val="TableNormal"/>
    <w:uiPriority w:val="59"/>
    <w:pPr>
      <w:spacing w:before="60" w:after="60"/>
    </w:pPr>
    <w:rPr>
      <w:rFonts w:ascii="Cambria" w:eastAsia="Times New Roman" w:hAnsi="Cambr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rFonts w:ascii="Cambria" w:hAnsi="Cambria"/>
      <w:sz w:val="16"/>
    </w:rPr>
  </w:style>
  <w:style w:type="table" w:customStyle="1" w:styleId="TableGrid5">
    <w:name w:val="Table Grid5"/>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1"/>
    <w:rsid w:val="00A5158F"/>
    <w:rPr>
      <w:rFonts w:asciiTheme="minorHAnsi" w:hAnsiTheme="minorHAnsi"/>
      <w:b/>
      <w:sz w:val="48"/>
      <w:szCs w:val="48"/>
      <w:lang w:eastAsia="en-US"/>
    </w:rPr>
  </w:style>
  <w:style w:type="table" w:customStyle="1" w:styleId="TableGrid6">
    <w:name w:val="Table Grid6"/>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3"/>
    <w:rsid w:val="00D33113"/>
    <w:rPr>
      <w:rFonts w:asciiTheme="minorHAnsi" w:eastAsia="Times New Roman" w:hAnsiTheme="minorHAnsi"/>
      <w:b/>
      <w:bCs/>
      <w:color w:val="000000"/>
      <w:sz w:val="40"/>
      <w:szCs w:val="28"/>
    </w:rPr>
  </w:style>
  <w:style w:type="character" w:customStyle="1" w:styleId="Heading3Char">
    <w:name w:val="Heading 3 Char"/>
    <w:link w:val="Heading3"/>
    <w:uiPriority w:val="4"/>
    <w:rsid w:val="00D33113"/>
    <w:rPr>
      <w:rFonts w:asciiTheme="minorHAnsi" w:eastAsia="Times New Roman" w:hAnsiTheme="minorHAnsi"/>
      <w:b/>
      <w:bCs/>
      <w:color w:val="000000"/>
      <w:sz w:val="32"/>
      <w:szCs w:val="28"/>
    </w:rPr>
  </w:style>
  <w:style w:type="character" w:customStyle="1" w:styleId="Heading4Char">
    <w:name w:val="Heading 4 Char"/>
    <w:link w:val="Heading4"/>
    <w:uiPriority w:val="5"/>
    <w:rsid w:val="00AE4DAC"/>
    <w:rPr>
      <w:rFonts w:asciiTheme="minorHAnsi" w:eastAsia="Times New Roman" w:hAnsiTheme="minorHAnsi" w:cs="Mangal"/>
      <w:b/>
      <w:bCs/>
      <w:sz w:val="28"/>
      <w:szCs w:val="22"/>
      <w:lang w:val="x-none" w:eastAsia="x-none" w:bidi="hi-IN"/>
    </w:rPr>
  </w:style>
  <w:style w:type="character" w:customStyle="1" w:styleId="Heading5Char">
    <w:name w:val="Heading 5 Char"/>
    <w:link w:val="Heading5"/>
    <w:uiPriority w:val="9"/>
    <w:rsid w:val="00D33113"/>
    <w:rPr>
      <w:rFonts w:asciiTheme="minorHAnsi" w:eastAsia="Times New Roman" w:hAnsiTheme="minorHAnsi" w:cs="Mangal"/>
      <w:b/>
      <w:bCs/>
      <w:iCs/>
      <w:sz w:val="24"/>
      <w:szCs w:val="22"/>
      <w:lang w:val="x-none" w:eastAsia="x-none" w:bidi="hi-IN"/>
    </w:rPr>
  </w:style>
  <w:style w:type="paragraph" w:styleId="Caption">
    <w:name w:val="caption"/>
    <w:basedOn w:val="Normal"/>
    <w:next w:val="Normal"/>
    <w:uiPriority w:val="12"/>
    <w:qFormat/>
    <w:pPr>
      <w:keepNext/>
      <w:spacing w:before="360" w:after="100"/>
    </w:pPr>
    <w:rPr>
      <w:b/>
      <w:bCs/>
      <w:color w:val="404040"/>
      <w:szCs w:val="18"/>
    </w:rPr>
  </w:style>
  <w:style w:type="paragraph" w:customStyle="1" w:styleId="TOCHeading1">
    <w:name w:val="TOC Heading1"/>
    <w:basedOn w:val="Heading1"/>
    <w:next w:val="Normal"/>
    <w:uiPriority w:val="39"/>
    <w:qFormat/>
    <w:pPr>
      <w:spacing w:before="480" w:line="276" w:lineRule="auto"/>
      <w:outlineLvl w:val="9"/>
    </w:pPr>
    <w:rPr>
      <w:lang w:val="en-US"/>
    </w:rPr>
  </w:style>
  <w:style w:type="paragraph" w:styleId="TOC1">
    <w:name w:val="toc 1"/>
    <w:basedOn w:val="Normal"/>
    <w:next w:val="Normal"/>
    <w:uiPriority w:val="39"/>
    <w:qFormat/>
    <w:rsid w:val="00D978CB"/>
    <w:pPr>
      <w:tabs>
        <w:tab w:val="right" w:pos="9402"/>
      </w:tabs>
      <w:spacing w:before="240" w:after="0"/>
    </w:pPr>
    <w:rPr>
      <w:b/>
      <w:sz w:val="20"/>
      <w:szCs w:val="20"/>
    </w:rPr>
  </w:style>
  <w:style w:type="paragraph" w:styleId="TOC2">
    <w:name w:val="toc 2"/>
    <w:basedOn w:val="Normal"/>
    <w:next w:val="Normal"/>
    <w:autoRedefine/>
    <w:uiPriority w:val="39"/>
    <w:qFormat/>
    <w:rsid w:val="00D978CB"/>
    <w:pPr>
      <w:tabs>
        <w:tab w:val="clear" w:pos="567"/>
        <w:tab w:val="left" w:pos="1134"/>
        <w:tab w:val="right" w:pos="9402"/>
      </w:tabs>
      <w:spacing w:before="0" w:after="0"/>
      <w:ind w:left="567"/>
      <w:contextualSpacing/>
    </w:pPr>
    <w:rPr>
      <w:iCs/>
      <w:noProof/>
      <w:sz w:val="20"/>
      <w:szCs w:val="20"/>
    </w:rPr>
  </w:style>
  <w:style w:type="paragraph" w:styleId="TOC3">
    <w:name w:val="toc 3"/>
    <w:basedOn w:val="Normal"/>
    <w:next w:val="Normal"/>
    <w:autoRedefine/>
    <w:uiPriority w:val="39"/>
    <w:qFormat/>
    <w:pPr>
      <w:tabs>
        <w:tab w:val="clear" w:pos="567"/>
        <w:tab w:val="left" w:pos="1100"/>
        <w:tab w:val="right" w:pos="9402"/>
      </w:tabs>
      <w:spacing w:before="0" w:after="0"/>
      <w:ind w:left="480"/>
    </w:pPr>
    <w:rPr>
      <w:sz w:val="20"/>
      <w:szCs w:val="20"/>
    </w:rPr>
  </w:style>
  <w:style w:type="character" w:styleId="Hyperlink">
    <w:name w:val="Hyperlink"/>
    <w:uiPriority w:val="99"/>
    <w:qFormat/>
    <w:rPr>
      <w:color w:val="165788"/>
      <w:u w:val="single"/>
    </w:rPr>
  </w:style>
  <w:style w:type="paragraph" w:styleId="ListBullet">
    <w:name w:val="List Bullet"/>
    <w:basedOn w:val="Normal"/>
    <w:uiPriority w:val="7"/>
    <w:qFormat/>
    <w:pPr>
      <w:numPr>
        <w:numId w:val="39"/>
      </w:numPr>
      <w:tabs>
        <w:tab w:val="clear" w:pos="567"/>
      </w:tabs>
    </w:pPr>
    <w:rPr>
      <w:rFonts w:eastAsiaTheme="minorHAnsi" w:cstheme="minorBidi"/>
    </w:rPr>
  </w:style>
  <w:style w:type="paragraph" w:styleId="TableofFigures">
    <w:name w:val="table of figures"/>
    <w:basedOn w:val="Normal"/>
    <w:next w:val="Normal"/>
    <w:uiPriority w:val="99"/>
    <w:pPr>
      <w:tabs>
        <w:tab w:val="clear" w:pos="567"/>
      </w:tabs>
      <w:spacing w:before="0" w:after="0"/>
      <w:ind w:left="480" w:hanging="480"/>
    </w:pPr>
    <w:rPr>
      <w:b/>
      <w:bCs/>
      <w:sz w:val="20"/>
      <w:szCs w:val="20"/>
    </w:rPr>
  </w:style>
  <w:style w:type="paragraph" w:styleId="ListBullet2">
    <w:name w:val="List Bullet 2"/>
    <w:basedOn w:val="Normal"/>
    <w:uiPriority w:val="8"/>
    <w:qFormat/>
    <w:pPr>
      <w:numPr>
        <w:ilvl w:val="1"/>
        <w:numId w:val="39"/>
      </w:numPr>
      <w:tabs>
        <w:tab w:val="clear" w:pos="567"/>
      </w:tabs>
    </w:pPr>
  </w:style>
  <w:style w:type="paragraph" w:styleId="ListNumber">
    <w:name w:val="List Number"/>
    <w:uiPriority w:val="9"/>
    <w:qFormat/>
    <w:rsid w:val="009433E4"/>
    <w:pPr>
      <w:numPr>
        <w:numId w:val="44"/>
      </w:numPr>
      <w:tabs>
        <w:tab w:val="left" w:pos="567"/>
      </w:tabs>
      <w:spacing w:before="240"/>
    </w:pPr>
    <w:rPr>
      <w:sz w:val="24"/>
      <w:szCs w:val="22"/>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6">
    <w:name w:val="Medium Grid 3 Accent 6"/>
    <w:basedOn w:val="TableGrid1"/>
    <w:uiPriority w:val="60"/>
    <w:rPr>
      <w:color w:val="E36C0A"/>
      <w:lang w:eastAsia="en-GB" w:bidi="hi-I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27"/>
    <w:qFormat/>
    <w:pPr>
      <w:spacing w:before="60" w:after="60"/>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qFormat/>
    <w:pPr>
      <w:keepNext/>
    </w:pPr>
    <w:rPr>
      <w:b/>
    </w:rPr>
  </w:style>
  <w:style w:type="character" w:customStyle="1" w:styleId="PlaceholderText1">
    <w:name w:val="Placeholder Text1"/>
    <w:uiPriority w:val="99"/>
    <w:semiHidden/>
    <w:rPr>
      <w:color w:val="808080"/>
    </w:rPr>
  </w:style>
  <w:style w:type="character" w:styleId="Strong">
    <w:name w:val="Strong"/>
    <w:uiPriority w:val="99"/>
    <w:qFormat/>
    <w:rPr>
      <w:b/>
      <w:bCs/>
    </w:rPr>
  </w:style>
  <w:style w:type="paragraph" w:customStyle="1" w:styleId="Glossary">
    <w:name w:val="Glossary"/>
    <w:basedOn w:val="Normal"/>
    <w:link w:val="GlossaryChar"/>
    <w:qFormat/>
    <w:pPr>
      <w:tabs>
        <w:tab w:val="left" w:pos="1701"/>
      </w:tabs>
      <w:ind w:left="3686" w:hanging="3686"/>
    </w:pPr>
    <w:rPr>
      <w:rFonts w:cs="Mangal"/>
      <w:color w:val="000000"/>
      <w:sz w:val="20"/>
      <w:lang w:val="x-none" w:eastAsia="x-none" w:bidi="hi-IN"/>
    </w:rPr>
  </w:style>
  <w:style w:type="character" w:customStyle="1" w:styleId="GlossaryChar">
    <w:name w:val="Glossary Char"/>
    <w:link w:val="Glossary"/>
    <w:rPr>
      <w:rFonts w:eastAsia="Calibri" w:cs="Times New Roman"/>
      <w:color w:val="000000"/>
      <w:szCs w:val="22"/>
    </w:rPr>
  </w:style>
  <w:style w:type="character" w:styleId="Emphasis">
    <w:name w:val="Emphasis"/>
    <w:uiPriority w:val="20"/>
    <w:qFormat/>
    <w:rPr>
      <w:i/>
      <w:iCs/>
    </w:rPr>
  </w:style>
  <w:style w:type="paragraph" w:styleId="TOAHeading">
    <w:name w:val="toa heading"/>
    <w:basedOn w:val="Heading1"/>
    <w:next w:val="Normal"/>
    <w:uiPriority w:val="99"/>
    <w:semiHidden/>
    <w:unhideWhenUsed/>
    <w:rPr>
      <w:bCs/>
      <w:sz w:val="24"/>
    </w:rPr>
  </w:style>
  <w:style w:type="paragraph" w:customStyle="1" w:styleId="Tabletextbullet">
    <w:name w:val="Table text bullet"/>
    <w:basedOn w:val="Tabletext"/>
    <w:qFormat/>
    <w:pPr>
      <w:numPr>
        <w:numId w:val="1"/>
      </w:numPr>
      <w:ind w:left="284" w:hanging="284"/>
    </w:pPr>
  </w:style>
  <w:style w:type="paragraph" w:styleId="DocumentMap">
    <w:name w:val="Document Map"/>
    <w:basedOn w:val="Normal"/>
    <w:link w:val="DocumentMapChar"/>
    <w:uiPriority w:val="99"/>
    <w:semiHidden/>
    <w:unhideWhenUsed/>
    <w:pPr>
      <w:spacing w:before="0" w:after="0"/>
    </w:pPr>
    <w:rPr>
      <w:rFonts w:ascii="Tahoma" w:eastAsia="Times New Roman" w:hAnsi="Tahoma" w:cs="Mangal"/>
      <w:sz w:val="16"/>
      <w:szCs w:val="16"/>
      <w:lang w:val="x-none" w:eastAsia="x-none" w:bidi="hi-IN"/>
    </w:rPr>
  </w:style>
  <w:style w:type="character" w:customStyle="1" w:styleId="DocumentMapChar">
    <w:name w:val="Document Map Char"/>
    <w:link w:val="DocumentMap"/>
    <w:uiPriority w:val="99"/>
    <w:semiHidden/>
    <w:rPr>
      <w:rFonts w:ascii="Tahoma" w:eastAsia="Times New Roman" w:hAnsi="Tahoma" w:cs="Tahoma"/>
      <w:sz w:val="16"/>
      <w:szCs w:val="16"/>
    </w:rPr>
  </w:style>
  <w:style w:type="numbering" w:customStyle="1" w:styleId="AppendixC3List">
    <w:name w:val="Appendix C 3 List"/>
    <w:pPr>
      <w:numPr>
        <w:numId w:val="3"/>
      </w:numPr>
    </w:pPr>
  </w:style>
  <w:style w:type="numbering" w:customStyle="1" w:styleId="Part1">
    <w:name w:val="Part 1"/>
    <w:uiPriority w:val="99"/>
    <w:rsid w:val="009433E4"/>
    <w:pPr>
      <w:numPr>
        <w:numId w:val="2"/>
      </w:numPr>
    </w:pPr>
  </w:style>
  <w:style w:type="paragraph" w:customStyle="1" w:styleId="Recommendation">
    <w:name w:val="Recommendation"/>
    <w:basedOn w:val="Normal"/>
    <w:qFormat/>
    <w:pPr>
      <w:keepNext/>
      <w:keepLines/>
      <w:pBdr>
        <w:top w:val="single" w:sz="4" w:space="1" w:color="auto"/>
        <w:left w:val="single" w:sz="4" w:space="4" w:color="auto"/>
        <w:bottom w:val="single" w:sz="4" w:space="1" w:color="auto"/>
        <w:right w:val="single" w:sz="4" w:space="4" w:color="auto"/>
      </w:pBdr>
      <w:spacing w:before="360"/>
    </w:pPr>
    <w:rPr>
      <w:rFonts w:cs="Arial"/>
      <w:b/>
      <w:szCs w:val="24"/>
      <w:shd w:val="clear" w:color="auto" w:fill="FFFFFF"/>
    </w:rPr>
  </w:style>
  <w:style w:type="table" w:customStyle="1" w:styleId="TableGrid10">
    <w:name w:val="Table Grid1"/>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11">
    <w:name w:val="Colorful Shading - Accent 11"/>
    <w:hidden/>
    <w:uiPriority w:val="99"/>
    <w:semiHidden/>
    <w:rPr>
      <w:sz w:val="24"/>
      <w:szCs w:val="22"/>
      <w:lang w:eastAsia="en-US"/>
    </w:rPr>
  </w:style>
  <w:style w:type="character" w:styleId="FollowedHyperlink">
    <w:name w:val="FollowedHyperlink"/>
    <w:uiPriority w:val="99"/>
    <w:semiHidden/>
    <w:unhideWhenUsed/>
    <w:rPr>
      <w:color w:val="800080"/>
      <w:u w:val="single"/>
    </w:rPr>
  </w:style>
  <w:style w:type="paragraph" w:styleId="TOCHeading">
    <w:name w:val="TOC Heading"/>
    <w:basedOn w:val="Heading1"/>
    <w:next w:val="Normal"/>
    <w:uiPriority w:val="39"/>
    <w:unhideWhenUsed/>
    <w:qFormat/>
    <w:pPr>
      <w:spacing w:before="480" w:line="276" w:lineRule="auto"/>
      <w:outlineLvl w:val="9"/>
    </w:pPr>
    <w:rPr>
      <w:color w:val="365F91"/>
      <w:sz w:val="28"/>
      <w:lang w:val="en-US"/>
    </w:rPr>
  </w:style>
  <w:style w:type="paragraph" w:customStyle="1" w:styleId="Default">
    <w:name w:val="Default"/>
    <w:pPr>
      <w:autoSpaceDE w:val="0"/>
      <w:autoSpaceDN w:val="0"/>
      <w:adjustRightInd w:val="0"/>
    </w:pPr>
    <w:rPr>
      <w:rFonts w:cs="Calibri"/>
      <w:color w:val="000000"/>
      <w:sz w:val="24"/>
      <w:szCs w:val="24"/>
      <w:lang w:eastAsia="en-US"/>
    </w:rPr>
  </w:style>
  <w:style w:type="character" w:customStyle="1" w:styleId="Bold">
    <w:name w:val="Bold"/>
    <w:qFormat/>
    <w:rPr>
      <w:b/>
    </w:rPr>
  </w:style>
  <w:style w:type="paragraph" w:customStyle="1" w:styleId="Copyrightpageheading">
    <w:name w:val="Copyright page heading"/>
    <w:next w:val="Normal"/>
    <w:link w:val="CopyrightpageheadingChar"/>
    <w:uiPriority w:val="99"/>
    <w:qFormat/>
    <w:pPr>
      <w:spacing w:after="60"/>
    </w:pPr>
    <w:rPr>
      <w:b/>
      <w:sz w:val="18"/>
      <w:szCs w:val="22"/>
      <w:lang w:eastAsia="en-US"/>
    </w:rPr>
  </w:style>
  <w:style w:type="character" w:customStyle="1" w:styleId="TabletextChar">
    <w:name w:val="Table text Char"/>
    <w:link w:val="Tabletext"/>
    <w:uiPriority w:val="27"/>
    <w:rPr>
      <w:sz w:val="18"/>
      <w:szCs w:val="22"/>
      <w:lang w:eastAsia="en-US"/>
    </w:rPr>
  </w:style>
  <w:style w:type="character" w:customStyle="1" w:styleId="CopyrightpageheadingChar">
    <w:name w:val="Copyright page heading Char"/>
    <w:link w:val="Copyrightpageheading"/>
    <w:uiPriority w:val="99"/>
    <w:rPr>
      <w:b/>
      <w:sz w:val="18"/>
      <w:szCs w:val="22"/>
      <w:lang w:val="en-AU" w:eastAsia="en-US" w:bidi="ar-SA"/>
    </w:rPr>
  </w:style>
  <w:style w:type="paragraph" w:styleId="Quote">
    <w:name w:val="Quote"/>
    <w:next w:val="Normal"/>
    <w:link w:val="QuoteChar"/>
    <w:uiPriority w:val="18"/>
    <w:qFormat/>
    <w:pPr>
      <w:spacing w:before="240" w:after="120"/>
      <w:ind w:left="851" w:right="851"/>
      <w:contextualSpacing/>
    </w:pPr>
    <w:rPr>
      <w:sz w:val="22"/>
      <w:szCs w:val="22"/>
      <w:lang w:eastAsia="en-US"/>
    </w:rPr>
  </w:style>
  <w:style w:type="character" w:customStyle="1" w:styleId="QuoteChar">
    <w:name w:val="Quote Char"/>
    <w:link w:val="Quote"/>
    <w:uiPriority w:val="18"/>
    <w:rPr>
      <w:sz w:val="22"/>
      <w:szCs w:val="22"/>
      <w:lang w:eastAsia="en-US"/>
    </w:rPr>
  </w:style>
  <w:style w:type="paragraph" w:styleId="PlainText">
    <w:name w:val="Plain Text"/>
    <w:basedOn w:val="Normal"/>
    <w:link w:val="PlainTextChar"/>
    <w:uiPriority w:val="99"/>
    <w:unhideWhenUsed/>
    <w:pPr>
      <w:tabs>
        <w:tab w:val="clear" w:pos="567"/>
      </w:tabs>
      <w:spacing w:before="0" w:after="0"/>
    </w:pPr>
    <w:rPr>
      <w:sz w:val="22"/>
      <w:szCs w:val="21"/>
    </w:rPr>
  </w:style>
  <w:style w:type="character" w:customStyle="1" w:styleId="PlainTextChar">
    <w:name w:val="Plain Text Char"/>
    <w:link w:val="PlainText"/>
    <w:uiPriority w:val="99"/>
    <w:rPr>
      <w:sz w:val="22"/>
      <w:szCs w:val="21"/>
      <w:lang w:eastAsia="en-US"/>
    </w:rPr>
  </w:style>
  <w:style w:type="paragraph" w:styleId="Revision">
    <w:name w:val="Revision"/>
    <w:hidden/>
    <w:uiPriority w:val="99"/>
    <w:semiHidden/>
    <w:rPr>
      <w:sz w:val="24"/>
      <w:szCs w:val="22"/>
      <w:lang w:eastAsia="en-US"/>
    </w:rPr>
  </w:style>
  <w:style w:type="numbering" w:customStyle="1" w:styleId="Part2">
    <w:name w:val="Part 2"/>
    <w:uiPriority w:val="99"/>
    <w:pPr>
      <w:numPr>
        <w:numId w:val="8"/>
      </w:numPr>
    </w:pPr>
  </w:style>
  <w:style w:type="numbering" w:customStyle="1" w:styleId="LFO8">
    <w:name w:val="LFO8"/>
    <w:basedOn w:val="NoList"/>
    <w:pPr>
      <w:numPr>
        <w:numId w:val="5"/>
      </w:numPr>
    </w:pPr>
  </w:style>
  <w:style w:type="paragraph" w:styleId="ListNumber2">
    <w:name w:val="List Number 2"/>
    <w:uiPriority w:val="10"/>
    <w:unhideWhenUsed/>
    <w:qFormat/>
    <w:rsid w:val="009433E4"/>
    <w:pPr>
      <w:keepNext/>
      <w:numPr>
        <w:ilvl w:val="1"/>
        <w:numId w:val="44"/>
      </w:numPr>
      <w:spacing w:before="120"/>
    </w:pPr>
    <w:rPr>
      <w:sz w:val="24"/>
      <w:szCs w:val="22"/>
      <w:lang w:eastAsia="en-US"/>
    </w:rPr>
  </w:style>
  <w:style w:type="paragraph" w:customStyle="1" w:styleId="TableHeading0">
    <w:name w:val="Table Heading"/>
    <w:basedOn w:val="Tabletext"/>
    <w:uiPriority w:val="14"/>
    <w:qFormat/>
    <w:pPr>
      <w:keepNext/>
      <w:tabs>
        <w:tab w:val="clear" w:pos="567"/>
      </w:tabs>
    </w:pPr>
    <w:rPr>
      <w:rFonts w:ascii="Cambria" w:hAnsi="Cambria"/>
      <w:b/>
    </w:rPr>
  </w:style>
  <w:style w:type="table" w:styleId="GridTable1Light-Accent3">
    <w:name w:val="Grid Table 1 Light Accent 3"/>
    <w:basedOn w:val="TableNormal"/>
    <w:uiPriority w:val="46"/>
    <w:rPr>
      <w:rFonts w:asciiTheme="minorHAnsi" w:eastAsiaTheme="minorHAnsi" w:hAnsiTheme="minorHAnsi" w:cstheme="minorBidi"/>
      <w:sz w:val="22"/>
      <w:szCs w:val="22"/>
      <w:lang w:eastAsia="en-U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pPr>
      <w:tabs>
        <w:tab w:val="clear" w:pos="567"/>
      </w:tabs>
      <w:spacing w:before="0" w:after="100" w:line="259" w:lineRule="auto"/>
      <w:ind w:left="660"/>
    </w:pPr>
    <w:rPr>
      <w:rFonts w:eastAsiaTheme="minorEastAsia" w:cstheme="minorBidi"/>
      <w:sz w:val="22"/>
      <w:lang w:eastAsia="en-AU"/>
    </w:rPr>
  </w:style>
  <w:style w:type="paragraph" w:styleId="TOC5">
    <w:name w:val="toc 5"/>
    <w:basedOn w:val="Normal"/>
    <w:next w:val="Normal"/>
    <w:autoRedefine/>
    <w:uiPriority w:val="39"/>
    <w:unhideWhenUsed/>
    <w:pPr>
      <w:tabs>
        <w:tab w:val="clear" w:pos="567"/>
      </w:tabs>
      <w:spacing w:before="0" w:after="100" w:line="259" w:lineRule="auto"/>
      <w:ind w:left="880"/>
    </w:pPr>
    <w:rPr>
      <w:rFonts w:eastAsiaTheme="minorEastAsia" w:cstheme="minorBidi"/>
      <w:sz w:val="22"/>
      <w:lang w:eastAsia="en-AU"/>
    </w:rPr>
  </w:style>
  <w:style w:type="numbering" w:customStyle="1" w:styleId="List1">
    <w:name w:val="List1"/>
    <w:basedOn w:val="NoList"/>
    <w:uiPriority w:val="99"/>
    <w:pPr>
      <w:numPr>
        <w:numId w:val="19"/>
      </w:numPr>
    </w:pPr>
  </w:style>
  <w:style w:type="paragraph" w:styleId="ListNumber3">
    <w:name w:val="List Number 3"/>
    <w:uiPriority w:val="11"/>
    <w:qFormat/>
    <w:pPr>
      <w:spacing w:before="120" w:after="120" w:line="264" w:lineRule="auto"/>
      <w:ind w:left="1077" w:hanging="170"/>
    </w:pPr>
    <w:rPr>
      <w:rFonts w:ascii="Cambria" w:eastAsia="Times New Roman" w:hAnsi="Cambria"/>
      <w:sz w:val="22"/>
      <w:szCs w:val="24"/>
      <w:lang w:eastAsia="en-US"/>
    </w:rPr>
  </w:style>
  <w:style w:type="paragraph" w:customStyle="1" w:styleId="DisseminationLimitingMarker">
    <w:name w:val="Dissemination Limiting Marker"/>
    <w:next w:val="Normal"/>
    <w:uiPriority w:val="27"/>
    <w:pPr>
      <w:tabs>
        <w:tab w:val="center" w:pos="4820"/>
      </w:tabs>
      <w:jc w:val="center"/>
    </w:pPr>
    <w:rPr>
      <w:b/>
      <w:color w:val="FF0000"/>
      <w:sz w:val="36"/>
      <w:szCs w:val="36"/>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tabs>
        <w:tab w:val="clear" w:pos="567"/>
      </w:tabs>
    </w:pPr>
    <w:rPr>
      <w:rFonts w:ascii="Cambria" w:hAnsi="Cambria"/>
      <w:sz w:val="20"/>
    </w:rPr>
  </w:style>
  <w:style w:type="paragraph" w:customStyle="1" w:styleId="FigureTableNoteSource">
    <w:name w:val="Figure/Table Note/Source"/>
    <w:basedOn w:val="Normal"/>
    <w:next w:val="Normal"/>
    <w:uiPriority w:val="16"/>
    <w:qFormat/>
    <w:pPr>
      <w:tabs>
        <w:tab w:val="clear" w:pos="567"/>
      </w:tabs>
      <w:spacing w:after="0" w:line="264" w:lineRule="auto"/>
      <w:contextualSpacing/>
    </w:pPr>
    <w:rPr>
      <w:rFonts w:ascii="Cambria" w:hAnsi="Cambria"/>
      <w:sz w:val="18"/>
    </w:rPr>
  </w:style>
  <w:style w:type="paragraph" w:customStyle="1" w:styleId="BasicParagraph">
    <w:name w:val="[Basic Paragraph]"/>
    <w:basedOn w:val="Normal"/>
    <w:uiPriority w:val="99"/>
    <w:pPr>
      <w:widowControl w:val="0"/>
      <w:tabs>
        <w:tab w:val="clear" w:pos="567"/>
      </w:tabs>
      <w:autoSpaceDE w:val="0"/>
      <w:autoSpaceDN w:val="0"/>
      <w:adjustRightInd w:val="0"/>
      <w:spacing w:before="0" w:after="0" w:line="288" w:lineRule="auto"/>
      <w:textAlignment w:val="center"/>
    </w:pPr>
    <w:rPr>
      <w:rFonts w:ascii="MinionPro-Regular" w:eastAsiaTheme="minorEastAsia" w:hAnsi="MinionPro-Regular" w:cs="MinionPro-Regular"/>
      <w:color w:val="000000"/>
      <w:szCs w:val="24"/>
      <w:lang w:val="en-US"/>
    </w:rPr>
  </w:style>
  <w:style w:type="paragraph" w:customStyle="1" w:styleId="TableText0">
    <w:name w:val="Table Text"/>
    <w:basedOn w:val="Normal"/>
    <w:uiPriority w:val="13"/>
    <w:qFormat/>
    <w:pPr>
      <w:tabs>
        <w:tab w:val="clear" w:pos="567"/>
      </w:tabs>
      <w:spacing w:before="60" w:after="60"/>
    </w:pPr>
    <w:rPr>
      <w:rFonts w:ascii="Cambria" w:hAnsi="Cambria"/>
      <w:sz w:val="18"/>
    </w:rPr>
  </w:style>
  <w:style w:type="numbering" w:customStyle="1" w:styleId="Headings">
    <w:name w:val="Headings"/>
    <w:uiPriority w:val="99"/>
    <w:rsid w:val="00BC0B9B"/>
    <w:pPr>
      <w:numPr>
        <w:numId w:val="24"/>
      </w:numPr>
    </w:pPr>
  </w:style>
  <w:style w:type="paragraph" w:customStyle="1" w:styleId="Preliminarycontentheading">
    <w:name w:val="Preliminary content heading"/>
    <w:link w:val="PreliminarycontentheadingChar"/>
    <w:uiPriority w:val="28"/>
    <w:qFormat/>
    <w:pPr>
      <w:pageBreakBefore/>
    </w:pPr>
    <w:rPr>
      <w:rFonts w:eastAsia="Times New Roman"/>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Pr>
      <w:rFonts w:eastAsia="Times New Roman"/>
      <w:bCs/>
      <w:color w:val="000000"/>
      <w:sz w:val="56"/>
      <w:szCs w:val="28"/>
      <w:lang w:eastAsia="ja-JP"/>
    </w:rPr>
  </w:style>
  <w:style w:type="paragraph" w:customStyle="1" w:styleId="BoxTextBullet">
    <w:name w:val="Box Text Bullet"/>
    <w:basedOn w:val="BoxText"/>
    <w:uiPriority w:val="21"/>
    <w:qFormat/>
    <w:pPr>
      <w:numPr>
        <w:numId w:val="20"/>
      </w:numPr>
      <w:tabs>
        <w:tab w:val="left" w:pos="227"/>
      </w:tabs>
      <w:ind w:left="0" w:firstLine="0"/>
    </w:pPr>
  </w:style>
  <w:style w:type="paragraph" w:customStyle="1" w:styleId="TableBullet">
    <w:name w:val="Table Bullet"/>
    <w:basedOn w:val="TableText0"/>
    <w:uiPriority w:val="15"/>
    <w:qFormat/>
    <w:pPr>
      <w:ind w:left="720" w:hanging="360"/>
    </w:pPr>
  </w:style>
  <w:style w:type="paragraph" w:customStyle="1" w:styleId="BoxHeading">
    <w:name w:val="Box Heading"/>
    <w:basedOn w:val="BoxText"/>
    <w:uiPriority w:val="20"/>
    <w:qFormat/>
    <w:rPr>
      <w:b/>
    </w:rPr>
  </w:style>
  <w:style w:type="paragraph" w:customStyle="1" w:styleId="Securityclassification">
    <w:name w:val="Security classification"/>
    <w:basedOn w:val="Normal"/>
    <w:uiPriority w:val="26"/>
    <w:qFormat/>
    <w:pPr>
      <w:tabs>
        <w:tab w:val="clear" w:pos="567"/>
        <w:tab w:val="center" w:pos="4820"/>
      </w:tabs>
      <w:spacing w:after="0"/>
      <w:jc w:val="center"/>
    </w:pPr>
    <w:rPr>
      <w:rFonts w:ascii="Cambria" w:hAnsi="Cambria"/>
      <w:b/>
      <w:caps/>
      <w:color w:val="FF0000"/>
      <w:sz w:val="36"/>
      <w:szCs w:val="36"/>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Appendix">
    <w:name w:val="Appendix"/>
    <w:uiPriority w:val="99"/>
    <w:pPr>
      <w:numPr>
        <w:numId w:val="25"/>
      </w:numPr>
    </w:pPr>
  </w:style>
  <w:style w:type="numbering" w:customStyle="1" w:styleId="ListBullets">
    <w:name w:val="ListBullets"/>
    <w:uiPriority w:val="99"/>
    <w:pPr>
      <w:numPr>
        <w:numId w:val="21"/>
      </w:numPr>
    </w:pPr>
  </w:style>
  <w:style w:type="paragraph" w:styleId="ListBullet4">
    <w:name w:val="List Bullet 4"/>
    <w:basedOn w:val="Normal"/>
    <w:uiPriority w:val="99"/>
    <w:unhideWhenUsed/>
    <w:pPr>
      <w:numPr>
        <w:numId w:val="22"/>
      </w:numPr>
      <w:tabs>
        <w:tab w:val="clear" w:pos="567"/>
      </w:tabs>
      <w:spacing w:after="0"/>
      <w:contextualSpacing/>
    </w:pPr>
    <w:rPr>
      <w:rFonts w:ascii="Cambria" w:hAnsi="Cambria"/>
      <w:sz w:val="22"/>
    </w:rPr>
  </w:style>
  <w:style w:type="paragraph" w:styleId="ListBullet3">
    <w:name w:val="List Bullet 3"/>
    <w:basedOn w:val="Normal"/>
    <w:uiPriority w:val="99"/>
    <w:unhideWhenUsed/>
    <w:pPr>
      <w:numPr>
        <w:ilvl w:val="2"/>
        <w:numId w:val="39"/>
      </w:numPr>
      <w:tabs>
        <w:tab w:val="clear" w:pos="567"/>
        <w:tab w:val="num" w:pos="794"/>
      </w:tabs>
      <w:spacing w:after="0"/>
      <w:contextualSpacing/>
    </w:pPr>
    <w:rPr>
      <w:rFonts w:ascii="Cambria" w:hAnsi="Cambria"/>
      <w:sz w:val="22"/>
    </w:rPr>
  </w:style>
  <w:style w:type="numbering" w:customStyle="1" w:styleId="ListNumbers">
    <w:name w:val="ListNumbers"/>
    <w:uiPriority w:val="99"/>
    <w:pPr>
      <w:numPr>
        <w:numId w:val="23"/>
      </w:numPr>
    </w:pPr>
  </w:style>
  <w:style w:type="paragraph" w:customStyle="1" w:styleId="Picture">
    <w:name w:val="Picture"/>
    <w:qFormat/>
    <w:rPr>
      <w:rFonts w:eastAsiaTheme="minorEastAsia" w:cstheme="minorBidi"/>
      <w:bCs/>
      <w:color w:val="000000"/>
      <w:sz w:val="22"/>
      <w:szCs w:val="28"/>
      <w:lang w:eastAsia="ja-JP"/>
    </w:rPr>
  </w:style>
  <w:style w:type="paragraph" w:styleId="Subtitle">
    <w:name w:val="Subtitle"/>
    <w:basedOn w:val="Normal"/>
    <w:next w:val="Normal"/>
    <w:link w:val="SubtitleChar"/>
    <w:uiPriority w:val="23"/>
    <w:qFormat/>
    <w:pPr>
      <w:tabs>
        <w:tab w:val="clear" w:pos="567"/>
      </w:tabs>
      <w:spacing w:after="0"/>
      <w:ind w:left="1701"/>
    </w:pPr>
    <w:rPr>
      <w:rFonts w:ascii="Cambria" w:hAnsi="Cambria"/>
      <w:sz w:val="40"/>
      <w:szCs w:val="40"/>
      <w:lang w:eastAsia="ja-JP"/>
    </w:rPr>
  </w:style>
  <w:style w:type="character" w:customStyle="1" w:styleId="SubtitleChar">
    <w:name w:val="Subtitle Char"/>
    <w:basedOn w:val="DefaultParagraphFont"/>
    <w:link w:val="Subtitle"/>
    <w:uiPriority w:val="23"/>
    <w:rPr>
      <w:rFonts w:ascii="Cambria" w:hAnsi="Cambria"/>
      <w:sz w:val="40"/>
      <w:szCs w:val="40"/>
      <w:lang w:eastAsia="ja-JP"/>
    </w:rPr>
  </w:style>
  <w:style w:type="paragraph" w:styleId="Date">
    <w:name w:val="Date"/>
    <w:basedOn w:val="Normal"/>
    <w:next w:val="Normal"/>
    <w:link w:val="DateChar"/>
    <w:uiPriority w:val="99"/>
    <w:unhideWhenUsed/>
    <w:pPr>
      <w:pBdr>
        <w:top w:val="single" w:sz="4" w:space="1" w:color="auto"/>
      </w:pBdr>
      <w:tabs>
        <w:tab w:val="clear" w:pos="567"/>
      </w:tabs>
      <w:spacing w:after="0"/>
      <w:ind w:left="1701"/>
      <w:jc w:val="right"/>
    </w:pPr>
    <w:rPr>
      <w:rFonts w:ascii="Cambria" w:hAnsi="Cambria"/>
      <w:sz w:val="28"/>
      <w:szCs w:val="28"/>
    </w:rPr>
  </w:style>
  <w:style w:type="character" w:customStyle="1" w:styleId="DateChar">
    <w:name w:val="Date Char"/>
    <w:basedOn w:val="DefaultParagraphFont"/>
    <w:link w:val="Date"/>
    <w:uiPriority w:val="99"/>
    <w:rPr>
      <w:rFonts w:ascii="Cambria" w:hAnsi="Cambria"/>
      <w:sz w:val="28"/>
      <w:szCs w:val="28"/>
      <w:lang w:eastAsia="en-US"/>
    </w:rPr>
  </w:style>
  <w:style w:type="table" w:customStyle="1" w:styleId="TableGrid8">
    <w:name w:val="Table Grid8"/>
    <w:basedOn w:val="TableNormal"/>
    <w:next w:val="TableGrid"/>
    <w:uiPriority w:val="59"/>
    <w:rPr>
      <w:rFonts w:asciiTheme="minorHAnsi" w:eastAsiaTheme="minorHAnsi" w:hAnsiTheme="minorHAnsi" w:cstheme="minorBidi"/>
      <w:sz w:val="22"/>
      <w:szCs w:val="22"/>
      <w:lang w:val="en-NZ"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pPr>
      <w:spacing w:before="0" w:after="0"/>
    </w:pPr>
    <w:rPr>
      <w:sz w:val="20"/>
      <w:szCs w:val="20"/>
    </w:rPr>
  </w:style>
  <w:style w:type="character" w:customStyle="1" w:styleId="EndnoteTextChar">
    <w:name w:val="Endnote Text Char"/>
    <w:basedOn w:val="DefaultParagraphFont"/>
    <w:link w:val="EndnoteText"/>
    <w:uiPriority w:val="99"/>
    <w:rPr>
      <w:lang w:eastAsia="en-US"/>
    </w:rPr>
  </w:style>
  <w:style w:type="character" w:styleId="EndnoteReference">
    <w:name w:val="endnote reference"/>
    <w:basedOn w:val="DefaultParagraphFont"/>
    <w:uiPriority w:val="99"/>
    <w:semiHidden/>
    <w:unhideWhenUsed/>
    <w:rPr>
      <w:vertAlign w:val="superscript"/>
    </w:rPr>
  </w:style>
  <w:style w:type="paragraph" w:customStyle="1" w:styleId="AuthorOrganisationAffiliation">
    <w:name w:val="Author Organisation/Affiliation"/>
    <w:basedOn w:val="Normal"/>
    <w:next w:val="Normal"/>
    <w:uiPriority w:val="25"/>
    <w:qFormat/>
    <w:pPr>
      <w:tabs>
        <w:tab w:val="clear" w:pos="567"/>
      </w:tabs>
      <w:spacing w:after="200"/>
    </w:pPr>
    <w:rPr>
      <w:rFonts w:eastAsiaTheme="minorHAnsi" w:cstheme="minorBidi"/>
      <w:sz w:val="22"/>
    </w:rPr>
  </w:style>
  <w:style w:type="paragraph" w:customStyle="1" w:styleId="Author">
    <w:name w:val="Author"/>
    <w:basedOn w:val="Normal"/>
    <w:next w:val="Normal"/>
    <w:uiPriority w:val="24"/>
    <w:qFormat/>
    <w:pPr>
      <w:tabs>
        <w:tab w:val="clear" w:pos="567"/>
      </w:tabs>
      <w:spacing w:before="0" w:after="60"/>
    </w:pPr>
    <w:rPr>
      <w:rFonts w:eastAsiaTheme="minorHAnsi" w:cstheme="minorBidi"/>
      <w:b/>
      <w:sz w:val="28"/>
      <w:szCs w:val="28"/>
    </w:rPr>
  </w:style>
  <w:style w:type="paragraph" w:styleId="FootnoteText">
    <w:name w:val="footnote text"/>
    <w:basedOn w:val="Normal"/>
    <w:link w:val="FootnoteTextChar"/>
    <w:uiPriority w:val="99"/>
    <w:semiHidden/>
    <w:unhideWhenUsed/>
    <w:rsid w:val="008A5C59"/>
    <w:pPr>
      <w:spacing w:before="0" w:after="0"/>
    </w:pPr>
    <w:rPr>
      <w:sz w:val="20"/>
      <w:szCs w:val="20"/>
    </w:rPr>
  </w:style>
  <w:style w:type="character" w:customStyle="1" w:styleId="FootnoteTextChar">
    <w:name w:val="Footnote Text Char"/>
    <w:basedOn w:val="DefaultParagraphFont"/>
    <w:link w:val="FootnoteText"/>
    <w:uiPriority w:val="99"/>
    <w:semiHidden/>
    <w:rsid w:val="008A5C59"/>
    <w:rPr>
      <w:rFonts w:asciiTheme="minorHAnsi" w:hAnsiTheme="minorHAnsi"/>
      <w:lang w:eastAsia="en-US"/>
    </w:rPr>
  </w:style>
  <w:style w:type="character" w:styleId="FootnoteReference">
    <w:name w:val="footnote reference"/>
    <w:basedOn w:val="DefaultParagraphFont"/>
    <w:uiPriority w:val="99"/>
    <w:semiHidden/>
    <w:unhideWhenUsed/>
    <w:rsid w:val="008A5C59"/>
    <w:rPr>
      <w:vertAlign w:val="superscript"/>
    </w:rPr>
  </w:style>
  <w:style w:type="paragraph" w:customStyle="1" w:styleId="Endmattercontentheading">
    <w:name w:val="Endmatter content heading"/>
    <w:basedOn w:val="Preliminarycontentheading"/>
    <w:qFormat/>
    <w:rsid w:val="004B3A66"/>
    <w:rPr>
      <w:rFonts w:ascii="Times New Roman" w:hAnsi="Times New Roman"/>
    </w:rPr>
  </w:style>
  <w:style w:type="character" w:customStyle="1" w:styleId="mixed-citation">
    <w:name w:val="mixed-citation"/>
    <w:basedOn w:val="DefaultParagraphFont"/>
    <w:rsid w:val="004B3A66"/>
  </w:style>
  <w:style w:type="paragraph" w:styleId="TOC6">
    <w:name w:val="toc 6"/>
    <w:basedOn w:val="Normal"/>
    <w:next w:val="Normal"/>
    <w:autoRedefine/>
    <w:uiPriority w:val="39"/>
    <w:unhideWhenUsed/>
    <w:rsid w:val="00F54026"/>
    <w:pPr>
      <w:tabs>
        <w:tab w:val="clear" w:pos="567"/>
      </w:tabs>
      <w:spacing w:before="0" w:after="100" w:line="259" w:lineRule="auto"/>
      <w:ind w:left="1100"/>
    </w:pPr>
    <w:rPr>
      <w:rFonts w:eastAsiaTheme="minorEastAsia" w:cstheme="minorBidi"/>
      <w:sz w:val="22"/>
      <w:lang w:eastAsia="en-AU"/>
    </w:rPr>
  </w:style>
  <w:style w:type="paragraph" w:styleId="TOC7">
    <w:name w:val="toc 7"/>
    <w:basedOn w:val="Normal"/>
    <w:next w:val="Normal"/>
    <w:autoRedefine/>
    <w:uiPriority w:val="39"/>
    <w:unhideWhenUsed/>
    <w:rsid w:val="00F54026"/>
    <w:pPr>
      <w:tabs>
        <w:tab w:val="clear" w:pos="567"/>
      </w:tabs>
      <w:spacing w:before="0" w:after="100" w:line="259" w:lineRule="auto"/>
      <w:ind w:left="1320"/>
    </w:pPr>
    <w:rPr>
      <w:rFonts w:eastAsiaTheme="minorEastAsia" w:cstheme="minorBidi"/>
      <w:sz w:val="22"/>
      <w:lang w:eastAsia="en-AU"/>
    </w:rPr>
  </w:style>
  <w:style w:type="paragraph" w:styleId="TOC8">
    <w:name w:val="toc 8"/>
    <w:basedOn w:val="Normal"/>
    <w:next w:val="Normal"/>
    <w:autoRedefine/>
    <w:uiPriority w:val="39"/>
    <w:unhideWhenUsed/>
    <w:rsid w:val="00F54026"/>
    <w:pPr>
      <w:tabs>
        <w:tab w:val="clear" w:pos="567"/>
      </w:tabs>
      <w:spacing w:before="0" w:after="100" w:line="259" w:lineRule="auto"/>
      <w:ind w:left="1540"/>
    </w:pPr>
    <w:rPr>
      <w:rFonts w:eastAsiaTheme="minorEastAsia" w:cstheme="minorBidi"/>
      <w:sz w:val="22"/>
      <w:lang w:eastAsia="en-AU"/>
    </w:rPr>
  </w:style>
  <w:style w:type="paragraph" w:styleId="TOC9">
    <w:name w:val="toc 9"/>
    <w:basedOn w:val="Normal"/>
    <w:next w:val="Normal"/>
    <w:autoRedefine/>
    <w:uiPriority w:val="39"/>
    <w:unhideWhenUsed/>
    <w:rsid w:val="00F54026"/>
    <w:pPr>
      <w:tabs>
        <w:tab w:val="clear" w:pos="567"/>
      </w:tabs>
      <w:spacing w:before="0" w:after="100" w:line="259" w:lineRule="auto"/>
      <w:ind w:left="1760"/>
    </w:pPr>
    <w:rPr>
      <w:rFonts w:eastAsiaTheme="minorEastAsia" w:cstheme="minorBidi"/>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24940">
      <w:bodyDiv w:val="1"/>
      <w:marLeft w:val="0"/>
      <w:marRight w:val="0"/>
      <w:marTop w:val="0"/>
      <w:marBottom w:val="0"/>
      <w:divBdr>
        <w:top w:val="none" w:sz="0" w:space="0" w:color="auto"/>
        <w:left w:val="none" w:sz="0" w:space="0" w:color="auto"/>
        <w:bottom w:val="none" w:sz="0" w:space="0" w:color="auto"/>
        <w:right w:val="none" w:sz="0" w:space="0" w:color="auto"/>
      </w:divBdr>
    </w:div>
    <w:div w:id="55249229">
      <w:bodyDiv w:val="1"/>
      <w:marLeft w:val="0"/>
      <w:marRight w:val="0"/>
      <w:marTop w:val="0"/>
      <w:marBottom w:val="0"/>
      <w:divBdr>
        <w:top w:val="none" w:sz="0" w:space="0" w:color="auto"/>
        <w:left w:val="none" w:sz="0" w:space="0" w:color="auto"/>
        <w:bottom w:val="none" w:sz="0" w:space="0" w:color="auto"/>
        <w:right w:val="none" w:sz="0" w:space="0" w:color="auto"/>
      </w:divBdr>
    </w:div>
    <w:div w:id="270434187">
      <w:bodyDiv w:val="1"/>
      <w:marLeft w:val="0"/>
      <w:marRight w:val="0"/>
      <w:marTop w:val="0"/>
      <w:marBottom w:val="0"/>
      <w:divBdr>
        <w:top w:val="none" w:sz="0" w:space="0" w:color="auto"/>
        <w:left w:val="none" w:sz="0" w:space="0" w:color="auto"/>
        <w:bottom w:val="none" w:sz="0" w:space="0" w:color="auto"/>
        <w:right w:val="none" w:sz="0" w:space="0" w:color="auto"/>
      </w:divBdr>
    </w:div>
    <w:div w:id="330912246">
      <w:bodyDiv w:val="1"/>
      <w:marLeft w:val="0"/>
      <w:marRight w:val="0"/>
      <w:marTop w:val="0"/>
      <w:marBottom w:val="0"/>
      <w:divBdr>
        <w:top w:val="none" w:sz="0" w:space="0" w:color="auto"/>
        <w:left w:val="none" w:sz="0" w:space="0" w:color="auto"/>
        <w:bottom w:val="none" w:sz="0" w:space="0" w:color="auto"/>
        <w:right w:val="none" w:sz="0" w:space="0" w:color="auto"/>
      </w:divBdr>
      <w:divsChild>
        <w:div w:id="355615439">
          <w:marLeft w:val="0"/>
          <w:marRight w:val="0"/>
          <w:marTop w:val="0"/>
          <w:marBottom w:val="0"/>
          <w:divBdr>
            <w:top w:val="single" w:sz="6" w:space="0" w:color="EBEBEB"/>
            <w:left w:val="none" w:sz="0" w:space="0" w:color="auto"/>
            <w:bottom w:val="none" w:sz="0" w:space="0" w:color="auto"/>
            <w:right w:val="none" w:sz="0" w:space="0" w:color="auto"/>
          </w:divBdr>
          <w:divsChild>
            <w:div w:id="1729959885">
              <w:marLeft w:val="0"/>
              <w:marRight w:val="0"/>
              <w:marTop w:val="0"/>
              <w:marBottom w:val="0"/>
              <w:divBdr>
                <w:top w:val="none" w:sz="0" w:space="0" w:color="auto"/>
                <w:left w:val="none" w:sz="0" w:space="0" w:color="auto"/>
                <w:bottom w:val="none" w:sz="0" w:space="0" w:color="auto"/>
                <w:right w:val="none" w:sz="0" w:space="0" w:color="auto"/>
              </w:divBdr>
              <w:divsChild>
                <w:div w:id="1620452150">
                  <w:marLeft w:val="0"/>
                  <w:marRight w:val="0"/>
                  <w:marTop w:val="0"/>
                  <w:marBottom w:val="0"/>
                  <w:divBdr>
                    <w:top w:val="none" w:sz="0" w:space="0" w:color="auto"/>
                    <w:left w:val="none" w:sz="0" w:space="0" w:color="auto"/>
                    <w:bottom w:val="none" w:sz="0" w:space="0" w:color="auto"/>
                    <w:right w:val="none" w:sz="0" w:space="0" w:color="auto"/>
                  </w:divBdr>
                  <w:divsChild>
                    <w:div w:id="485433549">
                      <w:marLeft w:val="0"/>
                      <w:marRight w:val="0"/>
                      <w:marTop w:val="630"/>
                      <w:marBottom w:val="0"/>
                      <w:divBdr>
                        <w:top w:val="none" w:sz="0" w:space="0" w:color="auto"/>
                        <w:left w:val="none" w:sz="0" w:space="0" w:color="auto"/>
                        <w:bottom w:val="none" w:sz="0" w:space="0" w:color="auto"/>
                        <w:right w:val="none" w:sz="0" w:space="0" w:color="auto"/>
                      </w:divBdr>
                      <w:divsChild>
                        <w:div w:id="1839684718">
                          <w:marLeft w:val="0"/>
                          <w:marRight w:val="0"/>
                          <w:marTop w:val="0"/>
                          <w:marBottom w:val="0"/>
                          <w:divBdr>
                            <w:top w:val="none" w:sz="0" w:space="0" w:color="auto"/>
                            <w:left w:val="none" w:sz="0" w:space="0" w:color="auto"/>
                            <w:bottom w:val="none" w:sz="0" w:space="0" w:color="auto"/>
                            <w:right w:val="none" w:sz="0" w:space="0" w:color="auto"/>
                          </w:divBdr>
                          <w:divsChild>
                            <w:div w:id="1850097695">
                              <w:marLeft w:val="0"/>
                              <w:marRight w:val="150"/>
                              <w:marTop w:val="0"/>
                              <w:marBottom w:val="90"/>
                              <w:divBdr>
                                <w:top w:val="none" w:sz="0" w:space="0" w:color="auto"/>
                                <w:left w:val="none" w:sz="0" w:space="0" w:color="auto"/>
                                <w:bottom w:val="none" w:sz="0" w:space="0" w:color="auto"/>
                                <w:right w:val="none" w:sz="0" w:space="0" w:color="auto"/>
                              </w:divBdr>
                              <w:divsChild>
                                <w:div w:id="161690867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4308449">
      <w:bodyDiv w:val="1"/>
      <w:marLeft w:val="0"/>
      <w:marRight w:val="0"/>
      <w:marTop w:val="0"/>
      <w:marBottom w:val="0"/>
      <w:divBdr>
        <w:top w:val="none" w:sz="0" w:space="0" w:color="auto"/>
        <w:left w:val="none" w:sz="0" w:space="0" w:color="auto"/>
        <w:bottom w:val="none" w:sz="0" w:space="0" w:color="auto"/>
        <w:right w:val="none" w:sz="0" w:space="0" w:color="auto"/>
      </w:divBdr>
    </w:div>
    <w:div w:id="349383144">
      <w:bodyDiv w:val="1"/>
      <w:marLeft w:val="0"/>
      <w:marRight w:val="0"/>
      <w:marTop w:val="0"/>
      <w:marBottom w:val="0"/>
      <w:divBdr>
        <w:top w:val="none" w:sz="0" w:space="0" w:color="auto"/>
        <w:left w:val="none" w:sz="0" w:space="0" w:color="auto"/>
        <w:bottom w:val="none" w:sz="0" w:space="0" w:color="auto"/>
        <w:right w:val="none" w:sz="0" w:space="0" w:color="auto"/>
      </w:divBdr>
      <w:divsChild>
        <w:div w:id="1502744644">
          <w:marLeft w:val="0"/>
          <w:marRight w:val="0"/>
          <w:marTop w:val="0"/>
          <w:marBottom w:val="0"/>
          <w:divBdr>
            <w:top w:val="none" w:sz="0" w:space="0" w:color="auto"/>
            <w:left w:val="none" w:sz="0" w:space="0" w:color="auto"/>
            <w:bottom w:val="none" w:sz="0" w:space="0" w:color="auto"/>
            <w:right w:val="none" w:sz="0" w:space="0" w:color="auto"/>
          </w:divBdr>
          <w:divsChild>
            <w:div w:id="1228300030">
              <w:marLeft w:val="0"/>
              <w:marRight w:val="0"/>
              <w:marTop w:val="100"/>
              <w:marBottom w:val="100"/>
              <w:divBdr>
                <w:top w:val="none" w:sz="0" w:space="0" w:color="auto"/>
                <w:left w:val="none" w:sz="0" w:space="0" w:color="auto"/>
                <w:bottom w:val="none" w:sz="0" w:space="0" w:color="auto"/>
                <w:right w:val="none" w:sz="0" w:space="0" w:color="auto"/>
              </w:divBdr>
              <w:divsChild>
                <w:div w:id="1108741546">
                  <w:marLeft w:val="0"/>
                  <w:marRight w:val="0"/>
                  <w:marTop w:val="0"/>
                  <w:marBottom w:val="0"/>
                  <w:divBdr>
                    <w:top w:val="none" w:sz="0" w:space="0" w:color="auto"/>
                    <w:left w:val="none" w:sz="0" w:space="0" w:color="auto"/>
                    <w:bottom w:val="none" w:sz="0" w:space="0" w:color="auto"/>
                    <w:right w:val="none" w:sz="0" w:space="0" w:color="auto"/>
                  </w:divBdr>
                  <w:divsChild>
                    <w:div w:id="1485705299">
                      <w:marLeft w:val="0"/>
                      <w:marRight w:val="0"/>
                      <w:marTop w:val="0"/>
                      <w:marBottom w:val="0"/>
                      <w:divBdr>
                        <w:top w:val="none" w:sz="0" w:space="0" w:color="auto"/>
                        <w:left w:val="none" w:sz="0" w:space="0" w:color="auto"/>
                        <w:bottom w:val="none" w:sz="0" w:space="0" w:color="auto"/>
                        <w:right w:val="none" w:sz="0" w:space="0" w:color="auto"/>
                      </w:divBdr>
                      <w:divsChild>
                        <w:div w:id="1101953432">
                          <w:marLeft w:val="0"/>
                          <w:marRight w:val="0"/>
                          <w:marTop w:val="0"/>
                          <w:marBottom w:val="0"/>
                          <w:divBdr>
                            <w:top w:val="none" w:sz="0" w:space="0" w:color="auto"/>
                            <w:left w:val="none" w:sz="0" w:space="0" w:color="auto"/>
                            <w:bottom w:val="none" w:sz="0" w:space="0" w:color="auto"/>
                            <w:right w:val="none" w:sz="0" w:space="0" w:color="auto"/>
                          </w:divBdr>
                          <w:divsChild>
                            <w:div w:id="314652257">
                              <w:marLeft w:val="0"/>
                              <w:marRight w:val="0"/>
                              <w:marTop w:val="0"/>
                              <w:marBottom w:val="0"/>
                              <w:divBdr>
                                <w:top w:val="none" w:sz="0" w:space="0" w:color="auto"/>
                                <w:left w:val="none" w:sz="0" w:space="0" w:color="auto"/>
                                <w:bottom w:val="none" w:sz="0" w:space="0" w:color="auto"/>
                                <w:right w:val="none" w:sz="0" w:space="0" w:color="auto"/>
                              </w:divBdr>
                              <w:divsChild>
                                <w:div w:id="90057004">
                                  <w:marLeft w:val="0"/>
                                  <w:marRight w:val="0"/>
                                  <w:marTop w:val="0"/>
                                  <w:marBottom w:val="0"/>
                                  <w:divBdr>
                                    <w:top w:val="none" w:sz="0" w:space="0" w:color="auto"/>
                                    <w:left w:val="none" w:sz="0" w:space="0" w:color="auto"/>
                                    <w:bottom w:val="none" w:sz="0" w:space="0" w:color="auto"/>
                                    <w:right w:val="none" w:sz="0" w:space="0" w:color="auto"/>
                                  </w:divBdr>
                                  <w:divsChild>
                                    <w:div w:id="452405244">
                                      <w:marLeft w:val="0"/>
                                      <w:marRight w:val="0"/>
                                      <w:marTop w:val="0"/>
                                      <w:marBottom w:val="0"/>
                                      <w:divBdr>
                                        <w:top w:val="none" w:sz="0" w:space="0" w:color="auto"/>
                                        <w:left w:val="none" w:sz="0" w:space="0" w:color="auto"/>
                                        <w:bottom w:val="none" w:sz="0" w:space="0" w:color="auto"/>
                                        <w:right w:val="none" w:sz="0" w:space="0" w:color="auto"/>
                                      </w:divBdr>
                                      <w:divsChild>
                                        <w:div w:id="1341735131">
                                          <w:marLeft w:val="0"/>
                                          <w:marRight w:val="0"/>
                                          <w:marTop w:val="0"/>
                                          <w:marBottom w:val="0"/>
                                          <w:divBdr>
                                            <w:top w:val="none" w:sz="0" w:space="0" w:color="auto"/>
                                            <w:left w:val="none" w:sz="0" w:space="0" w:color="auto"/>
                                            <w:bottom w:val="none" w:sz="0" w:space="0" w:color="auto"/>
                                            <w:right w:val="none" w:sz="0" w:space="0" w:color="auto"/>
                                          </w:divBdr>
                                          <w:divsChild>
                                            <w:div w:id="1112020041">
                                              <w:marLeft w:val="165"/>
                                              <w:marRight w:val="165"/>
                                              <w:marTop w:val="0"/>
                                              <w:marBottom w:val="0"/>
                                              <w:divBdr>
                                                <w:top w:val="none" w:sz="0" w:space="0" w:color="auto"/>
                                                <w:left w:val="none" w:sz="0" w:space="0" w:color="auto"/>
                                                <w:bottom w:val="none" w:sz="0" w:space="0" w:color="auto"/>
                                                <w:right w:val="none" w:sz="0" w:space="0" w:color="auto"/>
                                              </w:divBdr>
                                              <w:divsChild>
                                                <w:div w:id="828324350">
                                                  <w:marLeft w:val="0"/>
                                                  <w:marRight w:val="0"/>
                                                  <w:marTop w:val="0"/>
                                                  <w:marBottom w:val="0"/>
                                                  <w:divBdr>
                                                    <w:top w:val="none" w:sz="0" w:space="0" w:color="auto"/>
                                                    <w:left w:val="none" w:sz="0" w:space="0" w:color="auto"/>
                                                    <w:bottom w:val="none" w:sz="0" w:space="0" w:color="auto"/>
                                                    <w:right w:val="none" w:sz="0" w:space="0" w:color="auto"/>
                                                  </w:divBdr>
                                                </w:div>
                                                <w:div w:id="166423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8817525">
      <w:bodyDiv w:val="1"/>
      <w:marLeft w:val="0"/>
      <w:marRight w:val="0"/>
      <w:marTop w:val="0"/>
      <w:marBottom w:val="0"/>
      <w:divBdr>
        <w:top w:val="none" w:sz="0" w:space="0" w:color="auto"/>
        <w:left w:val="none" w:sz="0" w:space="0" w:color="auto"/>
        <w:bottom w:val="none" w:sz="0" w:space="0" w:color="auto"/>
        <w:right w:val="none" w:sz="0" w:space="0" w:color="auto"/>
      </w:divBdr>
      <w:divsChild>
        <w:div w:id="826746423">
          <w:marLeft w:val="0"/>
          <w:marRight w:val="0"/>
          <w:marTop w:val="0"/>
          <w:marBottom w:val="0"/>
          <w:divBdr>
            <w:top w:val="none" w:sz="0" w:space="0" w:color="auto"/>
            <w:left w:val="none" w:sz="0" w:space="0" w:color="auto"/>
            <w:bottom w:val="none" w:sz="0" w:space="0" w:color="auto"/>
            <w:right w:val="none" w:sz="0" w:space="0" w:color="auto"/>
          </w:divBdr>
          <w:divsChild>
            <w:div w:id="2054109526">
              <w:marLeft w:val="0"/>
              <w:marRight w:val="0"/>
              <w:marTop w:val="0"/>
              <w:marBottom w:val="0"/>
              <w:divBdr>
                <w:top w:val="none" w:sz="0" w:space="0" w:color="auto"/>
                <w:left w:val="none" w:sz="0" w:space="0" w:color="auto"/>
                <w:bottom w:val="none" w:sz="0" w:space="0" w:color="auto"/>
                <w:right w:val="none" w:sz="0" w:space="0" w:color="auto"/>
              </w:divBdr>
              <w:divsChild>
                <w:div w:id="1968582923">
                  <w:marLeft w:val="0"/>
                  <w:marRight w:val="0"/>
                  <w:marTop w:val="0"/>
                  <w:marBottom w:val="0"/>
                  <w:divBdr>
                    <w:top w:val="none" w:sz="0" w:space="0" w:color="auto"/>
                    <w:left w:val="none" w:sz="0" w:space="0" w:color="auto"/>
                    <w:bottom w:val="none" w:sz="0" w:space="0" w:color="auto"/>
                    <w:right w:val="none" w:sz="0" w:space="0" w:color="auto"/>
                  </w:divBdr>
                  <w:divsChild>
                    <w:div w:id="1205101294">
                      <w:marLeft w:val="0"/>
                      <w:marRight w:val="0"/>
                      <w:marTop w:val="0"/>
                      <w:marBottom w:val="0"/>
                      <w:divBdr>
                        <w:top w:val="none" w:sz="0" w:space="0" w:color="auto"/>
                        <w:left w:val="none" w:sz="0" w:space="0" w:color="auto"/>
                        <w:bottom w:val="none" w:sz="0" w:space="0" w:color="auto"/>
                        <w:right w:val="none" w:sz="0" w:space="0" w:color="auto"/>
                      </w:divBdr>
                      <w:divsChild>
                        <w:div w:id="79556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038403">
      <w:bodyDiv w:val="1"/>
      <w:marLeft w:val="0"/>
      <w:marRight w:val="0"/>
      <w:marTop w:val="0"/>
      <w:marBottom w:val="0"/>
      <w:divBdr>
        <w:top w:val="none" w:sz="0" w:space="0" w:color="auto"/>
        <w:left w:val="none" w:sz="0" w:space="0" w:color="auto"/>
        <w:bottom w:val="none" w:sz="0" w:space="0" w:color="auto"/>
        <w:right w:val="none" w:sz="0" w:space="0" w:color="auto"/>
      </w:divBdr>
    </w:div>
    <w:div w:id="452409612">
      <w:bodyDiv w:val="1"/>
      <w:marLeft w:val="0"/>
      <w:marRight w:val="0"/>
      <w:marTop w:val="0"/>
      <w:marBottom w:val="0"/>
      <w:divBdr>
        <w:top w:val="none" w:sz="0" w:space="0" w:color="auto"/>
        <w:left w:val="none" w:sz="0" w:space="0" w:color="auto"/>
        <w:bottom w:val="none" w:sz="0" w:space="0" w:color="auto"/>
        <w:right w:val="none" w:sz="0" w:space="0" w:color="auto"/>
      </w:divBdr>
    </w:div>
    <w:div w:id="505946778">
      <w:bodyDiv w:val="1"/>
      <w:marLeft w:val="0"/>
      <w:marRight w:val="0"/>
      <w:marTop w:val="0"/>
      <w:marBottom w:val="0"/>
      <w:divBdr>
        <w:top w:val="none" w:sz="0" w:space="0" w:color="auto"/>
        <w:left w:val="none" w:sz="0" w:space="0" w:color="auto"/>
        <w:bottom w:val="none" w:sz="0" w:space="0" w:color="auto"/>
        <w:right w:val="none" w:sz="0" w:space="0" w:color="auto"/>
      </w:divBdr>
    </w:div>
    <w:div w:id="541022182">
      <w:bodyDiv w:val="1"/>
      <w:marLeft w:val="0"/>
      <w:marRight w:val="0"/>
      <w:marTop w:val="0"/>
      <w:marBottom w:val="0"/>
      <w:divBdr>
        <w:top w:val="none" w:sz="0" w:space="0" w:color="auto"/>
        <w:left w:val="none" w:sz="0" w:space="0" w:color="auto"/>
        <w:bottom w:val="none" w:sz="0" w:space="0" w:color="auto"/>
        <w:right w:val="none" w:sz="0" w:space="0" w:color="auto"/>
      </w:divBdr>
    </w:div>
    <w:div w:id="542670772">
      <w:bodyDiv w:val="1"/>
      <w:marLeft w:val="0"/>
      <w:marRight w:val="0"/>
      <w:marTop w:val="0"/>
      <w:marBottom w:val="0"/>
      <w:divBdr>
        <w:top w:val="none" w:sz="0" w:space="0" w:color="auto"/>
        <w:left w:val="none" w:sz="0" w:space="0" w:color="auto"/>
        <w:bottom w:val="none" w:sz="0" w:space="0" w:color="auto"/>
        <w:right w:val="none" w:sz="0" w:space="0" w:color="auto"/>
      </w:divBdr>
      <w:divsChild>
        <w:div w:id="967785544">
          <w:marLeft w:val="0"/>
          <w:marRight w:val="0"/>
          <w:marTop w:val="0"/>
          <w:marBottom w:val="0"/>
          <w:divBdr>
            <w:top w:val="single" w:sz="2" w:space="0" w:color="2E2E2E"/>
            <w:left w:val="single" w:sz="2" w:space="0" w:color="2E2E2E"/>
            <w:bottom w:val="single" w:sz="2" w:space="0" w:color="2E2E2E"/>
            <w:right w:val="single" w:sz="2" w:space="0" w:color="2E2E2E"/>
          </w:divBdr>
          <w:divsChild>
            <w:div w:id="27609922">
              <w:marLeft w:val="0"/>
              <w:marRight w:val="0"/>
              <w:marTop w:val="0"/>
              <w:marBottom w:val="0"/>
              <w:divBdr>
                <w:top w:val="single" w:sz="6" w:space="0" w:color="C9C9C9"/>
                <w:left w:val="none" w:sz="0" w:space="0" w:color="auto"/>
                <w:bottom w:val="none" w:sz="0" w:space="0" w:color="auto"/>
                <w:right w:val="none" w:sz="0" w:space="0" w:color="auto"/>
              </w:divBdr>
              <w:divsChild>
                <w:div w:id="1431777030">
                  <w:marLeft w:val="0"/>
                  <w:marRight w:val="0"/>
                  <w:marTop w:val="0"/>
                  <w:marBottom w:val="0"/>
                  <w:divBdr>
                    <w:top w:val="none" w:sz="0" w:space="0" w:color="auto"/>
                    <w:left w:val="none" w:sz="0" w:space="0" w:color="auto"/>
                    <w:bottom w:val="none" w:sz="0" w:space="0" w:color="auto"/>
                    <w:right w:val="none" w:sz="0" w:space="0" w:color="auto"/>
                  </w:divBdr>
                  <w:divsChild>
                    <w:div w:id="1175924791">
                      <w:marLeft w:val="0"/>
                      <w:marRight w:val="0"/>
                      <w:marTop w:val="0"/>
                      <w:marBottom w:val="0"/>
                      <w:divBdr>
                        <w:top w:val="none" w:sz="0" w:space="0" w:color="auto"/>
                        <w:left w:val="none" w:sz="0" w:space="0" w:color="auto"/>
                        <w:bottom w:val="none" w:sz="0" w:space="0" w:color="auto"/>
                        <w:right w:val="none" w:sz="0" w:space="0" w:color="auto"/>
                      </w:divBdr>
                      <w:divsChild>
                        <w:div w:id="128129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727023">
      <w:bodyDiv w:val="1"/>
      <w:marLeft w:val="0"/>
      <w:marRight w:val="0"/>
      <w:marTop w:val="0"/>
      <w:marBottom w:val="0"/>
      <w:divBdr>
        <w:top w:val="none" w:sz="0" w:space="0" w:color="auto"/>
        <w:left w:val="none" w:sz="0" w:space="0" w:color="auto"/>
        <w:bottom w:val="none" w:sz="0" w:space="0" w:color="auto"/>
        <w:right w:val="none" w:sz="0" w:space="0" w:color="auto"/>
      </w:divBdr>
    </w:div>
    <w:div w:id="705103121">
      <w:bodyDiv w:val="1"/>
      <w:marLeft w:val="0"/>
      <w:marRight w:val="0"/>
      <w:marTop w:val="0"/>
      <w:marBottom w:val="0"/>
      <w:divBdr>
        <w:top w:val="none" w:sz="0" w:space="0" w:color="auto"/>
        <w:left w:val="none" w:sz="0" w:space="0" w:color="auto"/>
        <w:bottom w:val="none" w:sz="0" w:space="0" w:color="auto"/>
        <w:right w:val="none" w:sz="0" w:space="0" w:color="auto"/>
      </w:divBdr>
      <w:divsChild>
        <w:div w:id="1632248445">
          <w:marLeft w:val="0"/>
          <w:marRight w:val="0"/>
          <w:marTop w:val="0"/>
          <w:marBottom w:val="0"/>
          <w:divBdr>
            <w:top w:val="none" w:sz="0" w:space="0" w:color="auto"/>
            <w:left w:val="none" w:sz="0" w:space="0" w:color="auto"/>
            <w:bottom w:val="none" w:sz="0" w:space="0" w:color="auto"/>
            <w:right w:val="none" w:sz="0" w:space="0" w:color="auto"/>
          </w:divBdr>
          <w:divsChild>
            <w:div w:id="1991864911">
              <w:marLeft w:val="300"/>
              <w:marRight w:val="300"/>
              <w:marTop w:val="300"/>
              <w:marBottom w:val="300"/>
              <w:divBdr>
                <w:top w:val="none" w:sz="0" w:space="0" w:color="auto"/>
                <w:left w:val="none" w:sz="0" w:space="0" w:color="auto"/>
                <w:bottom w:val="none" w:sz="0" w:space="0" w:color="auto"/>
                <w:right w:val="none" w:sz="0" w:space="0" w:color="auto"/>
              </w:divBdr>
              <w:divsChild>
                <w:div w:id="2071536992">
                  <w:marLeft w:val="0"/>
                  <w:marRight w:val="0"/>
                  <w:marTop w:val="0"/>
                  <w:marBottom w:val="0"/>
                  <w:divBdr>
                    <w:top w:val="none" w:sz="0" w:space="0" w:color="auto"/>
                    <w:left w:val="none" w:sz="0" w:space="0" w:color="auto"/>
                    <w:bottom w:val="none" w:sz="0" w:space="0" w:color="auto"/>
                    <w:right w:val="none" w:sz="0" w:space="0" w:color="auto"/>
                  </w:divBdr>
                  <w:divsChild>
                    <w:div w:id="114720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269225">
      <w:bodyDiv w:val="1"/>
      <w:marLeft w:val="0"/>
      <w:marRight w:val="0"/>
      <w:marTop w:val="0"/>
      <w:marBottom w:val="0"/>
      <w:divBdr>
        <w:top w:val="none" w:sz="0" w:space="0" w:color="auto"/>
        <w:left w:val="none" w:sz="0" w:space="0" w:color="auto"/>
        <w:bottom w:val="none" w:sz="0" w:space="0" w:color="auto"/>
        <w:right w:val="none" w:sz="0" w:space="0" w:color="auto"/>
      </w:divBdr>
    </w:div>
    <w:div w:id="717122494">
      <w:bodyDiv w:val="1"/>
      <w:marLeft w:val="0"/>
      <w:marRight w:val="0"/>
      <w:marTop w:val="0"/>
      <w:marBottom w:val="0"/>
      <w:divBdr>
        <w:top w:val="none" w:sz="0" w:space="0" w:color="auto"/>
        <w:left w:val="none" w:sz="0" w:space="0" w:color="auto"/>
        <w:bottom w:val="none" w:sz="0" w:space="0" w:color="auto"/>
        <w:right w:val="none" w:sz="0" w:space="0" w:color="auto"/>
      </w:divBdr>
    </w:div>
    <w:div w:id="801465031">
      <w:bodyDiv w:val="1"/>
      <w:marLeft w:val="0"/>
      <w:marRight w:val="0"/>
      <w:marTop w:val="0"/>
      <w:marBottom w:val="0"/>
      <w:divBdr>
        <w:top w:val="none" w:sz="0" w:space="0" w:color="auto"/>
        <w:left w:val="none" w:sz="0" w:space="0" w:color="auto"/>
        <w:bottom w:val="none" w:sz="0" w:space="0" w:color="auto"/>
        <w:right w:val="none" w:sz="0" w:space="0" w:color="auto"/>
      </w:divBdr>
    </w:div>
    <w:div w:id="920602986">
      <w:bodyDiv w:val="1"/>
      <w:marLeft w:val="0"/>
      <w:marRight w:val="0"/>
      <w:marTop w:val="0"/>
      <w:marBottom w:val="0"/>
      <w:divBdr>
        <w:top w:val="none" w:sz="0" w:space="0" w:color="auto"/>
        <w:left w:val="none" w:sz="0" w:space="0" w:color="auto"/>
        <w:bottom w:val="none" w:sz="0" w:space="0" w:color="auto"/>
        <w:right w:val="none" w:sz="0" w:space="0" w:color="auto"/>
      </w:divBdr>
      <w:divsChild>
        <w:div w:id="1668483654">
          <w:marLeft w:val="0"/>
          <w:marRight w:val="0"/>
          <w:marTop w:val="0"/>
          <w:marBottom w:val="0"/>
          <w:divBdr>
            <w:top w:val="none" w:sz="0" w:space="0" w:color="auto"/>
            <w:left w:val="none" w:sz="0" w:space="0" w:color="auto"/>
            <w:bottom w:val="none" w:sz="0" w:space="0" w:color="auto"/>
            <w:right w:val="none" w:sz="0" w:space="0" w:color="auto"/>
          </w:divBdr>
          <w:divsChild>
            <w:div w:id="627053348">
              <w:marLeft w:val="300"/>
              <w:marRight w:val="300"/>
              <w:marTop w:val="300"/>
              <w:marBottom w:val="300"/>
              <w:divBdr>
                <w:top w:val="none" w:sz="0" w:space="0" w:color="auto"/>
                <w:left w:val="none" w:sz="0" w:space="0" w:color="auto"/>
                <w:bottom w:val="none" w:sz="0" w:space="0" w:color="auto"/>
                <w:right w:val="none" w:sz="0" w:space="0" w:color="auto"/>
              </w:divBdr>
              <w:divsChild>
                <w:div w:id="1356230765">
                  <w:marLeft w:val="0"/>
                  <w:marRight w:val="0"/>
                  <w:marTop w:val="0"/>
                  <w:marBottom w:val="0"/>
                  <w:divBdr>
                    <w:top w:val="none" w:sz="0" w:space="0" w:color="auto"/>
                    <w:left w:val="none" w:sz="0" w:space="0" w:color="auto"/>
                    <w:bottom w:val="none" w:sz="0" w:space="0" w:color="auto"/>
                    <w:right w:val="none" w:sz="0" w:space="0" w:color="auto"/>
                  </w:divBdr>
                  <w:divsChild>
                    <w:div w:id="10388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119830">
      <w:bodyDiv w:val="1"/>
      <w:marLeft w:val="0"/>
      <w:marRight w:val="0"/>
      <w:marTop w:val="0"/>
      <w:marBottom w:val="0"/>
      <w:divBdr>
        <w:top w:val="none" w:sz="0" w:space="0" w:color="auto"/>
        <w:left w:val="none" w:sz="0" w:space="0" w:color="auto"/>
        <w:bottom w:val="none" w:sz="0" w:space="0" w:color="auto"/>
        <w:right w:val="none" w:sz="0" w:space="0" w:color="auto"/>
      </w:divBdr>
    </w:div>
    <w:div w:id="980500432">
      <w:bodyDiv w:val="1"/>
      <w:marLeft w:val="0"/>
      <w:marRight w:val="0"/>
      <w:marTop w:val="0"/>
      <w:marBottom w:val="0"/>
      <w:divBdr>
        <w:top w:val="none" w:sz="0" w:space="0" w:color="auto"/>
        <w:left w:val="none" w:sz="0" w:space="0" w:color="auto"/>
        <w:bottom w:val="none" w:sz="0" w:space="0" w:color="auto"/>
        <w:right w:val="none" w:sz="0" w:space="0" w:color="auto"/>
      </w:divBdr>
      <w:divsChild>
        <w:div w:id="422607108">
          <w:marLeft w:val="0"/>
          <w:marRight w:val="0"/>
          <w:marTop w:val="0"/>
          <w:marBottom w:val="0"/>
          <w:divBdr>
            <w:top w:val="none" w:sz="0" w:space="0" w:color="auto"/>
            <w:left w:val="none" w:sz="0" w:space="0" w:color="auto"/>
            <w:bottom w:val="none" w:sz="0" w:space="0" w:color="auto"/>
            <w:right w:val="none" w:sz="0" w:space="0" w:color="auto"/>
          </w:divBdr>
          <w:divsChild>
            <w:div w:id="916092003">
              <w:marLeft w:val="0"/>
              <w:marRight w:val="0"/>
              <w:marTop w:val="0"/>
              <w:marBottom w:val="0"/>
              <w:divBdr>
                <w:top w:val="none" w:sz="0" w:space="0" w:color="auto"/>
                <w:left w:val="none" w:sz="0" w:space="0" w:color="auto"/>
                <w:bottom w:val="none" w:sz="0" w:space="0" w:color="auto"/>
                <w:right w:val="none" w:sz="0" w:space="0" w:color="auto"/>
              </w:divBdr>
              <w:divsChild>
                <w:div w:id="2079672223">
                  <w:marLeft w:val="0"/>
                  <w:marRight w:val="0"/>
                  <w:marTop w:val="0"/>
                  <w:marBottom w:val="0"/>
                  <w:divBdr>
                    <w:top w:val="none" w:sz="0" w:space="0" w:color="auto"/>
                    <w:left w:val="none" w:sz="0" w:space="0" w:color="auto"/>
                    <w:bottom w:val="none" w:sz="0" w:space="0" w:color="auto"/>
                    <w:right w:val="none" w:sz="0" w:space="0" w:color="auto"/>
                  </w:divBdr>
                  <w:divsChild>
                    <w:div w:id="1315180031">
                      <w:marLeft w:val="0"/>
                      <w:marRight w:val="0"/>
                      <w:marTop w:val="0"/>
                      <w:marBottom w:val="0"/>
                      <w:divBdr>
                        <w:top w:val="none" w:sz="0" w:space="0" w:color="auto"/>
                        <w:left w:val="none" w:sz="0" w:space="0" w:color="auto"/>
                        <w:bottom w:val="none" w:sz="0" w:space="0" w:color="auto"/>
                        <w:right w:val="none" w:sz="0" w:space="0" w:color="auto"/>
                      </w:divBdr>
                      <w:divsChild>
                        <w:div w:id="184597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76478">
      <w:bodyDiv w:val="1"/>
      <w:marLeft w:val="0"/>
      <w:marRight w:val="0"/>
      <w:marTop w:val="0"/>
      <w:marBottom w:val="0"/>
      <w:divBdr>
        <w:top w:val="none" w:sz="0" w:space="0" w:color="auto"/>
        <w:left w:val="none" w:sz="0" w:space="0" w:color="auto"/>
        <w:bottom w:val="none" w:sz="0" w:space="0" w:color="auto"/>
        <w:right w:val="none" w:sz="0" w:space="0" w:color="auto"/>
      </w:divBdr>
      <w:divsChild>
        <w:div w:id="969895795">
          <w:marLeft w:val="0"/>
          <w:marRight w:val="0"/>
          <w:marTop w:val="0"/>
          <w:marBottom w:val="0"/>
          <w:divBdr>
            <w:top w:val="none" w:sz="0" w:space="0" w:color="auto"/>
            <w:left w:val="none" w:sz="0" w:space="0" w:color="auto"/>
            <w:bottom w:val="none" w:sz="0" w:space="0" w:color="auto"/>
            <w:right w:val="none" w:sz="0" w:space="0" w:color="auto"/>
          </w:divBdr>
          <w:divsChild>
            <w:div w:id="1253201587">
              <w:marLeft w:val="0"/>
              <w:marRight w:val="0"/>
              <w:marTop w:val="0"/>
              <w:marBottom w:val="0"/>
              <w:divBdr>
                <w:top w:val="none" w:sz="0" w:space="0" w:color="auto"/>
                <w:left w:val="none" w:sz="0" w:space="0" w:color="auto"/>
                <w:bottom w:val="none" w:sz="0" w:space="0" w:color="auto"/>
                <w:right w:val="none" w:sz="0" w:space="0" w:color="auto"/>
              </w:divBdr>
              <w:divsChild>
                <w:div w:id="1616711122">
                  <w:marLeft w:val="0"/>
                  <w:marRight w:val="0"/>
                  <w:marTop w:val="0"/>
                  <w:marBottom w:val="0"/>
                  <w:divBdr>
                    <w:top w:val="none" w:sz="0" w:space="0" w:color="auto"/>
                    <w:left w:val="none" w:sz="0" w:space="0" w:color="auto"/>
                    <w:bottom w:val="none" w:sz="0" w:space="0" w:color="auto"/>
                    <w:right w:val="none" w:sz="0" w:space="0" w:color="auto"/>
                  </w:divBdr>
                  <w:divsChild>
                    <w:div w:id="721711995">
                      <w:marLeft w:val="0"/>
                      <w:marRight w:val="0"/>
                      <w:marTop w:val="0"/>
                      <w:marBottom w:val="0"/>
                      <w:divBdr>
                        <w:top w:val="none" w:sz="0" w:space="0" w:color="auto"/>
                        <w:left w:val="none" w:sz="0" w:space="0" w:color="auto"/>
                        <w:bottom w:val="none" w:sz="0" w:space="0" w:color="auto"/>
                        <w:right w:val="none" w:sz="0" w:space="0" w:color="auto"/>
                      </w:divBdr>
                      <w:divsChild>
                        <w:div w:id="580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028713">
      <w:bodyDiv w:val="1"/>
      <w:marLeft w:val="0"/>
      <w:marRight w:val="0"/>
      <w:marTop w:val="0"/>
      <w:marBottom w:val="0"/>
      <w:divBdr>
        <w:top w:val="none" w:sz="0" w:space="0" w:color="auto"/>
        <w:left w:val="none" w:sz="0" w:space="0" w:color="auto"/>
        <w:bottom w:val="none" w:sz="0" w:space="0" w:color="auto"/>
        <w:right w:val="none" w:sz="0" w:space="0" w:color="auto"/>
      </w:divBdr>
      <w:divsChild>
        <w:div w:id="375861537">
          <w:marLeft w:val="0"/>
          <w:marRight w:val="0"/>
          <w:marTop w:val="0"/>
          <w:marBottom w:val="0"/>
          <w:divBdr>
            <w:top w:val="none" w:sz="0" w:space="0" w:color="auto"/>
            <w:left w:val="none" w:sz="0" w:space="0" w:color="auto"/>
            <w:bottom w:val="none" w:sz="0" w:space="0" w:color="auto"/>
            <w:right w:val="none" w:sz="0" w:space="0" w:color="auto"/>
          </w:divBdr>
          <w:divsChild>
            <w:div w:id="511727699">
              <w:marLeft w:val="0"/>
              <w:marRight w:val="0"/>
              <w:marTop w:val="0"/>
              <w:marBottom w:val="0"/>
              <w:divBdr>
                <w:top w:val="none" w:sz="0" w:space="0" w:color="auto"/>
                <w:left w:val="none" w:sz="0" w:space="0" w:color="auto"/>
                <w:bottom w:val="none" w:sz="0" w:space="0" w:color="auto"/>
                <w:right w:val="none" w:sz="0" w:space="0" w:color="auto"/>
              </w:divBdr>
              <w:divsChild>
                <w:div w:id="1377780918">
                  <w:marLeft w:val="0"/>
                  <w:marRight w:val="0"/>
                  <w:marTop w:val="0"/>
                  <w:marBottom w:val="0"/>
                  <w:divBdr>
                    <w:top w:val="none" w:sz="0" w:space="0" w:color="auto"/>
                    <w:left w:val="none" w:sz="0" w:space="0" w:color="auto"/>
                    <w:bottom w:val="none" w:sz="0" w:space="0" w:color="auto"/>
                    <w:right w:val="none" w:sz="0" w:space="0" w:color="auto"/>
                  </w:divBdr>
                  <w:divsChild>
                    <w:div w:id="1181625166">
                      <w:marLeft w:val="0"/>
                      <w:marRight w:val="0"/>
                      <w:marTop w:val="0"/>
                      <w:marBottom w:val="0"/>
                      <w:divBdr>
                        <w:top w:val="none" w:sz="0" w:space="0" w:color="auto"/>
                        <w:left w:val="none" w:sz="0" w:space="0" w:color="auto"/>
                        <w:bottom w:val="none" w:sz="0" w:space="0" w:color="auto"/>
                        <w:right w:val="none" w:sz="0" w:space="0" w:color="auto"/>
                      </w:divBdr>
                      <w:divsChild>
                        <w:div w:id="85657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546671">
      <w:bodyDiv w:val="1"/>
      <w:marLeft w:val="0"/>
      <w:marRight w:val="0"/>
      <w:marTop w:val="0"/>
      <w:marBottom w:val="0"/>
      <w:divBdr>
        <w:top w:val="none" w:sz="0" w:space="0" w:color="auto"/>
        <w:left w:val="none" w:sz="0" w:space="0" w:color="auto"/>
        <w:bottom w:val="none" w:sz="0" w:space="0" w:color="auto"/>
        <w:right w:val="none" w:sz="0" w:space="0" w:color="auto"/>
      </w:divBdr>
      <w:divsChild>
        <w:div w:id="28535360">
          <w:marLeft w:val="0"/>
          <w:marRight w:val="0"/>
          <w:marTop w:val="0"/>
          <w:marBottom w:val="0"/>
          <w:divBdr>
            <w:top w:val="none" w:sz="0" w:space="0" w:color="auto"/>
            <w:left w:val="none" w:sz="0" w:space="0" w:color="auto"/>
            <w:bottom w:val="none" w:sz="0" w:space="0" w:color="auto"/>
            <w:right w:val="none" w:sz="0" w:space="0" w:color="auto"/>
          </w:divBdr>
          <w:divsChild>
            <w:div w:id="636643422">
              <w:marLeft w:val="0"/>
              <w:marRight w:val="0"/>
              <w:marTop w:val="0"/>
              <w:marBottom w:val="0"/>
              <w:divBdr>
                <w:top w:val="none" w:sz="0" w:space="0" w:color="auto"/>
                <w:left w:val="none" w:sz="0" w:space="0" w:color="auto"/>
                <w:bottom w:val="none" w:sz="0" w:space="0" w:color="auto"/>
                <w:right w:val="none" w:sz="0" w:space="0" w:color="auto"/>
              </w:divBdr>
              <w:divsChild>
                <w:div w:id="34278892">
                  <w:marLeft w:val="0"/>
                  <w:marRight w:val="0"/>
                  <w:marTop w:val="0"/>
                  <w:marBottom w:val="0"/>
                  <w:divBdr>
                    <w:top w:val="none" w:sz="0" w:space="0" w:color="auto"/>
                    <w:left w:val="none" w:sz="0" w:space="0" w:color="auto"/>
                    <w:bottom w:val="none" w:sz="0" w:space="0" w:color="auto"/>
                    <w:right w:val="none" w:sz="0" w:space="0" w:color="auto"/>
                  </w:divBdr>
                  <w:divsChild>
                    <w:div w:id="94524252">
                      <w:marLeft w:val="0"/>
                      <w:marRight w:val="0"/>
                      <w:marTop w:val="0"/>
                      <w:marBottom w:val="0"/>
                      <w:divBdr>
                        <w:top w:val="none" w:sz="0" w:space="0" w:color="auto"/>
                        <w:left w:val="none" w:sz="0" w:space="0" w:color="auto"/>
                        <w:bottom w:val="none" w:sz="0" w:space="0" w:color="auto"/>
                        <w:right w:val="none" w:sz="0" w:space="0" w:color="auto"/>
                      </w:divBdr>
                      <w:divsChild>
                        <w:div w:id="179058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778080">
      <w:bodyDiv w:val="1"/>
      <w:marLeft w:val="0"/>
      <w:marRight w:val="0"/>
      <w:marTop w:val="0"/>
      <w:marBottom w:val="0"/>
      <w:divBdr>
        <w:top w:val="none" w:sz="0" w:space="0" w:color="auto"/>
        <w:left w:val="none" w:sz="0" w:space="0" w:color="auto"/>
        <w:bottom w:val="none" w:sz="0" w:space="0" w:color="auto"/>
        <w:right w:val="none" w:sz="0" w:space="0" w:color="auto"/>
      </w:divBdr>
    </w:div>
    <w:div w:id="1272279343">
      <w:bodyDiv w:val="1"/>
      <w:marLeft w:val="0"/>
      <w:marRight w:val="0"/>
      <w:marTop w:val="0"/>
      <w:marBottom w:val="0"/>
      <w:divBdr>
        <w:top w:val="none" w:sz="0" w:space="0" w:color="auto"/>
        <w:left w:val="none" w:sz="0" w:space="0" w:color="auto"/>
        <w:bottom w:val="none" w:sz="0" w:space="0" w:color="auto"/>
        <w:right w:val="none" w:sz="0" w:space="0" w:color="auto"/>
      </w:divBdr>
    </w:div>
    <w:div w:id="1275360887">
      <w:bodyDiv w:val="1"/>
      <w:marLeft w:val="0"/>
      <w:marRight w:val="0"/>
      <w:marTop w:val="0"/>
      <w:marBottom w:val="0"/>
      <w:divBdr>
        <w:top w:val="none" w:sz="0" w:space="0" w:color="auto"/>
        <w:left w:val="none" w:sz="0" w:space="0" w:color="auto"/>
        <w:bottom w:val="none" w:sz="0" w:space="0" w:color="auto"/>
        <w:right w:val="none" w:sz="0" w:space="0" w:color="auto"/>
      </w:divBdr>
    </w:div>
    <w:div w:id="1308632345">
      <w:bodyDiv w:val="1"/>
      <w:marLeft w:val="0"/>
      <w:marRight w:val="0"/>
      <w:marTop w:val="0"/>
      <w:marBottom w:val="0"/>
      <w:divBdr>
        <w:top w:val="none" w:sz="0" w:space="0" w:color="auto"/>
        <w:left w:val="none" w:sz="0" w:space="0" w:color="auto"/>
        <w:bottom w:val="none" w:sz="0" w:space="0" w:color="auto"/>
        <w:right w:val="none" w:sz="0" w:space="0" w:color="auto"/>
      </w:divBdr>
    </w:div>
    <w:div w:id="1380008553">
      <w:bodyDiv w:val="1"/>
      <w:marLeft w:val="0"/>
      <w:marRight w:val="0"/>
      <w:marTop w:val="0"/>
      <w:marBottom w:val="0"/>
      <w:divBdr>
        <w:top w:val="none" w:sz="0" w:space="0" w:color="auto"/>
        <w:left w:val="none" w:sz="0" w:space="0" w:color="auto"/>
        <w:bottom w:val="none" w:sz="0" w:space="0" w:color="auto"/>
        <w:right w:val="none" w:sz="0" w:space="0" w:color="auto"/>
      </w:divBdr>
    </w:div>
    <w:div w:id="1416897904">
      <w:bodyDiv w:val="1"/>
      <w:marLeft w:val="0"/>
      <w:marRight w:val="0"/>
      <w:marTop w:val="0"/>
      <w:marBottom w:val="0"/>
      <w:divBdr>
        <w:top w:val="none" w:sz="0" w:space="0" w:color="auto"/>
        <w:left w:val="none" w:sz="0" w:space="0" w:color="auto"/>
        <w:bottom w:val="none" w:sz="0" w:space="0" w:color="auto"/>
        <w:right w:val="none" w:sz="0" w:space="0" w:color="auto"/>
      </w:divBdr>
      <w:divsChild>
        <w:div w:id="358819381">
          <w:marLeft w:val="0"/>
          <w:marRight w:val="0"/>
          <w:marTop w:val="0"/>
          <w:marBottom w:val="0"/>
          <w:divBdr>
            <w:top w:val="none" w:sz="0" w:space="0" w:color="auto"/>
            <w:left w:val="none" w:sz="0" w:space="0" w:color="auto"/>
            <w:bottom w:val="none" w:sz="0" w:space="0" w:color="auto"/>
            <w:right w:val="none" w:sz="0" w:space="0" w:color="auto"/>
          </w:divBdr>
          <w:divsChild>
            <w:div w:id="1449742572">
              <w:marLeft w:val="0"/>
              <w:marRight w:val="0"/>
              <w:marTop w:val="0"/>
              <w:marBottom w:val="0"/>
              <w:divBdr>
                <w:top w:val="none" w:sz="0" w:space="0" w:color="auto"/>
                <w:left w:val="none" w:sz="0" w:space="0" w:color="auto"/>
                <w:bottom w:val="none" w:sz="0" w:space="0" w:color="auto"/>
                <w:right w:val="none" w:sz="0" w:space="0" w:color="auto"/>
              </w:divBdr>
              <w:divsChild>
                <w:div w:id="965937196">
                  <w:marLeft w:val="0"/>
                  <w:marRight w:val="0"/>
                  <w:marTop w:val="0"/>
                  <w:marBottom w:val="0"/>
                  <w:divBdr>
                    <w:top w:val="none" w:sz="0" w:space="0" w:color="auto"/>
                    <w:left w:val="none" w:sz="0" w:space="0" w:color="auto"/>
                    <w:bottom w:val="none" w:sz="0" w:space="0" w:color="auto"/>
                    <w:right w:val="none" w:sz="0" w:space="0" w:color="auto"/>
                  </w:divBdr>
                  <w:divsChild>
                    <w:div w:id="27224697">
                      <w:marLeft w:val="540"/>
                      <w:marRight w:val="0"/>
                      <w:marTop w:val="90"/>
                      <w:marBottom w:val="0"/>
                      <w:divBdr>
                        <w:top w:val="none" w:sz="0" w:space="0" w:color="auto"/>
                        <w:left w:val="none" w:sz="0" w:space="0" w:color="auto"/>
                        <w:bottom w:val="none" w:sz="0" w:space="0" w:color="auto"/>
                        <w:right w:val="none" w:sz="0" w:space="0" w:color="auto"/>
                      </w:divBdr>
                    </w:div>
                    <w:div w:id="1714765531">
                      <w:marLeft w:val="54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38548161">
          <w:marLeft w:val="0"/>
          <w:marRight w:val="0"/>
          <w:marTop w:val="0"/>
          <w:marBottom w:val="0"/>
          <w:divBdr>
            <w:top w:val="none" w:sz="0" w:space="0" w:color="auto"/>
            <w:left w:val="none" w:sz="0" w:space="0" w:color="auto"/>
            <w:bottom w:val="none" w:sz="0" w:space="0" w:color="auto"/>
            <w:right w:val="none" w:sz="0" w:space="0" w:color="auto"/>
          </w:divBdr>
          <w:divsChild>
            <w:div w:id="602691872">
              <w:marLeft w:val="540"/>
              <w:marRight w:val="0"/>
              <w:marTop w:val="90"/>
              <w:marBottom w:val="0"/>
              <w:divBdr>
                <w:top w:val="none" w:sz="0" w:space="0" w:color="auto"/>
                <w:left w:val="none" w:sz="0" w:space="0" w:color="auto"/>
                <w:bottom w:val="none" w:sz="0" w:space="0" w:color="auto"/>
                <w:right w:val="none" w:sz="0" w:space="0" w:color="auto"/>
              </w:divBdr>
            </w:div>
            <w:div w:id="1312978027">
              <w:marLeft w:val="540"/>
              <w:marRight w:val="0"/>
              <w:marTop w:val="90"/>
              <w:marBottom w:val="0"/>
              <w:divBdr>
                <w:top w:val="none" w:sz="0" w:space="0" w:color="auto"/>
                <w:left w:val="none" w:sz="0" w:space="0" w:color="auto"/>
                <w:bottom w:val="none" w:sz="0" w:space="0" w:color="auto"/>
                <w:right w:val="none" w:sz="0" w:space="0" w:color="auto"/>
              </w:divBdr>
            </w:div>
            <w:div w:id="1841461431">
              <w:marLeft w:val="540"/>
              <w:marRight w:val="0"/>
              <w:marTop w:val="90"/>
              <w:marBottom w:val="0"/>
              <w:divBdr>
                <w:top w:val="none" w:sz="0" w:space="0" w:color="auto"/>
                <w:left w:val="none" w:sz="0" w:space="0" w:color="auto"/>
                <w:bottom w:val="none" w:sz="0" w:space="0" w:color="auto"/>
                <w:right w:val="none" w:sz="0" w:space="0" w:color="auto"/>
              </w:divBdr>
              <w:divsChild>
                <w:div w:id="98882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18042">
      <w:bodyDiv w:val="1"/>
      <w:marLeft w:val="0"/>
      <w:marRight w:val="0"/>
      <w:marTop w:val="0"/>
      <w:marBottom w:val="0"/>
      <w:divBdr>
        <w:top w:val="none" w:sz="0" w:space="0" w:color="auto"/>
        <w:left w:val="none" w:sz="0" w:space="0" w:color="auto"/>
        <w:bottom w:val="none" w:sz="0" w:space="0" w:color="auto"/>
        <w:right w:val="none" w:sz="0" w:space="0" w:color="auto"/>
      </w:divBdr>
    </w:div>
    <w:div w:id="1566915534">
      <w:bodyDiv w:val="1"/>
      <w:marLeft w:val="0"/>
      <w:marRight w:val="0"/>
      <w:marTop w:val="0"/>
      <w:marBottom w:val="0"/>
      <w:divBdr>
        <w:top w:val="none" w:sz="0" w:space="0" w:color="auto"/>
        <w:left w:val="none" w:sz="0" w:space="0" w:color="auto"/>
        <w:bottom w:val="none" w:sz="0" w:space="0" w:color="auto"/>
        <w:right w:val="none" w:sz="0" w:space="0" w:color="auto"/>
      </w:divBdr>
    </w:div>
    <w:div w:id="1587810981">
      <w:bodyDiv w:val="1"/>
      <w:marLeft w:val="0"/>
      <w:marRight w:val="0"/>
      <w:marTop w:val="0"/>
      <w:marBottom w:val="0"/>
      <w:divBdr>
        <w:top w:val="none" w:sz="0" w:space="0" w:color="auto"/>
        <w:left w:val="none" w:sz="0" w:space="0" w:color="auto"/>
        <w:bottom w:val="none" w:sz="0" w:space="0" w:color="auto"/>
        <w:right w:val="none" w:sz="0" w:space="0" w:color="auto"/>
      </w:divBdr>
      <w:divsChild>
        <w:div w:id="2099252951">
          <w:marLeft w:val="0"/>
          <w:marRight w:val="0"/>
          <w:marTop w:val="0"/>
          <w:marBottom w:val="0"/>
          <w:divBdr>
            <w:top w:val="none" w:sz="0" w:space="0" w:color="auto"/>
            <w:left w:val="none" w:sz="0" w:space="0" w:color="auto"/>
            <w:bottom w:val="none" w:sz="0" w:space="0" w:color="auto"/>
            <w:right w:val="none" w:sz="0" w:space="0" w:color="auto"/>
          </w:divBdr>
          <w:divsChild>
            <w:div w:id="1981693272">
              <w:marLeft w:val="0"/>
              <w:marRight w:val="0"/>
              <w:marTop w:val="100"/>
              <w:marBottom w:val="100"/>
              <w:divBdr>
                <w:top w:val="none" w:sz="0" w:space="0" w:color="auto"/>
                <w:left w:val="none" w:sz="0" w:space="0" w:color="auto"/>
                <w:bottom w:val="none" w:sz="0" w:space="0" w:color="auto"/>
                <w:right w:val="none" w:sz="0" w:space="0" w:color="auto"/>
              </w:divBdr>
              <w:divsChild>
                <w:div w:id="1653175974">
                  <w:marLeft w:val="0"/>
                  <w:marRight w:val="0"/>
                  <w:marTop w:val="0"/>
                  <w:marBottom w:val="0"/>
                  <w:divBdr>
                    <w:top w:val="none" w:sz="0" w:space="0" w:color="auto"/>
                    <w:left w:val="none" w:sz="0" w:space="0" w:color="auto"/>
                    <w:bottom w:val="none" w:sz="0" w:space="0" w:color="auto"/>
                    <w:right w:val="none" w:sz="0" w:space="0" w:color="auto"/>
                  </w:divBdr>
                  <w:divsChild>
                    <w:div w:id="744182709">
                      <w:marLeft w:val="0"/>
                      <w:marRight w:val="0"/>
                      <w:marTop w:val="0"/>
                      <w:marBottom w:val="0"/>
                      <w:divBdr>
                        <w:top w:val="none" w:sz="0" w:space="0" w:color="auto"/>
                        <w:left w:val="none" w:sz="0" w:space="0" w:color="auto"/>
                        <w:bottom w:val="none" w:sz="0" w:space="0" w:color="auto"/>
                        <w:right w:val="none" w:sz="0" w:space="0" w:color="auto"/>
                      </w:divBdr>
                      <w:divsChild>
                        <w:div w:id="190922507">
                          <w:marLeft w:val="0"/>
                          <w:marRight w:val="0"/>
                          <w:marTop w:val="0"/>
                          <w:marBottom w:val="0"/>
                          <w:divBdr>
                            <w:top w:val="none" w:sz="0" w:space="0" w:color="auto"/>
                            <w:left w:val="none" w:sz="0" w:space="0" w:color="auto"/>
                            <w:bottom w:val="none" w:sz="0" w:space="0" w:color="auto"/>
                            <w:right w:val="none" w:sz="0" w:space="0" w:color="auto"/>
                          </w:divBdr>
                          <w:divsChild>
                            <w:div w:id="1837960346">
                              <w:marLeft w:val="0"/>
                              <w:marRight w:val="0"/>
                              <w:marTop w:val="0"/>
                              <w:marBottom w:val="0"/>
                              <w:divBdr>
                                <w:top w:val="none" w:sz="0" w:space="0" w:color="auto"/>
                                <w:left w:val="none" w:sz="0" w:space="0" w:color="auto"/>
                                <w:bottom w:val="none" w:sz="0" w:space="0" w:color="auto"/>
                                <w:right w:val="none" w:sz="0" w:space="0" w:color="auto"/>
                              </w:divBdr>
                              <w:divsChild>
                                <w:div w:id="2123838480">
                                  <w:marLeft w:val="0"/>
                                  <w:marRight w:val="0"/>
                                  <w:marTop w:val="0"/>
                                  <w:marBottom w:val="0"/>
                                  <w:divBdr>
                                    <w:top w:val="none" w:sz="0" w:space="0" w:color="auto"/>
                                    <w:left w:val="none" w:sz="0" w:space="0" w:color="auto"/>
                                    <w:bottom w:val="none" w:sz="0" w:space="0" w:color="auto"/>
                                    <w:right w:val="none" w:sz="0" w:space="0" w:color="auto"/>
                                  </w:divBdr>
                                  <w:divsChild>
                                    <w:div w:id="559512785">
                                      <w:marLeft w:val="0"/>
                                      <w:marRight w:val="0"/>
                                      <w:marTop w:val="0"/>
                                      <w:marBottom w:val="0"/>
                                      <w:divBdr>
                                        <w:top w:val="none" w:sz="0" w:space="0" w:color="auto"/>
                                        <w:left w:val="none" w:sz="0" w:space="0" w:color="auto"/>
                                        <w:bottom w:val="none" w:sz="0" w:space="0" w:color="auto"/>
                                        <w:right w:val="none" w:sz="0" w:space="0" w:color="auto"/>
                                      </w:divBdr>
                                      <w:divsChild>
                                        <w:div w:id="1603105541">
                                          <w:marLeft w:val="0"/>
                                          <w:marRight w:val="0"/>
                                          <w:marTop w:val="0"/>
                                          <w:marBottom w:val="0"/>
                                          <w:divBdr>
                                            <w:top w:val="none" w:sz="0" w:space="0" w:color="auto"/>
                                            <w:left w:val="none" w:sz="0" w:space="0" w:color="auto"/>
                                            <w:bottom w:val="none" w:sz="0" w:space="0" w:color="auto"/>
                                            <w:right w:val="none" w:sz="0" w:space="0" w:color="auto"/>
                                          </w:divBdr>
                                          <w:divsChild>
                                            <w:div w:id="1126779044">
                                              <w:marLeft w:val="165"/>
                                              <w:marRight w:val="165"/>
                                              <w:marTop w:val="0"/>
                                              <w:marBottom w:val="0"/>
                                              <w:divBdr>
                                                <w:top w:val="none" w:sz="0" w:space="0" w:color="auto"/>
                                                <w:left w:val="none" w:sz="0" w:space="0" w:color="auto"/>
                                                <w:bottom w:val="none" w:sz="0" w:space="0" w:color="auto"/>
                                                <w:right w:val="none" w:sz="0" w:space="0" w:color="auto"/>
                                              </w:divBdr>
                                              <w:divsChild>
                                                <w:div w:id="1072392121">
                                                  <w:marLeft w:val="0"/>
                                                  <w:marRight w:val="0"/>
                                                  <w:marTop w:val="0"/>
                                                  <w:marBottom w:val="0"/>
                                                  <w:divBdr>
                                                    <w:top w:val="none" w:sz="0" w:space="0" w:color="auto"/>
                                                    <w:left w:val="none" w:sz="0" w:space="0" w:color="auto"/>
                                                    <w:bottom w:val="none" w:sz="0" w:space="0" w:color="auto"/>
                                                    <w:right w:val="none" w:sz="0" w:space="0" w:color="auto"/>
                                                  </w:divBdr>
                                                </w:div>
                                                <w:div w:id="168940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3584926">
      <w:bodyDiv w:val="1"/>
      <w:marLeft w:val="0"/>
      <w:marRight w:val="0"/>
      <w:marTop w:val="0"/>
      <w:marBottom w:val="0"/>
      <w:divBdr>
        <w:top w:val="none" w:sz="0" w:space="0" w:color="auto"/>
        <w:left w:val="none" w:sz="0" w:space="0" w:color="auto"/>
        <w:bottom w:val="none" w:sz="0" w:space="0" w:color="auto"/>
        <w:right w:val="none" w:sz="0" w:space="0" w:color="auto"/>
      </w:divBdr>
    </w:div>
    <w:div w:id="1636914717">
      <w:bodyDiv w:val="1"/>
      <w:marLeft w:val="0"/>
      <w:marRight w:val="0"/>
      <w:marTop w:val="0"/>
      <w:marBottom w:val="0"/>
      <w:divBdr>
        <w:top w:val="none" w:sz="0" w:space="0" w:color="auto"/>
        <w:left w:val="none" w:sz="0" w:space="0" w:color="auto"/>
        <w:bottom w:val="none" w:sz="0" w:space="0" w:color="auto"/>
        <w:right w:val="none" w:sz="0" w:space="0" w:color="auto"/>
      </w:divBdr>
    </w:div>
    <w:div w:id="1644777686">
      <w:bodyDiv w:val="1"/>
      <w:marLeft w:val="0"/>
      <w:marRight w:val="0"/>
      <w:marTop w:val="0"/>
      <w:marBottom w:val="0"/>
      <w:divBdr>
        <w:top w:val="none" w:sz="0" w:space="0" w:color="auto"/>
        <w:left w:val="none" w:sz="0" w:space="0" w:color="auto"/>
        <w:bottom w:val="none" w:sz="0" w:space="0" w:color="auto"/>
        <w:right w:val="none" w:sz="0" w:space="0" w:color="auto"/>
      </w:divBdr>
    </w:div>
    <w:div w:id="1670711242">
      <w:bodyDiv w:val="1"/>
      <w:marLeft w:val="0"/>
      <w:marRight w:val="0"/>
      <w:marTop w:val="0"/>
      <w:marBottom w:val="0"/>
      <w:divBdr>
        <w:top w:val="none" w:sz="0" w:space="0" w:color="auto"/>
        <w:left w:val="none" w:sz="0" w:space="0" w:color="auto"/>
        <w:bottom w:val="none" w:sz="0" w:space="0" w:color="auto"/>
        <w:right w:val="none" w:sz="0" w:space="0" w:color="auto"/>
      </w:divBdr>
      <w:divsChild>
        <w:div w:id="1870215815">
          <w:marLeft w:val="0"/>
          <w:marRight w:val="0"/>
          <w:marTop w:val="0"/>
          <w:marBottom w:val="0"/>
          <w:divBdr>
            <w:top w:val="none" w:sz="0" w:space="0" w:color="auto"/>
            <w:left w:val="none" w:sz="0" w:space="0" w:color="auto"/>
            <w:bottom w:val="none" w:sz="0" w:space="0" w:color="auto"/>
            <w:right w:val="none" w:sz="0" w:space="0" w:color="auto"/>
          </w:divBdr>
        </w:div>
      </w:divsChild>
    </w:div>
    <w:div w:id="1697658987">
      <w:bodyDiv w:val="1"/>
      <w:marLeft w:val="0"/>
      <w:marRight w:val="0"/>
      <w:marTop w:val="0"/>
      <w:marBottom w:val="0"/>
      <w:divBdr>
        <w:top w:val="none" w:sz="0" w:space="0" w:color="auto"/>
        <w:left w:val="none" w:sz="0" w:space="0" w:color="auto"/>
        <w:bottom w:val="none" w:sz="0" w:space="0" w:color="auto"/>
        <w:right w:val="none" w:sz="0" w:space="0" w:color="auto"/>
      </w:divBdr>
      <w:divsChild>
        <w:div w:id="868495376">
          <w:marLeft w:val="0"/>
          <w:marRight w:val="0"/>
          <w:marTop w:val="0"/>
          <w:marBottom w:val="0"/>
          <w:divBdr>
            <w:top w:val="none" w:sz="0" w:space="0" w:color="auto"/>
            <w:left w:val="none" w:sz="0" w:space="0" w:color="auto"/>
            <w:bottom w:val="none" w:sz="0" w:space="0" w:color="auto"/>
            <w:right w:val="none" w:sz="0" w:space="0" w:color="auto"/>
          </w:divBdr>
          <w:divsChild>
            <w:div w:id="1546218725">
              <w:marLeft w:val="0"/>
              <w:marRight w:val="0"/>
              <w:marTop w:val="0"/>
              <w:marBottom w:val="0"/>
              <w:divBdr>
                <w:top w:val="none" w:sz="0" w:space="0" w:color="auto"/>
                <w:left w:val="none" w:sz="0" w:space="0" w:color="auto"/>
                <w:bottom w:val="none" w:sz="0" w:space="0" w:color="auto"/>
                <w:right w:val="none" w:sz="0" w:space="0" w:color="auto"/>
              </w:divBdr>
              <w:divsChild>
                <w:div w:id="393548927">
                  <w:marLeft w:val="0"/>
                  <w:marRight w:val="0"/>
                  <w:marTop w:val="0"/>
                  <w:marBottom w:val="0"/>
                  <w:divBdr>
                    <w:top w:val="none" w:sz="0" w:space="0" w:color="auto"/>
                    <w:left w:val="none" w:sz="0" w:space="0" w:color="auto"/>
                    <w:bottom w:val="none" w:sz="0" w:space="0" w:color="auto"/>
                    <w:right w:val="none" w:sz="0" w:space="0" w:color="auto"/>
                  </w:divBdr>
                  <w:divsChild>
                    <w:div w:id="1578054627">
                      <w:marLeft w:val="0"/>
                      <w:marRight w:val="0"/>
                      <w:marTop w:val="0"/>
                      <w:marBottom w:val="0"/>
                      <w:divBdr>
                        <w:top w:val="none" w:sz="0" w:space="0" w:color="auto"/>
                        <w:left w:val="none" w:sz="0" w:space="0" w:color="auto"/>
                        <w:bottom w:val="none" w:sz="0" w:space="0" w:color="auto"/>
                        <w:right w:val="none" w:sz="0" w:space="0" w:color="auto"/>
                      </w:divBdr>
                      <w:divsChild>
                        <w:div w:id="1684088290">
                          <w:marLeft w:val="0"/>
                          <w:marRight w:val="0"/>
                          <w:marTop w:val="0"/>
                          <w:marBottom w:val="0"/>
                          <w:divBdr>
                            <w:top w:val="none" w:sz="0" w:space="0" w:color="auto"/>
                            <w:left w:val="none" w:sz="0" w:space="0" w:color="auto"/>
                            <w:bottom w:val="none" w:sz="0" w:space="0" w:color="auto"/>
                            <w:right w:val="none" w:sz="0" w:space="0" w:color="auto"/>
                          </w:divBdr>
                          <w:divsChild>
                            <w:div w:id="351959158">
                              <w:marLeft w:val="0"/>
                              <w:marRight w:val="0"/>
                              <w:marTop w:val="0"/>
                              <w:marBottom w:val="0"/>
                              <w:divBdr>
                                <w:top w:val="none" w:sz="0" w:space="0" w:color="auto"/>
                                <w:left w:val="none" w:sz="0" w:space="0" w:color="auto"/>
                                <w:bottom w:val="none" w:sz="0" w:space="0" w:color="auto"/>
                                <w:right w:val="none" w:sz="0" w:space="0" w:color="auto"/>
                              </w:divBdr>
                              <w:divsChild>
                                <w:div w:id="733547818">
                                  <w:marLeft w:val="0"/>
                                  <w:marRight w:val="0"/>
                                  <w:marTop w:val="0"/>
                                  <w:marBottom w:val="0"/>
                                  <w:divBdr>
                                    <w:top w:val="none" w:sz="0" w:space="0" w:color="auto"/>
                                    <w:left w:val="none" w:sz="0" w:space="0" w:color="auto"/>
                                    <w:bottom w:val="none" w:sz="0" w:space="0" w:color="auto"/>
                                    <w:right w:val="none" w:sz="0" w:space="0" w:color="auto"/>
                                  </w:divBdr>
                                  <w:divsChild>
                                    <w:div w:id="973414106">
                                      <w:marLeft w:val="0"/>
                                      <w:marRight w:val="0"/>
                                      <w:marTop w:val="0"/>
                                      <w:marBottom w:val="0"/>
                                      <w:divBdr>
                                        <w:top w:val="none" w:sz="0" w:space="0" w:color="auto"/>
                                        <w:left w:val="none" w:sz="0" w:space="0" w:color="auto"/>
                                        <w:bottom w:val="none" w:sz="0" w:space="0" w:color="auto"/>
                                        <w:right w:val="none" w:sz="0" w:space="0" w:color="auto"/>
                                      </w:divBdr>
                                      <w:divsChild>
                                        <w:div w:id="1307390197">
                                          <w:marLeft w:val="0"/>
                                          <w:marRight w:val="0"/>
                                          <w:marTop w:val="0"/>
                                          <w:marBottom w:val="0"/>
                                          <w:divBdr>
                                            <w:top w:val="none" w:sz="0" w:space="0" w:color="auto"/>
                                            <w:left w:val="none" w:sz="0" w:space="0" w:color="auto"/>
                                            <w:bottom w:val="none" w:sz="0" w:space="0" w:color="auto"/>
                                            <w:right w:val="none" w:sz="0" w:space="0" w:color="auto"/>
                                          </w:divBdr>
                                          <w:divsChild>
                                            <w:div w:id="1624775233">
                                              <w:marLeft w:val="0"/>
                                              <w:marRight w:val="0"/>
                                              <w:marTop w:val="0"/>
                                              <w:marBottom w:val="0"/>
                                              <w:divBdr>
                                                <w:top w:val="none" w:sz="0" w:space="0" w:color="auto"/>
                                                <w:left w:val="none" w:sz="0" w:space="0" w:color="auto"/>
                                                <w:bottom w:val="none" w:sz="0" w:space="0" w:color="auto"/>
                                                <w:right w:val="none" w:sz="0" w:space="0" w:color="auto"/>
                                              </w:divBdr>
                                              <w:divsChild>
                                                <w:div w:id="953945375">
                                                  <w:marLeft w:val="0"/>
                                                  <w:marRight w:val="0"/>
                                                  <w:marTop w:val="0"/>
                                                  <w:marBottom w:val="0"/>
                                                  <w:divBdr>
                                                    <w:top w:val="none" w:sz="0" w:space="0" w:color="auto"/>
                                                    <w:left w:val="none" w:sz="0" w:space="0" w:color="auto"/>
                                                    <w:bottom w:val="none" w:sz="0" w:space="0" w:color="auto"/>
                                                    <w:right w:val="none" w:sz="0" w:space="0" w:color="auto"/>
                                                  </w:divBdr>
                                                  <w:divsChild>
                                                    <w:div w:id="1825780671">
                                                      <w:marLeft w:val="0"/>
                                                      <w:marRight w:val="0"/>
                                                      <w:marTop w:val="0"/>
                                                      <w:marBottom w:val="0"/>
                                                      <w:divBdr>
                                                        <w:top w:val="none" w:sz="0" w:space="0" w:color="auto"/>
                                                        <w:left w:val="none" w:sz="0" w:space="0" w:color="auto"/>
                                                        <w:bottom w:val="none" w:sz="0" w:space="0" w:color="auto"/>
                                                        <w:right w:val="none" w:sz="0" w:space="0" w:color="auto"/>
                                                      </w:divBdr>
                                                      <w:divsChild>
                                                        <w:div w:id="1689601659">
                                                          <w:marLeft w:val="0"/>
                                                          <w:marRight w:val="0"/>
                                                          <w:marTop w:val="0"/>
                                                          <w:marBottom w:val="0"/>
                                                          <w:divBdr>
                                                            <w:top w:val="none" w:sz="0" w:space="0" w:color="auto"/>
                                                            <w:left w:val="none" w:sz="0" w:space="0" w:color="auto"/>
                                                            <w:bottom w:val="none" w:sz="0" w:space="0" w:color="auto"/>
                                                            <w:right w:val="none" w:sz="0" w:space="0" w:color="auto"/>
                                                          </w:divBdr>
                                                          <w:divsChild>
                                                            <w:div w:id="1864784491">
                                                              <w:marLeft w:val="0"/>
                                                              <w:marRight w:val="0"/>
                                                              <w:marTop w:val="0"/>
                                                              <w:marBottom w:val="0"/>
                                                              <w:divBdr>
                                                                <w:top w:val="none" w:sz="0" w:space="0" w:color="auto"/>
                                                                <w:left w:val="none" w:sz="0" w:space="0" w:color="auto"/>
                                                                <w:bottom w:val="none" w:sz="0" w:space="0" w:color="auto"/>
                                                                <w:right w:val="none" w:sz="0" w:space="0" w:color="auto"/>
                                                              </w:divBdr>
                                                              <w:divsChild>
                                                                <w:div w:id="309678108">
                                                                  <w:marLeft w:val="0"/>
                                                                  <w:marRight w:val="0"/>
                                                                  <w:marTop w:val="0"/>
                                                                  <w:marBottom w:val="0"/>
                                                                  <w:divBdr>
                                                                    <w:top w:val="none" w:sz="0" w:space="0" w:color="auto"/>
                                                                    <w:left w:val="none" w:sz="0" w:space="0" w:color="auto"/>
                                                                    <w:bottom w:val="none" w:sz="0" w:space="0" w:color="auto"/>
                                                                    <w:right w:val="none" w:sz="0" w:space="0" w:color="auto"/>
                                                                  </w:divBdr>
                                                                  <w:divsChild>
                                                                    <w:div w:id="549540553">
                                                                      <w:marLeft w:val="0"/>
                                                                      <w:marRight w:val="0"/>
                                                                      <w:marTop w:val="0"/>
                                                                      <w:marBottom w:val="0"/>
                                                                      <w:divBdr>
                                                                        <w:top w:val="none" w:sz="0" w:space="0" w:color="auto"/>
                                                                        <w:left w:val="none" w:sz="0" w:space="0" w:color="auto"/>
                                                                        <w:bottom w:val="none" w:sz="0" w:space="0" w:color="auto"/>
                                                                        <w:right w:val="none" w:sz="0" w:space="0" w:color="auto"/>
                                                                      </w:divBdr>
                                                                      <w:divsChild>
                                                                        <w:div w:id="34739592">
                                                                          <w:marLeft w:val="0"/>
                                                                          <w:marRight w:val="0"/>
                                                                          <w:marTop w:val="0"/>
                                                                          <w:marBottom w:val="0"/>
                                                                          <w:divBdr>
                                                                            <w:top w:val="none" w:sz="0" w:space="0" w:color="auto"/>
                                                                            <w:left w:val="none" w:sz="0" w:space="0" w:color="auto"/>
                                                                            <w:bottom w:val="none" w:sz="0" w:space="0" w:color="auto"/>
                                                                            <w:right w:val="none" w:sz="0" w:space="0" w:color="auto"/>
                                                                          </w:divBdr>
                                                                          <w:divsChild>
                                                                            <w:div w:id="58893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2680275">
      <w:bodyDiv w:val="1"/>
      <w:marLeft w:val="0"/>
      <w:marRight w:val="0"/>
      <w:marTop w:val="0"/>
      <w:marBottom w:val="0"/>
      <w:divBdr>
        <w:top w:val="none" w:sz="0" w:space="0" w:color="auto"/>
        <w:left w:val="none" w:sz="0" w:space="0" w:color="auto"/>
        <w:bottom w:val="none" w:sz="0" w:space="0" w:color="auto"/>
        <w:right w:val="none" w:sz="0" w:space="0" w:color="auto"/>
      </w:divBdr>
    </w:div>
    <w:div w:id="1768771362">
      <w:bodyDiv w:val="1"/>
      <w:marLeft w:val="0"/>
      <w:marRight w:val="0"/>
      <w:marTop w:val="0"/>
      <w:marBottom w:val="0"/>
      <w:divBdr>
        <w:top w:val="none" w:sz="0" w:space="0" w:color="auto"/>
        <w:left w:val="none" w:sz="0" w:space="0" w:color="auto"/>
        <w:bottom w:val="none" w:sz="0" w:space="0" w:color="auto"/>
        <w:right w:val="none" w:sz="0" w:space="0" w:color="auto"/>
      </w:divBdr>
    </w:div>
    <w:div w:id="1790079658">
      <w:bodyDiv w:val="1"/>
      <w:marLeft w:val="0"/>
      <w:marRight w:val="0"/>
      <w:marTop w:val="0"/>
      <w:marBottom w:val="0"/>
      <w:divBdr>
        <w:top w:val="none" w:sz="0" w:space="0" w:color="auto"/>
        <w:left w:val="none" w:sz="0" w:space="0" w:color="auto"/>
        <w:bottom w:val="none" w:sz="0" w:space="0" w:color="auto"/>
        <w:right w:val="none" w:sz="0" w:space="0" w:color="auto"/>
      </w:divBdr>
    </w:div>
    <w:div w:id="1840077008">
      <w:bodyDiv w:val="1"/>
      <w:marLeft w:val="0"/>
      <w:marRight w:val="0"/>
      <w:marTop w:val="0"/>
      <w:marBottom w:val="0"/>
      <w:divBdr>
        <w:top w:val="none" w:sz="0" w:space="0" w:color="auto"/>
        <w:left w:val="none" w:sz="0" w:space="0" w:color="auto"/>
        <w:bottom w:val="none" w:sz="0" w:space="0" w:color="auto"/>
        <w:right w:val="none" w:sz="0" w:space="0" w:color="auto"/>
      </w:divBdr>
      <w:divsChild>
        <w:div w:id="5520658">
          <w:marLeft w:val="0"/>
          <w:marRight w:val="0"/>
          <w:marTop w:val="0"/>
          <w:marBottom w:val="0"/>
          <w:divBdr>
            <w:top w:val="single" w:sz="2" w:space="0" w:color="2E2E2E"/>
            <w:left w:val="single" w:sz="2" w:space="0" w:color="2E2E2E"/>
            <w:bottom w:val="single" w:sz="2" w:space="0" w:color="2E2E2E"/>
            <w:right w:val="single" w:sz="2" w:space="0" w:color="2E2E2E"/>
          </w:divBdr>
          <w:divsChild>
            <w:div w:id="1663579573">
              <w:marLeft w:val="0"/>
              <w:marRight w:val="0"/>
              <w:marTop w:val="0"/>
              <w:marBottom w:val="0"/>
              <w:divBdr>
                <w:top w:val="single" w:sz="6" w:space="0" w:color="C9C9C9"/>
                <w:left w:val="none" w:sz="0" w:space="0" w:color="auto"/>
                <w:bottom w:val="none" w:sz="0" w:space="0" w:color="auto"/>
                <w:right w:val="none" w:sz="0" w:space="0" w:color="auto"/>
              </w:divBdr>
              <w:divsChild>
                <w:div w:id="352608339">
                  <w:marLeft w:val="0"/>
                  <w:marRight w:val="0"/>
                  <w:marTop w:val="0"/>
                  <w:marBottom w:val="0"/>
                  <w:divBdr>
                    <w:top w:val="none" w:sz="0" w:space="0" w:color="auto"/>
                    <w:left w:val="none" w:sz="0" w:space="0" w:color="auto"/>
                    <w:bottom w:val="none" w:sz="0" w:space="0" w:color="auto"/>
                    <w:right w:val="none" w:sz="0" w:space="0" w:color="auto"/>
                  </w:divBdr>
                  <w:divsChild>
                    <w:div w:id="619604803">
                      <w:marLeft w:val="0"/>
                      <w:marRight w:val="0"/>
                      <w:marTop w:val="0"/>
                      <w:marBottom w:val="0"/>
                      <w:divBdr>
                        <w:top w:val="none" w:sz="0" w:space="0" w:color="auto"/>
                        <w:left w:val="none" w:sz="0" w:space="0" w:color="auto"/>
                        <w:bottom w:val="none" w:sz="0" w:space="0" w:color="auto"/>
                        <w:right w:val="none" w:sz="0" w:space="0" w:color="auto"/>
                      </w:divBdr>
                      <w:divsChild>
                        <w:div w:id="149094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211276">
      <w:bodyDiv w:val="1"/>
      <w:marLeft w:val="0"/>
      <w:marRight w:val="0"/>
      <w:marTop w:val="0"/>
      <w:marBottom w:val="0"/>
      <w:divBdr>
        <w:top w:val="none" w:sz="0" w:space="0" w:color="auto"/>
        <w:left w:val="none" w:sz="0" w:space="0" w:color="auto"/>
        <w:bottom w:val="none" w:sz="0" w:space="0" w:color="auto"/>
        <w:right w:val="none" w:sz="0" w:space="0" w:color="auto"/>
      </w:divBdr>
    </w:div>
    <w:div w:id="2050835606">
      <w:bodyDiv w:val="1"/>
      <w:marLeft w:val="0"/>
      <w:marRight w:val="0"/>
      <w:marTop w:val="0"/>
      <w:marBottom w:val="0"/>
      <w:divBdr>
        <w:top w:val="none" w:sz="0" w:space="0" w:color="auto"/>
        <w:left w:val="none" w:sz="0" w:space="0" w:color="auto"/>
        <w:bottom w:val="none" w:sz="0" w:space="0" w:color="auto"/>
        <w:right w:val="none" w:sz="0" w:space="0" w:color="auto"/>
      </w:divBdr>
      <w:divsChild>
        <w:div w:id="712079488">
          <w:marLeft w:val="0"/>
          <w:marRight w:val="0"/>
          <w:marTop w:val="0"/>
          <w:marBottom w:val="0"/>
          <w:divBdr>
            <w:top w:val="none" w:sz="0" w:space="0" w:color="auto"/>
            <w:left w:val="none" w:sz="0" w:space="0" w:color="auto"/>
            <w:bottom w:val="none" w:sz="0" w:space="0" w:color="auto"/>
            <w:right w:val="none" w:sz="0" w:space="0" w:color="auto"/>
          </w:divBdr>
          <w:divsChild>
            <w:div w:id="34963109">
              <w:marLeft w:val="0"/>
              <w:marRight w:val="0"/>
              <w:marTop w:val="0"/>
              <w:marBottom w:val="0"/>
              <w:divBdr>
                <w:top w:val="none" w:sz="0" w:space="0" w:color="auto"/>
                <w:left w:val="none" w:sz="0" w:space="0" w:color="auto"/>
                <w:bottom w:val="none" w:sz="0" w:space="0" w:color="auto"/>
                <w:right w:val="none" w:sz="0" w:space="0" w:color="auto"/>
              </w:divBdr>
              <w:divsChild>
                <w:div w:id="121654874">
                  <w:marLeft w:val="0"/>
                  <w:marRight w:val="0"/>
                  <w:marTop w:val="0"/>
                  <w:marBottom w:val="0"/>
                  <w:divBdr>
                    <w:top w:val="none" w:sz="0" w:space="0" w:color="auto"/>
                    <w:left w:val="none" w:sz="0" w:space="0" w:color="auto"/>
                    <w:bottom w:val="none" w:sz="0" w:space="0" w:color="auto"/>
                    <w:right w:val="none" w:sz="0" w:space="0" w:color="auto"/>
                  </w:divBdr>
                  <w:divsChild>
                    <w:div w:id="266542342">
                      <w:marLeft w:val="0"/>
                      <w:marRight w:val="0"/>
                      <w:marTop w:val="0"/>
                      <w:marBottom w:val="0"/>
                      <w:divBdr>
                        <w:top w:val="none" w:sz="0" w:space="0" w:color="auto"/>
                        <w:left w:val="none" w:sz="0" w:space="0" w:color="auto"/>
                        <w:bottom w:val="none" w:sz="0" w:space="0" w:color="auto"/>
                        <w:right w:val="none" w:sz="0" w:space="0" w:color="auto"/>
                      </w:divBdr>
                      <w:divsChild>
                        <w:div w:id="141512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681206">
      <w:bodyDiv w:val="1"/>
      <w:marLeft w:val="0"/>
      <w:marRight w:val="0"/>
      <w:marTop w:val="0"/>
      <w:marBottom w:val="0"/>
      <w:divBdr>
        <w:top w:val="none" w:sz="0" w:space="0" w:color="auto"/>
        <w:left w:val="none" w:sz="0" w:space="0" w:color="auto"/>
        <w:bottom w:val="none" w:sz="0" w:space="0" w:color="auto"/>
        <w:right w:val="none" w:sz="0" w:space="0" w:color="auto"/>
      </w:divBdr>
    </w:div>
    <w:div w:id="2107341909">
      <w:bodyDiv w:val="1"/>
      <w:marLeft w:val="0"/>
      <w:marRight w:val="0"/>
      <w:marTop w:val="0"/>
      <w:marBottom w:val="0"/>
      <w:divBdr>
        <w:top w:val="none" w:sz="0" w:space="0" w:color="auto"/>
        <w:left w:val="none" w:sz="0" w:space="0" w:color="auto"/>
        <w:bottom w:val="none" w:sz="0" w:space="0" w:color="auto"/>
        <w:right w:val="none" w:sz="0" w:space="0" w:color="auto"/>
      </w:divBdr>
    </w:div>
    <w:div w:id="21433023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animalhealthaustralia.com.au/wp-content/uploads/2016/08/AqEADRA_FAQs-July-2015.pdf" TargetMode="External"/><Relationship Id="rId21" Type="http://schemas.openxmlformats.org/officeDocument/2006/relationships/image" Target="media/image5.jpeg"/><Relationship Id="rId42" Type="http://schemas.openxmlformats.org/officeDocument/2006/relationships/image" Target="media/image23.png"/><Relationship Id="rId63" Type="http://schemas.openxmlformats.org/officeDocument/2006/relationships/hyperlink" Target="http://www.agriculture.gov.au/SiteCollectionDocuments/ba/memos/2000/animal/00-041a.pdf" TargetMode="External"/><Relationship Id="rId84" Type="http://schemas.openxmlformats.org/officeDocument/2006/relationships/hyperlink" Target="http://www.sciencedirect.com/science/article/pii/S0044848613001385" TargetMode="External"/><Relationship Id="rId138" Type="http://schemas.openxmlformats.org/officeDocument/2006/relationships/hyperlink" Target="http://parlinfo.aph.gov.au/parlInfo/download/committees/estimate/882f0fee-3124-41a3-8033-897ce6c3c54b/toc_pdf/Rural%20and%20Regional%20Affairs%20and%20Transport%20Legislation%20Committee_2017_05_24_5113_Official.pdf;fileType=application%2Fpdf" TargetMode="External"/><Relationship Id="rId159" Type="http://schemas.openxmlformats.org/officeDocument/2006/relationships/hyperlink" Target="http://parlinfo.aph.gov.au/parlInfo/download/committees/commsen/32c40105-6291-4ea9-8785-83b179bc8713/toc_pdf/Rural%20and%20Regional%20Affairs%20and%20Transport%20References%20Committee_2017_03_28_4916_Official.pdf;fileType=application%2Fpdf" TargetMode="External"/><Relationship Id="rId170" Type="http://schemas.openxmlformats.org/officeDocument/2006/relationships/hyperlink" Target="http://www.aic.gov.au/publications/current%20series/tandi/221-240/tandi225.html" TargetMode="External"/><Relationship Id="rId191" Type="http://schemas.openxmlformats.org/officeDocument/2006/relationships/hyperlink" Target="http://www.sciencedirect.com/science/article/pii/S0890850806000119?via%3Dihub" TargetMode="External"/><Relationship Id="rId205" Type="http://schemas.openxmlformats.org/officeDocument/2006/relationships/hyperlink" Target="http://onlinelibrary.wiley.com/doi/10.1111/j.1365-2761.2007.00869.x/abstract?systemMessage=Wiley+Online+Library+usage+report+download+page+will+be+unavailable+on+Friday+24th+November+2017+at+21%3A00+EST+%2F+02.00+GMT+%2F+10%3A00+SGT+%28Saturday+25" TargetMode="External"/><Relationship Id="rId107" Type="http://schemas.openxmlformats.org/officeDocument/2006/relationships/hyperlink" Target="https://www.ncbi.nlm.nih.gov/pubmed/22434000" TargetMode="External"/><Relationship Id="rId11" Type="http://schemas.openxmlformats.org/officeDocument/2006/relationships/hyperlink" Target="mailto:copyright@agriculture.gov.au" TargetMode="External"/><Relationship Id="rId32" Type="http://schemas.openxmlformats.org/officeDocument/2006/relationships/image" Target="media/image14.jpeg"/><Relationship Id="rId53" Type="http://schemas.openxmlformats.org/officeDocument/2006/relationships/hyperlink" Target="http://frdc.com.au/Archived-Reports/FRDC%20Projects/2016-064-DLD.PDF" TargetMode="External"/><Relationship Id="rId74" Type="http://schemas.openxmlformats.org/officeDocument/2006/relationships/hyperlink" Target="http://www.agriculture.gov.au/biosecurity/avm/vessels/ballast/australian-ballast-water-management-requirements" TargetMode="External"/><Relationship Id="rId128" Type="http://schemas.openxmlformats.org/officeDocument/2006/relationships/hyperlink" Target="http://www.agriculture.gov.au/SiteCollectionDocuments/ba/memos/2007/animal/2007_13.pdf" TargetMode="External"/><Relationship Id="rId149" Type="http://schemas.openxmlformats.org/officeDocument/2006/relationships/hyperlink" Target="http://onlinelibrary.wiley.com/doi/10.1111/j.1472-765X.2011.03026.x/abstract?systemMessage=Wiley+Online+Library+usage+report+download+page+will+be+unavailable+on+Friday+24th+November+2017+at+21%3A00+EST+%2F+02.00+GMT+%2F+10%3A00+SGT+%28Saturday+25" TargetMode="External"/><Relationship Id="rId5" Type="http://schemas.openxmlformats.org/officeDocument/2006/relationships/webSettings" Target="webSettings.xml"/><Relationship Id="rId95" Type="http://schemas.openxmlformats.org/officeDocument/2006/relationships/hyperlink" Target="http://www.sciencedirect.com/science/article/pii/S0044848609002324" TargetMode="External"/><Relationship Id="rId160" Type="http://schemas.openxmlformats.org/officeDocument/2006/relationships/hyperlink" Target="http://parlinfo.aph.gov.au/parlInfo/download/committees/estimate/882f0fee-3124-41a3-8033-897ce6c3c54b/toc_pdf/Rural%20and%20Regional%20Affairs%20and%20Transport%20Legislation%20Committee_2017_05_24_5113_Official.pdf;fileType=application%2Fpdf" TargetMode="External"/><Relationship Id="rId181" Type="http://schemas.openxmlformats.org/officeDocument/2006/relationships/hyperlink" Target="http://parlinfo.aph.gov.au/parlInfo/download/committees/estimate/d361919c-f8bb-4b70-a648-2e034c1d4d98/toc_pdf/Rural%20and%20Regional%20Affairs%20and%20Transport%20Legislation%20Committee_2017_02_28_4781_Official.pdf;fileType=application%2Fpdf" TargetMode="External"/><Relationship Id="rId216" Type="http://schemas.openxmlformats.org/officeDocument/2006/relationships/hyperlink" Target="http://www.fish.wa.gov.au/Education-and-Partnerships/Education/Pages/default.aspx" TargetMode="External"/><Relationship Id="rId22" Type="http://schemas.openxmlformats.org/officeDocument/2006/relationships/image" Target="media/image6.jpeg"/><Relationship Id="rId43" Type="http://schemas.openxmlformats.org/officeDocument/2006/relationships/image" Target="media/image24.png"/><Relationship Id="rId64" Type="http://schemas.openxmlformats.org/officeDocument/2006/relationships/hyperlink" Target="http://www.agriculture.gov.au/SiteCollectionDocuments/ba/animal/prawn-submissions/thaifeedmillreport.pdf" TargetMode="External"/><Relationship Id="rId118" Type="http://schemas.openxmlformats.org/officeDocument/2006/relationships/hyperlink" Target="http://www.agriculture.gov.au/SiteCollectionDocuments/biosecurity/partnerships/nbc/priorities-for-aus-bio-system.pdf" TargetMode="External"/><Relationship Id="rId139" Type="http://schemas.openxmlformats.org/officeDocument/2006/relationships/hyperlink" Target="http://onlinelibrary.wiley.com/doi/10.1111/jwas.12394/abstract" TargetMode="External"/><Relationship Id="rId85" Type="http://schemas.openxmlformats.org/officeDocument/2006/relationships/hyperlink" Target="http://seafarms.com.au/seafarms-history/" TargetMode="External"/><Relationship Id="rId150" Type="http://schemas.openxmlformats.org/officeDocument/2006/relationships/hyperlink" Target="https://academic.oup.com/jid/article/191/9/1472/862003" TargetMode="External"/><Relationship Id="rId171" Type="http://schemas.openxmlformats.org/officeDocument/2006/relationships/hyperlink" Target="http://econweb.umd.edu/~davis/eventpapers./JinImperfectionHuman.pdf" TargetMode="External"/><Relationship Id="rId192" Type="http://schemas.openxmlformats.org/officeDocument/2006/relationships/hyperlink" Target="http://frdc.com.au/Archived-Reports/FRDC%20Projects/2012-001-DLD.pdf" TargetMode="External"/><Relationship Id="rId206" Type="http://schemas.openxmlformats.org/officeDocument/2006/relationships/hyperlink" Target="http://onlinelibrary.wiley.com/doi/10.1111/j.1365-2761.2011.01241.x/abstract?systemMessage=Wiley+Online+Library+usage+report+download+page+will+be+unavailable+on+Friday+24th+November+2017+at+21%3A00+EST+%2F+02.00+GMT+%2F+10%3A00+SGT+%28Saturday+25" TargetMode="External"/><Relationship Id="rId12" Type="http://schemas.openxmlformats.org/officeDocument/2006/relationships/image" Target="media/image3.png"/><Relationship Id="rId33" Type="http://schemas.openxmlformats.org/officeDocument/2006/relationships/hyperlink" Target="http://www.agriculture.gov.au/biosecurity/emergency/nebra" TargetMode="External"/><Relationship Id="rId108" Type="http://schemas.openxmlformats.org/officeDocument/2006/relationships/hyperlink" Target="http://www.sciencedirect.com/science/article/pii/S0044848616309310" TargetMode="External"/><Relationship Id="rId129" Type="http://schemas.openxmlformats.org/officeDocument/2006/relationships/hyperlink" Target="http://www.agriculture.gov.au/SiteCollectionDocuments/ba/memos/2007/animal/2007_16.pdf" TargetMode="External"/><Relationship Id="rId54" Type="http://schemas.openxmlformats.org/officeDocument/2006/relationships/hyperlink" Target="http://www.agriculture.gov.au/animal/aquatic/aquavetplan/white-spot" TargetMode="External"/><Relationship Id="rId75" Type="http://schemas.openxmlformats.org/officeDocument/2006/relationships/hyperlink" Target="https://www.ncbi.nlm.nih.gov/pubmed/16948707" TargetMode="External"/><Relationship Id="rId96" Type="http://schemas.openxmlformats.org/officeDocument/2006/relationships/hyperlink" Target="http://www.oie.int/index.php?id=2439&amp;L=0&amp;htmfile=chapitre_wsd.htm" TargetMode="External"/><Relationship Id="rId140" Type="http://schemas.openxmlformats.org/officeDocument/2006/relationships/hyperlink" Target="http://www.oie.int/index.php?id=171&amp;L=0&amp;htmfile=chapitre_aqua_ani_surveillance.htm" TargetMode="External"/><Relationship Id="rId161" Type="http://schemas.openxmlformats.org/officeDocument/2006/relationships/hyperlink" Target="http://www.agriculture.gov.au/import/industry-advice/2017/02-2017" TargetMode="External"/><Relationship Id="rId182" Type="http://schemas.openxmlformats.org/officeDocument/2006/relationships/hyperlink" Target="http://www.agriculture.gov.au/biosecurity/partnerships/nbc/intergovernmental-agreement-on-biosecurity/national-engagement-communication-framework" TargetMode="External"/><Relationship Id="rId217" Type="http://schemas.openxmlformats.org/officeDocument/2006/relationships/hyperlink" Target="https://vfa.vic.gov.au/recreational-fishing/recreational-fishing-grants-program/recreational-fishing-licence-trust-account-2011/enforcement-and-education" TargetMode="External"/><Relationship Id="rId6" Type="http://schemas.openxmlformats.org/officeDocument/2006/relationships/footnotes" Target="footnotes.xml"/><Relationship Id="rId23" Type="http://schemas.openxmlformats.org/officeDocument/2006/relationships/hyperlink" Target="https://www.daf.qld.gov.au/__data/assets/pdf_file/0005/1016339/Movement-control-order.pdf" TargetMode="External"/><Relationship Id="rId119" Type="http://schemas.openxmlformats.org/officeDocument/2006/relationships/hyperlink" Target="http://www.sciencedirect.com/science/article/pii/S0044848609001434" TargetMode="External"/><Relationship Id="rId44" Type="http://schemas.openxmlformats.org/officeDocument/2006/relationships/image" Target="media/image25.png"/><Relationship Id="rId65" Type="http://schemas.openxmlformats.org/officeDocument/2006/relationships/hyperlink" Target="http://onlinelibrary.wiley.com/doi/10.1046/j.1355-557x.2001.00029.x/abstract" TargetMode="External"/><Relationship Id="rId86" Type="http://schemas.openxmlformats.org/officeDocument/2006/relationships/hyperlink" Target="http://www.sciencedirect.com/science/article/pii/S0044848617309742" TargetMode="External"/><Relationship Id="rId130" Type="http://schemas.openxmlformats.org/officeDocument/2006/relationships/hyperlink" Target="http://www.igb.gov.au/SiteCollectionDocuments/seafood-importers.pdf" TargetMode="External"/><Relationship Id="rId151" Type="http://schemas.openxmlformats.org/officeDocument/2006/relationships/hyperlink" Target="http://www.agriculture.gov.au/import/online-services/bicon" TargetMode="External"/><Relationship Id="rId172" Type="http://schemas.openxmlformats.org/officeDocument/2006/relationships/hyperlink" Target="https://www.apsac.com.au/previous/2013conference/pdf/papers07/day1_24oct07/StreamA2/RegulatoryCaptureManagingTheRisks_JohnBoyd.pdf" TargetMode="External"/><Relationship Id="rId193" Type="http://schemas.openxmlformats.org/officeDocument/2006/relationships/hyperlink" Target="http://www.agriculture.gov.au/animal/aquatic/aquavetplan/ostreid-herpesvirus" TargetMode="External"/><Relationship Id="rId207" Type="http://schemas.openxmlformats.org/officeDocument/2006/relationships/hyperlink" Target="http://onlinelibrary.wiley.com/doi/10.1111/j.1365-2761.2008.00951.x/abstract?systemMessage=Wiley+Online+Library+usage+report+download+page+will+be+unavailable+on+Friday+24th+November+2017+at+21%3A00+EST+%2F+02.00+GMT+%2F+10%3A00+SGT+%28Saturday+25" TargetMode="External"/><Relationship Id="rId13" Type="http://schemas.openxmlformats.org/officeDocument/2006/relationships/hyperlink" Target="http://www.igb.gov.au/Pages/completed-audits-and-reviews.aspx" TargetMode="External"/><Relationship Id="rId109" Type="http://schemas.openxmlformats.org/officeDocument/2006/relationships/hyperlink" Target="http://onlinelibrary.wiley.com/doi/10.1111/j.1753-5131.2009.01007.x/abstract" TargetMode="External"/><Relationship Id="rId34" Type="http://schemas.openxmlformats.org/officeDocument/2006/relationships/image" Target="media/image15.jpeg"/><Relationship Id="rId55" Type="http://schemas.openxmlformats.org/officeDocument/2006/relationships/hyperlink" Target="https://www.google.com.au/url?sa=t&amp;rct=j&amp;q=&amp;esrc=s&amp;source=web&amp;cd=1&amp;cad=rja&amp;uact=8&amp;ved=0ahUKEwjor8Kb6MLXAhXKEbwKHeS6Co8QFggmMAA&amp;url=https%3A%2F%2Fwww.aph.gov.au%2F~%2Fmedia%2FCommittees%2Frrat_ctte%2Festimates%2Fbud_1718%2FAG%2FAg_tabled_doc3.pdf&amp;usg=AOvVaw2ndJSkfoETIyR83fCaR3Cf" TargetMode="External"/><Relationship Id="rId76" Type="http://schemas.openxmlformats.org/officeDocument/2006/relationships/hyperlink" Target="http://europepmc.org/abstract/med/22434004" TargetMode="External"/><Relationship Id="rId97" Type="http://schemas.openxmlformats.org/officeDocument/2006/relationships/hyperlink" Target="http://documents.worldbank.org/curated/en/110681468054563438/Reducing-disease-risk-in-aquaculture" TargetMode="External"/><Relationship Id="rId120" Type="http://schemas.openxmlformats.org/officeDocument/2006/relationships/hyperlink" Target="http://www.fao.org/wairdocs/tan/x5931e/x5931e00.HTM" TargetMode="External"/><Relationship Id="rId141" Type="http://schemas.openxmlformats.org/officeDocument/2006/relationships/hyperlink" Target="http://www.agriculture.gov.au/SiteCollectionDocuments/ba/animal/prawn-submissions/SIAA_Peer_Review.pdf" TargetMode="External"/><Relationship Id="rId7" Type="http://schemas.openxmlformats.org/officeDocument/2006/relationships/endnotes" Target="endnotes.xml"/><Relationship Id="rId162" Type="http://schemas.openxmlformats.org/officeDocument/2006/relationships/hyperlink" Target="http://www.agriculture.gov.au/import/industry-advice/2017" TargetMode="External"/><Relationship Id="rId183" Type="http://schemas.openxmlformats.org/officeDocument/2006/relationships/hyperlink" Target="http://parlinfo.aph.gov.au/parlInfo/download/committees/estimate/882f0fee-3124-41a3-8033-897ce6c3c54b/toc_pdf/Rural%20and%20Regional%20Affairs%20and%20Transport%20Legislation%20Committee_2017_05_24_5113_Official.pdf;fileType=application%2Fpdf" TargetMode="External"/><Relationship Id="rId218" Type="http://schemas.openxmlformats.org/officeDocument/2006/relationships/hyperlink" Target="http://www.parliament.wa.gov.au/parliament/commit.nsf/(Evidence+Lookup+by+Com+ID)/39CC21B581745916482578310040D1BF/$file/pc.wri.sub.195.leavenotrace.pdf" TargetMode="External"/><Relationship Id="rId24" Type="http://schemas.openxmlformats.org/officeDocument/2006/relationships/image" Target="media/image7.jpeg"/><Relationship Id="rId45" Type="http://schemas.openxmlformats.org/officeDocument/2006/relationships/hyperlink" Target="http://www.igb.gov.au/Pages/suspension-uncooked-prawn-imports.aspx" TargetMode="External"/><Relationship Id="rId66" Type="http://schemas.openxmlformats.org/officeDocument/2006/relationships/hyperlink" Target="http://www.oie.int/en/international-standard-setting/aquatic-code/access-online/" TargetMode="External"/><Relationship Id="rId87" Type="http://schemas.openxmlformats.org/officeDocument/2006/relationships/hyperlink" Target="https://ntepa.nt.gov.au/__data/assets/pdf_file/0004/376492/draft_eis_seadragon_legune_growout_appendix16_biosecurity_assessment.pdf" TargetMode="External"/><Relationship Id="rId110" Type="http://schemas.openxmlformats.org/officeDocument/2006/relationships/hyperlink" Target="http://www.agriculture.gov.au/SiteCollectionDocuments/ba/memos/2000/animal/00-057.pdf" TargetMode="External"/><Relationship Id="rId131" Type="http://schemas.openxmlformats.org/officeDocument/2006/relationships/hyperlink" Target="http://www.sciencedirect.com/science/article/pii/S0044848609009284?via%3Dihub" TargetMode="External"/><Relationship Id="rId152" Type="http://schemas.openxmlformats.org/officeDocument/2006/relationships/hyperlink" Target="http://www.agriculture.gov.au/import/industry-advice/15/69-2015" TargetMode="External"/><Relationship Id="rId173" Type="http://schemas.openxmlformats.org/officeDocument/2006/relationships/hyperlink" Target="https://www.aclei.gov.au/sites/g/files/net846/f/aclei-investigation-report-operation-karoola_0.pdf?v=1508894227" TargetMode="External"/><Relationship Id="rId194" Type="http://schemas.openxmlformats.org/officeDocument/2006/relationships/hyperlink" Target="https://www.researchgate.net/publication/317378797_Identifying_the_cause_of_Oyster_Oedema_Disease_OOD_in_pearl_oysters_Pinctada_maxima_and_developing_diagnostic_tests_for_OOD" TargetMode="External"/><Relationship Id="rId208" Type="http://schemas.openxmlformats.org/officeDocument/2006/relationships/hyperlink" Target="http://www.int-res.com/abstracts/dao/v85/n2/p93-103/" TargetMode="External"/><Relationship Id="rId14" Type="http://schemas.openxmlformats.org/officeDocument/2006/relationships/hyperlink" Target="mailto:inspgenbiosecurity@agriculture.gov.au" TargetMode="External"/><Relationship Id="rId35" Type="http://schemas.openxmlformats.org/officeDocument/2006/relationships/image" Target="media/image16.jpg"/><Relationship Id="rId56" Type="http://schemas.openxmlformats.org/officeDocument/2006/relationships/hyperlink" Target="https://www.daf.qld.gov.au/__data/assets/pdf_file/0010/1237285/WSSV-advisory-panel-report.pdf" TargetMode="External"/><Relationship Id="rId77" Type="http://schemas.openxmlformats.org/officeDocument/2006/relationships/hyperlink" Target="http://www.agriculture.gov.au/SiteCollectionDocuments/ba/memos/2009/Final_prawn_IRA_report_7_Oct_09.pdf" TargetMode="External"/><Relationship Id="rId100" Type="http://schemas.openxmlformats.org/officeDocument/2006/relationships/hyperlink" Target="http://www.fao.org/in-action/globefish/market-reports/resource-detail/en/c/989543/" TargetMode="External"/><Relationship Id="rId8" Type="http://schemas.openxmlformats.org/officeDocument/2006/relationships/image" Target="media/image1.jpeg"/><Relationship Id="rId98" Type="http://schemas.openxmlformats.org/officeDocument/2006/relationships/hyperlink" Target="https://www.undercurrentnews.com/2017/01/03/china-shrimp-billion-dollar-smuggling-operation-jeopardizes-entire-industry/" TargetMode="External"/><Relationship Id="rId121" Type="http://schemas.openxmlformats.org/officeDocument/2006/relationships/hyperlink" Target="http://www.agriculture.gov.au/SiteCollectionDocuments/ba/animal/prawn-submissions/2003-11_reporttoba_dec02.pdf" TargetMode="External"/><Relationship Id="rId142" Type="http://schemas.openxmlformats.org/officeDocument/2006/relationships/hyperlink" Target="http://journals.sagepub.com/doi/abs/10.1177/104063871102300102?url_ver=Z39.88-2003&amp;rfr_id=ori%3Arid%3Acrossref.org&amp;rfr_dat=cr_pub%3Dpubmed&amp;" TargetMode="External"/><Relationship Id="rId163" Type="http://schemas.openxmlformats.org/officeDocument/2006/relationships/hyperlink" Target="http://www.agriculture.gov.au/biosecurity/risk-analysis/memos/ba2017-12" TargetMode="External"/><Relationship Id="rId184" Type="http://schemas.openxmlformats.org/officeDocument/2006/relationships/hyperlink" Target="http://agwhitepaper.agriculture.gov.au/white-paper" TargetMode="External"/><Relationship Id="rId219" Type="http://schemas.openxmlformats.org/officeDocument/2006/relationships/header" Target="header3.xml"/><Relationship Id="rId3" Type="http://schemas.openxmlformats.org/officeDocument/2006/relationships/styles" Target="styles.xml"/><Relationship Id="rId214" Type="http://schemas.openxmlformats.org/officeDocument/2006/relationships/hyperlink" Target="http://parlinfo.aph.gov.au/parlInfo/search/display/display.w3p;query=Id%3A%22committees%2Fcommsen%2F42036b05-eecb-4159-b7af-6be33d0a7384%2F0000%22" TargetMode="External"/><Relationship Id="rId25" Type="http://schemas.openxmlformats.org/officeDocument/2006/relationships/image" Target="media/image8.jpeg"/><Relationship Id="rId46" Type="http://schemas.openxmlformats.org/officeDocument/2006/relationships/hyperlink" Target="https://www.aph.gov.au/Parliamentary_Business/Committees/Senate/Rural_and_Regional_Affairs_and_Transport/Seafoodimportation/~/media/1C8FDB0165DB401087D03D87B320B312.ashx" TargetMode="External"/><Relationship Id="rId67" Type="http://schemas.openxmlformats.org/officeDocument/2006/relationships/hyperlink" Target="http://parlinfo.aph.gov.au/parlInfo/search/display/display.w3p;query=Id%3A%22committees%2Fcommsen%2F42036b05-eecb-4159-b7af-6be33d0a7384%2F0000%22" TargetMode="External"/><Relationship Id="rId116" Type="http://schemas.openxmlformats.org/officeDocument/2006/relationships/hyperlink" Target="http://www.agriculture.gov.au/SiteCollectionDocuments/nebra-five-year-review.pdf" TargetMode="External"/><Relationship Id="rId137" Type="http://schemas.openxmlformats.org/officeDocument/2006/relationships/hyperlink" Target="http://www.agriculture.gov.au/SiteCollectionDocuments/ba/memos/2010/BAA_2010-11_Prawns_and_Prawn_products.pdf" TargetMode="External"/><Relationship Id="rId158" Type="http://schemas.openxmlformats.org/officeDocument/2006/relationships/hyperlink" Target="http://www.igb.gov.au/SiteCollectionDocuments/monckton.pdf" TargetMode="External"/><Relationship Id="rId20" Type="http://schemas.openxmlformats.org/officeDocument/2006/relationships/image" Target="media/image4.jpeg"/><Relationship Id="rId41" Type="http://schemas.openxmlformats.org/officeDocument/2006/relationships/image" Target="media/image22.png"/><Relationship Id="rId62" Type="http://schemas.openxmlformats.org/officeDocument/2006/relationships/hyperlink" Target="http://www.sciencedirect.com/science/article/pii/S0044848601005701" TargetMode="External"/><Relationship Id="rId83" Type="http://schemas.openxmlformats.org/officeDocument/2006/relationships/hyperlink" Target="http://www.sciencedirect.com/science/article/pii/S0044848613002974?via%3Dihub" TargetMode="External"/><Relationship Id="rId88" Type="http://schemas.openxmlformats.org/officeDocument/2006/relationships/hyperlink" Target="https://www.business.qld.gov.au/industries/farms-fishing-forestry/fisheries/aquaculture/species/black-tiger-prawn/growing-harvesting" TargetMode="External"/><Relationship Id="rId111" Type="http://schemas.openxmlformats.org/officeDocument/2006/relationships/hyperlink" Target="http://www.agriculture.gov.au/animal/aquatic/what-you-can-do-to-help" TargetMode="External"/><Relationship Id="rId132" Type="http://schemas.openxmlformats.org/officeDocument/2006/relationships/hyperlink" Target="http://www.agriculture.gov.au/SiteCollectionDocuments/ba/memos/2008/2008-30.pdf" TargetMode="External"/><Relationship Id="rId153" Type="http://schemas.openxmlformats.org/officeDocument/2006/relationships/hyperlink" Target="http://www.igb.gov.au/Documents/iigb-prawn-consignment-review-171110.pdf" TargetMode="External"/><Relationship Id="rId174" Type="http://schemas.openxmlformats.org/officeDocument/2006/relationships/hyperlink" Target="http://www.canberratimes.com.au/act-news/corrupt-agriculture-department-official-made-190000-in-secret-sideline-business-20170921-gylqk3.html" TargetMode="External"/><Relationship Id="rId179" Type="http://schemas.openxmlformats.org/officeDocument/2006/relationships/hyperlink" Target="http://www.theaustralian.com.au/national-affairs/state-politics/government-learned-of-prawn-infection-along-with-the-rest-of-us/news-story/2e062c95f6e89ce4495d5864cb1ae1d9" TargetMode="External"/><Relationship Id="rId195" Type="http://schemas.openxmlformats.org/officeDocument/2006/relationships/hyperlink" Target="http://www.agriculture.gov.au/animal/aquatic/aquavetplan/abalone-viral-ganglioneuritis" TargetMode="External"/><Relationship Id="rId209" Type="http://schemas.openxmlformats.org/officeDocument/2006/relationships/hyperlink" Target="http://www.sciencedirect.com/science/article/pii/S0304401705003572?via%3Dihub" TargetMode="External"/><Relationship Id="rId190" Type="http://schemas.openxmlformats.org/officeDocument/2006/relationships/hyperlink" Target="http://onlinelibrary.wiley.com/doi/10.1111/j.1751-0813.1993.tb15144.x/abstract?systemMessage=Wiley+Online+Library+usage+report+download+page+will+be+unavailable+on+Friday+24th+November+2017+at+21%3A00+EST+%2F+02.00+GMT+%2F+10%3A00+SGT+%28Saturday+" TargetMode="External"/><Relationship Id="rId204" Type="http://schemas.openxmlformats.org/officeDocument/2006/relationships/hyperlink" Target="http://onlinelibrary.wiley.com/doi/10.1046/j.1365-2761.2001.00329.x/abstract" TargetMode="External"/><Relationship Id="rId220" Type="http://schemas.openxmlformats.org/officeDocument/2006/relationships/footer" Target="footer3.xml"/><Relationship Id="rId225" Type="http://schemas.openxmlformats.org/officeDocument/2006/relationships/customXml" Target="../customXml/item4.xml"/><Relationship Id="rId15" Type="http://schemas.openxmlformats.org/officeDocument/2006/relationships/hyperlink" Target="http://www.igb.gov.au/Pages/default.aspx" TargetMode="External"/><Relationship Id="rId36" Type="http://schemas.openxmlformats.org/officeDocument/2006/relationships/image" Target="media/image17.jpeg"/><Relationship Id="rId57" Type="http://schemas.openxmlformats.org/officeDocument/2006/relationships/hyperlink" Target="http://www.outbreak.gov.au/current-responses-to-outbreaks/white-spot-disease" TargetMode="External"/><Relationship Id="rId106" Type="http://schemas.openxmlformats.org/officeDocument/2006/relationships/hyperlink" Target="http://europepmc.org/abstract/med/12135792" TargetMode="External"/><Relationship Id="rId127" Type="http://schemas.openxmlformats.org/officeDocument/2006/relationships/hyperlink" Target="http://www.agriculture.gov.au/SiteCollectionDocuments/ba/memos/2006/animal/2006_35.pdf" TargetMode="External"/><Relationship Id="rId10" Type="http://schemas.openxmlformats.org/officeDocument/2006/relationships/hyperlink" Target="https://creativecommons.org/licenses/by/4.0/legalcode" TargetMode="External"/><Relationship Id="rId31" Type="http://schemas.openxmlformats.org/officeDocument/2006/relationships/image" Target="media/image13.jpeg"/><Relationship Id="rId52" Type="http://schemas.openxmlformats.org/officeDocument/2006/relationships/hyperlink" Target="https://www.aph.gov.au/Parliamentary_Business/Committees/Senate/Rural_and_Regional_Affairs_and_Transport/Seafoodimportation/Final_Report" TargetMode="External"/><Relationship Id="rId73" Type="http://schemas.openxmlformats.org/officeDocument/2006/relationships/hyperlink" Target="https://www.was.org/meetings/SessionAbstracts.aspx?Code=AQ2016&amp;Session=8" TargetMode="External"/><Relationship Id="rId78" Type="http://schemas.openxmlformats.org/officeDocument/2006/relationships/hyperlink" Target="http://parlinfo.aph.gov.au/parlInfo/download/committees/estimate/d361919c-f8bb-4b70-a648-2e034c1d4d98/toc_pdf/Rural%20and%20Regional%20Affairs%20and%20Transport%20Legislation%20Committee_2017_02_28_4781_Official.pdf;fileType=application%2Fpdf" TargetMode="External"/><Relationship Id="rId94" Type="http://schemas.openxmlformats.org/officeDocument/2006/relationships/hyperlink" Target="http://onlinelibrary.wiley.com/doi/10.1046/j.1365-2761.2000.00232.x/abstract" TargetMode="External"/><Relationship Id="rId99" Type="http://schemas.openxmlformats.org/officeDocument/2006/relationships/hyperlink" Target="https://en.vietnamplus.vn/vietnams-shrimp-exports-to-china-surge-30-percent-in-first-half/116152.vnp" TargetMode="External"/><Relationship Id="rId101" Type="http://schemas.openxmlformats.org/officeDocument/2006/relationships/hyperlink" Target="http://www.gbcbiotech.com/genomicaypesca/pdfs/genomica_pesca/Shrimp%20Disease%20Control%20Past,%20Present%20and%20Future.pdf" TargetMode="External"/><Relationship Id="rId122" Type="http://schemas.openxmlformats.org/officeDocument/2006/relationships/hyperlink" Target="http://www.agriculture.gov.au/SiteCollectionDocuments/ba/memos/2007/animal/2007_13c.pdf" TargetMode="External"/><Relationship Id="rId143" Type="http://schemas.openxmlformats.org/officeDocument/2006/relationships/hyperlink" Target="https://www.deepdyve.com/lp/springer-journals/modelling-the-limit-of-detection-in-real-time-quantitative-pcr-v7yD8M9XrZ" TargetMode="External"/><Relationship Id="rId148" Type="http://schemas.openxmlformats.org/officeDocument/2006/relationships/hyperlink" Target="http://www.tandfonline.com/doi/abs/10.3109/1040841X.2012.709820?journalCode=imby20" TargetMode="External"/><Relationship Id="rId164" Type="http://schemas.openxmlformats.org/officeDocument/2006/relationships/hyperlink" Target="http://www.agriculture.gov.au/biosecurity/risk-analysis/memos/ba2017-12" TargetMode="External"/><Relationship Id="rId169" Type="http://schemas.openxmlformats.org/officeDocument/2006/relationships/hyperlink" Target="http://www.google.com.au/url?sa=t&amp;rct=j&amp;q=&amp;esrc=s&amp;source=web&amp;cd=1&amp;cad=rja&amp;uact=8&amp;ved=0ahUKEwjmh62qhcnXAhWGxLwKHYhwCoQQFggmMAA&amp;url=http%3A%2F%2Fwww.aph.gov.au%2FDocumentStore.ashx%3Fid%3D6d82d123-be72-4f1f-b45b-f28fb40086a3&amp;usg=AOvVaw1Fr2EqEFzOodtp" TargetMode="External"/><Relationship Id="rId185" Type="http://schemas.openxmlformats.org/officeDocument/2006/relationships/hyperlink" Target="http://www.agriculture.gov.au/biosecurity/australia/baac"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parlinfo.aph.gov.au/parlInfo/search/display/display.w3p;query=Id%3A%22committees%2Fcommsen%2F42036b05-eecb-4159-b7af-6be33d0a7384%2F0000%22" TargetMode="External"/><Relationship Id="rId210" Type="http://schemas.openxmlformats.org/officeDocument/2006/relationships/hyperlink" Target="http://www.agriculture.gov.au/animal/aquatic/aquaplan" TargetMode="External"/><Relationship Id="rId215" Type="http://schemas.openxmlformats.org/officeDocument/2006/relationships/hyperlink" Target="https://www.dpi.nsw.gov.au/fishing/recreational/recreational-fishing-fee/licence-fees-at-work/recreational-fishing-education" TargetMode="External"/><Relationship Id="rId26" Type="http://schemas.openxmlformats.org/officeDocument/2006/relationships/image" Target="media/image9.jpeg"/><Relationship Id="rId47" Type="http://schemas.openxmlformats.org/officeDocument/2006/relationships/hyperlink" Target="https://www.aph.gov.au/Parliamentary_Business/Committees/Senate/Rural_and_Regional_Affairs_and_Transport/Seafoodimportation/Terms_of_Reference" TargetMode="External"/><Relationship Id="rId68" Type="http://schemas.openxmlformats.org/officeDocument/2006/relationships/hyperlink" Target="http://onlinelibrary.wiley.com/doi/10.1046/j.1365-2761.2002.00367.x/abstract" TargetMode="External"/><Relationship Id="rId89" Type="http://schemas.openxmlformats.org/officeDocument/2006/relationships/hyperlink" Target="https://www.business.qld.gov.au/industries/farms-fishing-forestry/fisheries/aquaculture/site-selection-production/getting-started/establishment-costs" TargetMode="External"/><Relationship Id="rId112" Type="http://schemas.openxmlformats.org/officeDocument/2006/relationships/hyperlink" Target="http://www.agriculture.gov.au/SiteCollectionDocuments/ba/memos/2001/animal/2001-06.pdf" TargetMode="External"/><Relationship Id="rId133" Type="http://schemas.openxmlformats.org/officeDocument/2006/relationships/hyperlink" Target="https://www.ncbi.nlm.nih.gov/pmc/articles/PMC3550757/" TargetMode="External"/><Relationship Id="rId154" Type="http://schemas.openxmlformats.org/officeDocument/2006/relationships/hyperlink" Target="http://www.igb.gov.au/Documents/iigb-prawn-review-part-two.pdf" TargetMode="External"/><Relationship Id="rId175" Type="http://schemas.openxmlformats.org/officeDocument/2006/relationships/hyperlink" Target="http://www.theage.com.au/victoria/federal-biosecurity-officer-allegedly-trafficked-speed-20160831-gr5p6s.html" TargetMode="External"/><Relationship Id="rId196" Type="http://schemas.openxmlformats.org/officeDocument/2006/relationships/hyperlink" Target="http://dpipwe.tas.gov.au/biosecurity-tasmania/animal-biosecurity/animal-health/notifiable-animal-diseases" TargetMode="External"/><Relationship Id="rId200" Type="http://schemas.openxmlformats.org/officeDocument/2006/relationships/hyperlink" Target="https://www.nature.com/articles/425037a" TargetMode="External"/><Relationship Id="rId16" Type="http://schemas.openxmlformats.org/officeDocument/2006/relationships/header" Target="header1.xml"/><Relationship Id="rId221" Type="http://schemas.openxmlformats.org/officeDocument/2006/relationships/fontTable" Target="fontTable.xml"/><Relationship Id="rId37" Type="http://schemas.openxmlformats.org/officeDocument/2006/relationships/image" Target="media/image18.jpeg"/><Relationship Id="rId58" Type="http://schemas.openxmlformats.org/officeDocument/2006/relationships/hyperlink" Target="http://statements.qld.gov.au/Content/MediaAttachments/2017/pdf/Queensland%20Government%20Contribution%20to%20the%20White%20Spot%20Disease%20Response.pdf" TargetMode="External"/><Relationship Id="rId79" Type="http://schemas.openxmlformats.org/officeDocument/2006/relationships/hyperlink" Target="http://www.fao.org/fishery/publications/yearbooks/en" TargetMode="External"/><Relationship Id="rId102" Type="http://schemas.openxmlformats.org/officeDocument/2006/relationships/hyperlink" Target="https://researchonline.jcu.edu.au/18617/" TargetMode="External"/><Relationship Id="rId123" Type="http://schemas.openxmlformats.org/officeDocument/2006/relationships/hyperlink" Target="http://www.sciencedirect.com/science/article/pii/S0044848602002302?via%3Dihub" TargetMode="External"/><Relationship Id="rId144" Type="http://schemas.openxmlformats.org/officeDocument/2006/relationships/hyperlink" Target="http://clinchem.aaccjnls.org/content/55/4/611.long" TargetMode="External"/><Relationship Id="rId90" Type="http://schemas.openxmlformats.org/officeDocument/2006/relationships/hyperlink" Target="https://thewest.com.au/business/agriculture/north-west-prawn-farm-costs-hit-seafarms-group-ng-b88583859z" TargetMode="External"/><Relationship Id="rId165" Type="http://schemas.openxmlformats.org/officeDocument/2006/relationships/hyperlink" Target="http://www.agriculture.gov.au/SiteCollectionDocuments/ba/memos/2017/ba2017-07.pdf" TargetMode="External"/><Relationship Id="rId186" Type="http://schemas.openxmlformats.org/officeDocument/2006/relationships/hyperlink" Target="http://www.agriculture.gov.au/animal/health/laboratories/procedures/anzsdp/white-spot-disease" TargetMode="External"/><Relationship Id="rId211" Type="http://schemas.openxmlformats.org/officeDocument/2006/relationships/hyperlink" Target="http://www.abc.net.au/news/rural/2017-03-24/white-spot-expert-says-farmers-need-to-focus-on-broodstock/8382916" TargetMode="External"/><Relationship Id="rId27" Type="http://schemas.openxmlformats.org/officeDocument/2006/relationships/image" Target="media/image10.jpeg"/><Relationship Id="rId48" Type="http://schemas.openxmlformats.org/officeDocument/2006/relationships/hyperlink" Target="http://www.aph.gov.au/~/media/Committees/rrat_ctte/estimates/add_1617/ag/agr_add_info5.pdf" TargetMode="External"/><Relationship Id="rId69" Type="http://schemas.openxmlformats.org/officeDocument/2006/relationships/hyperlink" Target="http://www.frdc.com.au/Archived-Reports/FRDC%20Projects/2013-036-DLD.pdf" TargetMode="External"/><Relationship Id="rId113" Type="http://schemas.openxmlformats.org/officeDocument/2006/relationships/hyperlink" Target="https://www.wto.org/english/tratop_e/dispu_e/cases_e/ds18_e.htm" TargetMode="External"/><Relationship Id="rId134" Type="http://schemas.openxmlformats.org/officeDocument/2006/relationships/hyperlink" Target="http://www.agriculture.gov.au/SiteCollectionDocuments/ba/memos/2009/2009-08-baa-prawn-ira-esg.pdf" TargetMode="External"/><Relationship Id="rId80" Type="http://schemas.openxmlformats.org/officeDocument/2006/relationships/hyperlink" Target="http://www.marinespecies.org/" TargetMode="External"/><Relationship Id="rId155" Type="http://schemas.openxmlformats.org/officeDocument/2006/relationships/hyperlink" Target="http://www.agriculture.gov.au/import/arrival/clearance-inspection/documentary-requirements/minimum-document-requirements-policy" TargetMode="External"/><Relationship Id="rId176" Type="http://schemas.openxmlformats.org/officeDocument/2006/relationships/hyperlink" Target="http://journals.sagepub.com/doi/abs/10.1177/107179190000700104" TargetMode="External"/><Relationship Id="rId197" Type="http://schemas.openxmlformats.org/officeDocument/2006/relationships/hyperlink" Target="http://www.sciencedirect.com/science/article/pii/S016668511300114X?via%3Dihub" TargetMode="External"/><Relationship Id="rId201" Type="http://schemas.openxmlformats.org/officeDocument/2006/relationships/hyperlink" Target="http://www.sciencedirect.com/science/article/pii/S1050464802904146" TargetMode="External"/><Relationship Id="rId222" Type="http://schemas.openxmlformats.org/officeDocument/2006/relationships/theme" Target="theme/theme1.xml"/><Relationship Id="rId17" Type="http://schemas.openxmlformats.org/officeDocument/2006/relationships/footer" Target="footer1.xml"/><Relationship Id="rId38" Type="http://schemas.openxmlformats.org/officeDocument/2006/relationships/image" Target="media/image19.jpeg"/><Relationship Id="rId59" Type="http://schemas.openxmlformats.org/officeDocument/2006/relationships/hyperlink" Target="http://www.frdc.com.au/-/media/Fish-FRDC/2016-267-Project-Summary-Economic-Impact.ashx?la=en" TargetMode="External"/><Relationship Id="rId103" Type="http://schemas.openxmlformats.org/officeDocument/2006/relationships/hyperlink" Target="https://www.researchgate.net/publication/248341318_Outbreaks_of_infectious_myonecrosis_virus_IMNV_in_Indonesia_confirmed_by_genome_sequencing_and_use_of_an_alternative_RT-PCR_detection_method" TargetMode="External"/><Relationship Id="rId124" Type="http://schemas.openxmlformats.org/officeDocument/2006/relationships/hyperlink" Target="http://www.agriculture.gov.au/SiteCollectionDocuments/ba/memos/2000/animal/00-041.pdf" TargetMode="External"/><Relationship Id="rId70" Type="http://schemas.openxmlformats.org/officeDocument/2006/relationships/hyperlink" Target="http://www.frdc.com.au/Archived-Reports/FRDC%20Projects/2016-172-DLD.pdf" TargetMode="External"/><Relationship Id="rId91" Type="http://schemas.openxmlformats.org/officeDocument/2006/relationships/hyperlink" Target="http://www.sciencedirect.com/science/article/pii/S0022201110002168" TargetMode="External"/><Relationship Id="rId145" Type="http://schemas.openxmlformats.org/officeDocument/2006/relationships/hyperlink" Target="http://www.int-res.com/abstracts/dao/v25/n1-2/p133-141/" TargetMode="External"/><Relationship Id="rId166" Type="http://schemas.openxmlformats.org/officeDocument/2006/relationships/hyperlink" Target="http://frdc.com.au/Archived-Reports/FRDC%20Projects/2016-066-DLD.pdf" TargetMode="External"/><Relationship Id="rId187" Type="http://schemas.openxmlformats.org/officeDocument/2006/relationships/hyperlink" Target="https://www.nata.com.au/nata/phocadownload/publications/Guidance_information/tech-notes-information-papers/technical_note_17.pdf" TargetMode="External"/><Relationship Id="rId1" Type="http://schemas.openxmlformats.org/officeDocument/2006/relationships/customXml" Target="../customXml/item1.xml"/><Relationship Id="rId212" Type="http://schemas.openxmlformats.org/officeDocument/2006/relationships/hyperlink" Target="https://repository.seafdec.org.ph/handle/10862/630" TargetMode="External"/><Relationship Id="rId28" Type="http://schemas.openxmlformats.org/officeDocument/2006/relationships/image" Target="media/image11.jpeg"/><Relationship Id="rId49" Type="http://schemas.openxmlformats.org/officeDocument/2006/relationships/hyperlink" Target="http://www.aph.gov.au/Parliamentary_Business/Committees/Senate/Rural_and_Regional_Affairs_and_Transport/Seafoodimportation/Submissions" TargetMode="External"/><Relationship Id="rId114" Type="http://schemas.openxmlformats.org/officeDocument/2006/relationships/hyperlink" Target="http://apo.org.au/node/2926" TargetMode="External"/><Relationship Id="rId60" Type="http://schemas.openxmlformats.org/officeDocument/2006/relationships/hyperlink" Target="https://www.aph.gov.au/DocumentStore.ashx?id=16b35915-800b-4d04-8fc3-b2b9480281e5&amp;subId=511164" TargetMode="External"/><Relationship Id="rId81" Type="http://schemas.openxmlformats.org/officeDocument/2006/relationships/hyperlink" Target="http://www.northernaustralia.gov.au/sites/prod.office-northern-australia.gov.au/files/files/Chapter_09-Commercial_fishing_and_aquaculture_.pdf" TargetMode="External"/><Relationship Id="rId135" Type="http://schemas.openxmlformats.org/officeDocument/2006/relationships/hyperlink" Target="http://www.agriculture.gov.au/SiteCollectionDocuments/ba/memos/2009/2009_25_Prawn_BAA.pdf" TargetMode="External"/><Relationship Id="rId156" Type="http://schemas.openxmlformats.org/officeDocument/2006/relationships/hyperlink" Target="http://parlinfo.aph.gov.au/parlInfo/download/committees/estimate/d361919c-f8bb-4b70-a648-2e034c1d4d98/toc_pdf/Rural%20and%20Regional%20Affairs%20and%20Transport%20Legislation%20Committee_2017_02_28_4781_Official.pdf;fileType=application%2Fpdf" TargetMode="External"/><Relationship Id="rId177" Type="http://schemas.openxmlformats.org/officeDocument/2006/relationships/hyperlink" Target="http://www.abc.net.au/news/2010-04-01/prawn-farmers-jailed-for-illegal-imports/388744?site=farnorth" TargetMode="External"/><Relationship Id="rId198" Type="http://schemas.openxmlformats.org/officeDocument/2006/relationships/hyperlink" Target="https://www.ncbi.nlm.nih.gov/pubmed/18768192" TargetMode="External"/><Relationship Id="rId202" Type="http://schemas.openxmlformats.org/officeDocument/2006/relationships/hyperlink" Target="http://www.publish.csiro.au/mf/MF03203" TargetMode="External"/><Relationship Id="rId223" Type="http://schemas.openxmlformats.org/officeDocument/2006/relationships/customXml" Target="../customXml/item2.xml"/><Relationship Id="rId18" Type="http://schemas.openxmlformats.org/officeDocument/2006/relationships/header" Target="header2.xml"/><Relationship Id="rId39" Type="http://schemas.openxmlformats.org/officeDocument/2006/relationships/image" Target="media/image20.jpeg"/><Relationship Id="rId50" Type="http://schemas.openxmlformats.org/officeDocument/2006/relationships/hyperlink" Target="http://www.aph.gov.au/Parliamentary_Business/Committees/Senate/Rural_and_Regional_Affairs_and_Transport/Seafoodimportation/Public_Hearings" TargetMode="External"/><Relationship Id="rId104" Type="http://schemas.openxmlformats.org/officeDocument/2006/relationships/hyperlink" Target="http://apfa.com.au/wp-content/uploads/2017/03/Review-of-current-disease-threats-Thitamadee-et-al-2016.pdf" TargetMode="External"/><Relationship Id="rId125" Type="http://schemas.openxmlformats.org/officeDocument/2006/relationships/hyperlink" Target="http://www.agriculture.gov.au/SiteCollectionDocuments/ba/memos/2001/animal/2001-11a.pdf" TargetMode="External"/><Relationship Id="rId146" Type="http://schemas.openxmlformats.org/officeDocument/2006/relationships/hyperlink" Target="http://www.iq2000kit.com/products_2.php?bgid=1&amp;gid=1&amp;sgid=1" TargetMode="External"/><Relationship Id="rId167" Type="http://schemas.openxmlformats.org/officeDocument/2006/relationships/hyperlink" Target="http://australianpork.com.au/wp-content/uploads/2013/11/170228_-APL-Submission-to-Foreign-Policy-White-Paper.pdf" TargetMode="External"/><Relationship Id="rId188" Type="http://schemas.openxmlformats.org/officeDocument/2006/relationships/hyperlink" Target="http://www.anqap.com/" TargetMode="External"/><Relationship Id="rId71" Type="http://schemas.openxmlformats.org/officeDocument/2006/relationships/hyperlink" Target="https://www.sciencedirect.com/science/article/pii/S0044848617317362" TargetMode="External"/><Relationship Id="rId92" Type="http://schemas.openxmlformats.org/officeDocument/2006/relationships/hyperlink" Target="https://www.ncbi.nlm.nih.gov/pubmed/16956056" TargetMode="External"/><Relationship Id="rId213" Type="http://schemas.openxmlformats.org/officeDocument/2006/relationships/hyperlink" Target="http://www.gafrd.org/files/0058/58204/Nyan-Taw.pdf" TargetMode="External"/><Relationship Id="rId2" Type="http://schemas.openxmlformats.org/officeDocument/2006/relationships/numbering" Target="numbering.xml"/><Relationship Id="rId29" Type="http://schemas.openxmlformats.org/officeDocument/2006/relationships/image" Target="media/image12.jpeg"/><Relationship Id="rId40" Type="http://schemas.openxmlformats.org/officeDocument/2006/relationships/image" Target="media/image21.png"/><Relationship Id="rId115" Type="http://schemas.openxmlformats.org/officeDocument/2006/relationships/hyperlink" Target="https://www.coag.gov.au/content/intergovernmental-agreement-biosecurity" TargetMode="External"/><Relationship Id="rId136" Type="http://schemas.openxmlformats.org/officeDocument/2006/relationships/hyperlink" Target="http://www.agriculture.gov.au/biosecurity/risk-analysis/animal/prawns/final_generic_import_risk_analysis_ira_report_for_prawns_and_prawn_products" TargetMode="External"/><Relationship Id="rId157" Type="http://schemas.openxmlformats.org/officeDocument/2006/relationships/hyperlink" Target="https://www.aph.gov.au/DocumentStore.ashx?id=8c87c77f-b1cd-4771-a84c-5295ba0ae75d&amp;subId=510358" TargetMode="External"/><Relationship Id="rId178" Type="http://schemas.openxmlformats.org/officeDocument/2006/relationships/hyperlink" Target="http://parlinfo.aph.gov.au/parlInfo/download/committees/commsen/32c40105-6291-4ea9-8785-83b179bc8713/toc_pdf/Rural%20and%20Regional%20Affairs%20and%20Transport%20References%20Committee_2017_03_28_4916_Official.pdf;fileType=application%2Fpdf" TargetMode="External"/><Relationship Id="rId61" Type="http://schemas.openxmlformats.org/officeDocument/2006/relationships/hyperlink" Target="https://www.daf.qld.gov.au/__data/assets/pdf_file/0019/65116/prawn-translocation-protocol.pdf" TargetMode="External"/><Relationship Id="rId82" Type="http://schemas.openxmlformats.org/officeDocument/2006/relationships/hyperlink" Target="http://onlinelibrary.wiley.com/doi/10.1111/are.12782/abstract" TargetMode="External"/><Relationship Id="rId199" Type="http://schemas.openxmlformats.org/officeDocument/2006/relationships/hyperlink" Target="http://www.sciencedirect.com/science/article/pii/S1050464810003736" TargetMode="External"/><Relationship Id="rId203" Type="http://schemas.openxmlformats.org/officeDocument/2006/relationships/hyperlink" Target="http://www.dpi.nsw.gov.au/fishing/pests-diseases/animal-health/aquaculture/poms" TargetMode="External"/><Relationship Id="rId19" Type="http://schemas.openxmlformats.org/officeDocument/2006/relationships/footer" Target="footer2.xml"/><Relationship Id="rId224" Type="http://schemas.openxmlformats.org/officeDocument/2006/relationships/customXml" Target="../customXml/item3.xml"/><Relationship Id="rId30" Type="http://schemas.openxmlformats.org/officeDocument/2006/relationships/hyperlink" Target="http://www.australianprawns.com.au/" TargetMode="External"/><Relationship Id="rId105" Type="http://schemas.openxmlformats.org/officeDocument/2006/relationships/hyperlink" Target="https://www.ncbi.nlm.nih.gov/pubmed/18672016" TargetMode="External"/><Relationship Id="rId126" Type="http://schemas.openxmlformats.org/officeDocument/2006/relationships/hyperlink" Target="http://www.agriculture.gov.au/SiteCollectionDocuments/ba/memos/2002/animal/2002-33a.pdf" TargetMode="External"/><Relationship Id="rId147" Type="http://schemas.openxmlformats.org/officeDocument/2006/relationships/hyperlink" Target="http://www.sciencedirect.com/science/article/pii/S0044848605007453" TargetMode="External"/><Relationship Id="rId168" Type="http://schemas.openxmlformats.org/officeDocument/2006/relationships/hyperlink" Target="http://www.oie.int/en/international-standard-setting/aquatic-manual/access-online/" TargetMode="External"/><Relationship Id="rId51" Type="http://schemas.openxmlformats.org/officeDocument/2006/relationships/hyperlink" Target="http://www.aph.gov.au/Parliamentary_Business/Committees/Senate/Rural_and_Regional_Affairs_and_Transport/Seafoodimportation/Interim_Report" TargetMode="External"/><Relationship Id="rId72" Type="http://schemas.openxmlformats.org/officeDocument/2006/relationships/hyperlink" Target="http://onlinelibrary.wiley.com/doi/10.1111/raq.12192/full" TargetMode="External"/><Relationship Id="rId93" Type="http://schemas.openxmlformats.org/officeDocument/2006/relationships/hyperlink" Target="http://www.fao.org/docrep/009/a0086e/A0086E00.htm" TargetMode="External"/><Relationship Id="rId189" Type="http://schemas.openxmlformats.org/officeDocument/2006/relationships/hyperlink" Target="http://www.int-res.com/abstracts/dao/v62/n3/p265-2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3D2C1E0A855421449C0CE0CFE8FBF984" ma:contentTypeVersion="2" ma:contentTypeDescription="Create a new document." ma:contentTypeScope="" ma:versionID="5b17c3b7cecd7324a14d05aaad05edf2">
  <xsd:schema xmlns:xsd="http://www.w3.org/2001/XMLSchema" xmlns:xs="http://www.w3.org/2001/XMLSchema" xmlns:p="http://schemas.microsoft.com/office/2006/metadata/properties" xmlns:ns1="http://schemas.microsoft.com/sharepoint/v3" targetNamespace="http://schemas.microsoft.com/office/2006/metadata/properties" ma:root="true" ma:fieldsID="fc433f8d84b32dbd926f1ff0d8c915c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79B07A4-746B-4463-94EA-CE6A8B3F1A42}"/>
</file>

<file path=customXml/itemProps2.xml><?xml version="1.0" encoding="utf-8"?>
<ds:datastoreItem xmlns:ds="http://schemas.openxmlformats.org/officeDocument/2006/customXml" ds:itemID="{85E994E1-66CA-438D-950A-557FFC75CBE0}"/>
</file>

<file path=customXml/itemProps3.xml><?xml version="1.0" encoding="utf-8"?>
<ds:datastoreItem xmlns:ds="http://schemas.openxmlformats.org/officeDocument/2006/customXml" ds:itemID="{43EE4673-4731-4A6F-8D49-1E15E9F71CC3}"/>
</file>

<file path=customXml/itemProps4.xml><?xml version="1.0" encoding="utf-8"?>
<ds:datastoreItem xmlns:ds="http://schemas.openxmlformats.org/officeDocument/2006/customXml" ds:itemID="{1202D90D-5ADC-436B-89E2-EEF136B012DF}"/>
</file>

<file path=docProps/app.xml><?xml version="1.0" encoding="utf-8"?>
<Properties xmlns="http://schemas.openxmlformats.org/officeDocument/2006/extended-properties" xmlns:vt="http://schemas.openxmlformats.org/officeDocument/2006/docPropsVTypes">
  <Template>Normal</Template>
  <TotalTime>0</TotalTime>
  <Pages>144</Pages>
  <Words>59496</Words>
  <Characters>339130</Characters>
  <Application>Microsoft Office Word</Application>
  <DocSecurity>4</DocSecurity>
  <Lines>2826</Lines>
  <Paragraphs>795</Paragraphs>
  <ScaleCrop>false</ScaleCrop>
  <HeadingPairs>
    <vt:vector size="2" baseType="variant">
      <vt:variant>
        <vt:lpstr>Title</vt:lpstr>
      </vt:variant>
      <vt:variant>
        <vt:i4>1</vt:i4>
      </vt:variant>
    </vt:vector>
  </HeadingPairs>
  <TitlesOfParts>
    <vt:vector size="1" baseType="lpstr">
      <vt:lpstr>Uncooked prawn imports: effectiveness of biosecurity controls</vt:lpstr>
    </vt:vector>
  </TitlesOfParts>
  <Company>Department of Agriculture Fisheries &amp; Forestry</Company>
  <LinksUpToDate>false</LinksUpToDate>
  <CharactersWithSpaces>397831</CharactersWithSpaces>
  <SharedDoc>false</SharedDoc>
  <HLinks>
    <vt:vector size="408" baseType="variant">
      <vt:variant>
        <vt:i4>5177431</vt:i4>
      </vt:variant>
      <vt:variant>
        <vt:i4>468</vt:i4>
      </vt:variant>
      <vt:variant>
        <vt:i4>0</vt:i4>
      </vt:variant>
      <vt:variant>
        <vt:i4>5</vt:i4>
      </vt:variant>
      <vt:variant>
        <vt:lpwstr>http://www.planthealthaustralia.com.au/national-programs/national-plant-biosecurity-strategy/</vt:lpwstr>
      </vt:variant>
      <vt:variant>
        <vt:lpwstr/>
      </vt:variant>
      <vt:variant>
        <vt:i4>5373969</vt:i4>
      </vt:variant>
      <vt:variant>
        <vt:i4>465</vt:i4>
      </vt:variant>
      <vt:variant>
        <vt:i4>0</vt:i4>
      </vt:variant>
      <vt:variant>
        <vt:i4>5</vt:i4>
      </vt:variant>
      <vt:variant>
        <vt:lpwstr>http://www.wageningenur.nl/en/Publication-details.htm?publicationId=publication-way-333431343037</vt:lpwstr>
      </vt:variant>
      <vt:variant>
        <vt:lpwstr/>
      </vt:variant>
      <vt:variant>
        <vt:i4>4718592</vt:i4>
      </vt:variant>
      <vt:variant>
        <vt:i4>462</vt:i4>
      </vt:variant>
      <vt:variant>
        <vt:i4>0</vt:i4>
      </vt:variant>
      <vt:variant>
        <vt:i4>5</vt:i4>
      </vt:variant>
      <vt:variant>
        <vt:lpwstr>https://www.ippc.int/static/media/files/publications/1292408061_1291027896_MC2010_12_Specificati.doc</vt:lpwstr>
      </vt:variant>
      <vt:variant>
        <vt:lpwstr/>
      </vt:variant>
      <vt:variant>
        <vt:i4>983042</vt:i4>
      </vt:variant>
      <vt:variant>
        <vt:i4>459</vt:i4>
      </vt:variant>
      <vt:variant>
        <vt:i4>0</vt:i4>
      </vt:variant>
      <vt:variant>
        <vt:i4>5</vt:i4>
      </vt:variant>
      <vt:variant>
        <vt:lpwstr>http://www.igb.gov.au/Pages/completed-audits-and-reviews.aspx</vt:lpwstr>
      </vt:variant>
      <vt:variant>
        <vt:lpwstr/>
      </vt:variant>
      <vt:variant>
        <vt:i4>983042</vt:i4>
      </vt:variant>
      <vt:variant>
        <vt:i4>456</vt:i4>
      </vt:variant>
      <vt:variant>
        <vt:i4>0</vt:i4>
      </vt:variant>
      <vt:variant>
        <vt:i4>5</vt:i4>
      </vt:variant>
      <vt:variant>
        <vt:lpwstr>http://www.igb.gov.au/Pages/completed-audits-and-reviews.aspx</vt:lpwstr>
      </vt:variant>
      <vt:variant>
        <vt:lpwstr/>
      </vt:variant>
      <vt:variant>
        <vt:i4>983042</vt:i4>
      </vt:variant>
      <vt:variant>
        <vt:i4>453</vt:i4>
      </vt:variant>
      <vt:variant>
        <vt:i4>0</vt:i4>
      </vt:variant>
      <vt:variant>
        <vt:i4>5</vt:i4>
      </vt:variant>
      <vt:variant>
        <vt:lpwstr>http://www.igb.gov.au/Pages/completed-audits-and-reviews.aspx</vt:lpwstr>
      </vt:variant>
      <vt:variant>
        <vt:lpwstr/>
      </vt:variant>
      <vt:variant>
        <vt:i4>983042</vt:i4>
      </vt:variant>
      <vt:variant>
        <vt:i4>450</vt:i4>
      </vt:variant>
      <vt:variant>
        <vt:i4>0</vt:i4>
      </vt:variant>
      <vt:variant>
        <vt:i4>5</vt:i4>
      </vt:variant>
      <vt:variant>
        <vt:lpwstr>http://www.igb.gov.au/Pages/completed-audits-and-reviews.aspx</vt:lpwstr>
      </vt:variant>
      <vt:variant>
        <vt:lpwstr/>
      </vt:variant>
      <vt:variant>
        <vt:i4>983042</vt:i4>
      </vt:variant>
      <vt:variant>
        <vt:i4>447</vt:i4>
      </vt:variant>
      <vt:variant>
        <vt:i4>0</vt:i4>
      </vt:variant>
      <vt:variant>
        <vt:i4>5</vt:i4>
      </vt:variant>
      <vt:variant>
        <vt:lpwstr>http://www.igb.gov.au/Pages/completed-audits-and-reviews.aspx</vt:lpwstr>
      </vt:variant>
      <vt:variant>
        <vt:lpwstr/>
      </vt:variant>
      <vt:variant>
        <vt:i4>3211324</vt:i4>
      </vt:variant>
      <vt:variant>
        <vt:i4>444</vt:i4>
      </vt:variant>
      <vt:variant>
        <vt:i4>0</vt:i4>
      </vt:variant>
      <vt:variant>
        <vt:i4>5</vt:i4>
      </vt:variant>
      <vt:variant>
        <vt:lpwstr>https://www.ippc.int/en/core-activities/standards-setting/ispms/</vt:lpwstr>
      </vt:variant>
      <vt:variant>
        <vt:lpwstr>592</vt:lpwstr>
      </vt:variant>
      <vt:variant>
        <vt:i4>3211324</vt:i4>
      </vt:variant>
      <vt:variant>
        <vt:i4>441</vt:i4>
      </vt:variant>
      <vt:variant>
        <vt:i4>0</vt:i4>
      </vt:variant>
      <vt:variant>
        <vt:i4>5</vt:i4>
      </vt:variant>
      <vt:variant>
        <vt:lpwstr>https://www.ippc.int/en/core-activities/standards-setting/ispms/</vt:lpwstr>
      </vt:variant>
      <vt:variant>
        <vt:lpwstr>592</vt:lpwstr>
      </vt:variant>
      <vt:variant>
        <vt:i4>2621564</vt:i4>
      </vt:variant>
      <vt:variant>
        <vt:i4>438</vt:i4>
      </vt:variant>
      <vt:variant>
        <vt:i4>0</vt:i4>
      </vt:variant>
      <vt:variant>
        <vt:i4>5</vt:i4>
      </vt:variant>
      <vt:variant>
        <vt:lpwstr>http://www.fao.org/3/contents/91c3b3ad-5abd-5b86-963d-bc893d2d82d3/i2731e00.htm</vt:lpwstr>
      </vt:variant>
      <vt:variant>
        <vt:lpwstr/>
      </vt:variant>
      <vt:variant>
        <vt:i4>3211324</vt:i4>
      </vt:variant>
      <vt:variant>
        <vt:i4>435</vt:i4>
      </vt:variant>
      <vt:variant>
        <vt:i4>0</vt:i4>
      </vt:variant>
      <vt:variant>
        <vt:i4>5</vt:i4>
      </vt:variant>
      <vt:variant>
        <vt:lpwstr>https://www.ippc.int/en/core-activities/standards-setting/ispms/</vt:lpwstr>
      </vt:variant>
      <vt:variant>
        <vt:lpwstr>592</vt:lpwstr>
      </vt:variant>
      <vt:variant>
        <vt:i4>3211324</vt:i4>
      </vt:variant>
      <vt:variant>
        <vt:i4>432</vt:i4>
      </vt:variant>
      <vt:variant>
        <vt:i4>0</vt:i4>
      </vt:variant>
      <vt:variant>
        <vt:i4>5</vt:i4>
      </vt:variant>
      <vt:variant>
        <vt:lpwstr>https://www.ippc.int/en/core-activities/standards-setting/ispms/</vt:lpwstr>
      </vt:variant>
      <vt:variant>
        <vt:lpwstr>592</vt:lpwstr>
      </vt:variant>
      <vt:variant>
        <vt:i4>3211324</vt:i4>
      </vt:variant>
      <vt:variant>
        <vt:i4>429</vt:i4>
      </vt:variant>
      <vt:variant>
        <vt:i4>0</vt:i4>
      </vt:variant>
      <vt:variant>
        <vt:i4>5</vt:i4>
      </vt:variant>
      <vt:variant>
        <vt:lpwstr>https://www.ippc.int/en/core-activities/standards-setting/ispms/</vt:lpwstr>
      </vt:variant>
      <vt:variant>
        <vt:lpwstr>592</vt:lpwstr>
      </vt:variant>
      <vt:variant>
        <vt:i4>3276853</vt:i4>
      </vt:variant>
      <vt:variant>
        <vt:i4>426</vt:i4>
      </vt:variant>
      <vt:variant>
        <vt:i4>0</vt:i4>
      </vt:variant>
      <vt:variant>
        <vt:i4>5</vt:i4>
      </vt:variant>
      <vt:variant>
        <vt:lpwstr>http://www.agriculture.gov.au/import/arrival/clearance-inspection/documentary-requirements/minimum-document-requirements-policy</vt:lpwstr>
      </vt:variant>
      <vt:variant>
        <vt:lpwstr/>
      </vt:variant>
      <vt:variant>
        <vt:i4>6684715</vt:i4>
      </vt:variant>
      <vt:variant>
        <vt:i4>423</vt:i4>
      </vt:variant>
      <vt:variant>
        <vt:i4>0</vt:i4>
      </vt:variant>
      <vt:variant>
        <vt:i4>5</vt:i4>
      </vt:variant>
      <vt:variant>
        <vt:lpwstr>http://www.agriculture.gov.au/biosecurity/risk-analysis/memos/ba2015-23</vt:lpwstr>
      </vt:variant>
      <vt:variant>
        <vt:lpwstr/>
      </vt:variant>
      <vt:variant>
        <vt:i4>8126588</vt:i4>
      </vt:variant>
      <vt:variant>
        <vt:i4>420</vt:i4>
      </vt:variant>
      <vt:variant>
        <vt:i4>0</vt:i4>
      </vt:variant>
      <vt:variant>
        <vt:i4>5</vt:i4>
      </vt:variant>
      <vt:variant>
        <vt:lpwstr>http://agwhitepaper.agriculture.gov.au/</vt:lpwstr>
      </vt:variant>
      <vt:variant>
        <vt:lpwstr/>
      </vt:variant>
      <vt:variant>
        <vt:i4>393246</vt:i4>
      </vt:variant>
      <vt:variant>
        <vt:i4>417</vt:i4>
      </vt:variant>
      <vt:variant>
        <vt:i4>0</vt:i4>
      </vt:variant>
      <vt:variant>
        <vt:i4>5</vt:i4>
      </vt:variant>
      <vt:variant>
        <vt:lpwstr>http://www.agriculture.gov.au/biosecurity/risk-analysis/ira/process-handbook</vt:lpwstr>
      </vt:variant>
      <vt:variant>
        <vt:lpwstr/>
      </vt:variant>
      <vt:variant>
        <vt:i4>2949225</vt:i4>
      </vt:variant>
      <vt:variant>
        <vt:i4>414</vt:i4>
      </vt:variant>
      <vt:variant>
        <vt:i4>0</vt:i4>
      </vt:variant>
      <vt:variant>
        <vt:i4>5</vt:i4>
      </vt:variant>
      <vt:variant>
        <vt:lpwstr>http://agriculture.gov.au/about/publications/quarantine-biosecurity-report-and-preliminary-response</vt:lpwstr>
      </vt:variant>
      <vt:variant>
        <vt:lpwstr/>
      </vt:variant>
      <vt:variant>
        <vt:i4>4915211</vt:i4>
      </vt:variant>
      <vt:variant>
        <vt:i4>411</vt:i4>
      </vt:variant>
      <vt:variant>
        <vt:i4>0</vt:i4>
      </vt:variant>
      <vt:variant>
        <vt:i4>5</vt:i4>
      </vt:variant>
      <vt:variant>
        <vt:lpwstr>http://www.ausveg.com.au/biosecurity/</vt:lpwstr>
      </vt:variant>
      <vt:variant>
        <vt:lpwstr/>
      </vt:variant>
      <vt:variant>
        <vt:i4>4390914</vt:i4>
      </vt:variant>
      <vt:variant>
        <vt:i4>408</vt:i4>
      </vt:variant>
      <vt:variant>
        <vt:i4>0</vt:i4>
      </vt:variant>
      <vt:variant>
        <vt:i4>5</vt:i4>
      </vt:variant>
      <vt:variant>
        <vt:lpwstr>http://www.hazera.us.com/under-construction/</vt:lpwstr>
      </vt:variant>
      <vt:variant>
        <vt:lpwstr/>
      </vt:variant>
      <vt:variant>
        <vt:i4>4915211</vt:i4>
      </vt:variant>
      <vt:variant>
        <vt:i4>372</vt:i4>
      </vt:variant>
      <vt:variant>
        <vt:i4>0</vt:i4>
      </vt:variant>
      <vt:variant>
        <vt:i4>5</vt:i4>
      </vt:variant>
      <vt:variant>
        <vt:lpwstr>http://www.ausveg.com.au/biosecurity/</vt:lpwstr>
      </vt:variant>
      <vt:variant>
        <vt:lpwstr/>
      </vt:variant>
      <vt:variant>
        <vt:i4>6357023</vt:i4>
      </vt:variant>
      <vt:variant>
        <vt:i4>369</vt:i4>
      </vt:variant>
      <vt:variant>
        <vt:i4>0</vt:i4>
      </vt:variant>
      <vt:variant>
        <vt:i4>5</vt:i4>
      </vt:variant>
      <vt:variant>
        <vt:lpwstr>http://www.planthealthaustralia.com.au/?page_id=126</vt:lpwstr>
      </vt:variant>
      <vt:variant>
        <vt:lpwstr/>
      </vt:variant>
      <vt:variant>
        <vt:i4>5046272</vt:i4>
      </vt:variant>
      <vt:variant>
        <vt:i4>366</vt:i4>
      </vt:variant>
      <vt:variant>
        <vt:i4>0</vt:i4>
      </vt:variant>
      <vt:variant>
        <vt:i4>5</vt:i4>
      </vt:variant>
      <vt:variant>
        <vt:lpwstr>http://www.planthealthaustralia.com.au/epprd/</vt:lpwstr>
      </vt:variant>
      <vt:variant>
        <vt:lpwstr/>
      </vt:variant>
      <vt:variant>
        <vt:i4>1835092</vt:i4>
      </vt:variant>
      <vt:variant>
        <vt:i4>363</vt:i4>
      </vt:variant>
      <vt:variant>
        <vt:i4>0</vt:i4>
      </vt:variant>
      <vt:variant>
        <vt:i4>5</vt:i4>
      </vt:variant>
      <vt:variant>
        <vt:lpwstr>http://www.aptrc.asn.au/</vt:lpwstr>
      </vt:variant>
      <vt:variant>
        <vt:lpwstr/>
      </vt:variant>
      <vt:variant>
        <vt:i4>3145853</vt:i4>
      </vt:variant>
      <vt:variant>
        <vt:i4>360</vt:i4>
      </vt:variant>
      <vt:variant>
        <vt:i4>0</vt:i4>
      </vt:variant>
      <vt:variant>
        <vt:i4>5</vt:i4>
      </vt:variant>
      <vt:variant>
        <vt:lpwstr>http://www.agriculture.gov.au/pests-diseases-weeds/plant/pests-disease-list</vt:lpwstr>
      </vt:variant>
      <vt:variant>
        <vt:lpwstr/>
      </vt:variant>
      <vt:variant>
        <vt:i4>589914</vt:i4>
      </vt:variant>
      <vt:variant>
        <vt:i4>357</vt:i4>
      </vt:variant>
      <vt:variant>
        <vt:i4>0</vt:i4>
      </vt:variant>
      <vt:variant>
        <vt:i4>5</vt:i4>
      </vt:variant>
      <vt:variant>
        <vt:lpwstr>http://biconnet.daff.gov.au/BICONWeb/ImportConditions/Questions/EvaluateCase?elementID=0000140371&amp;elementVersionID=30</vt:lpwstr>
      </vt:variant>
      <vt:variant>
        <vt:lpwstr/>
      </vt:variant>
      <vt:variant>
        <vt:i4>65623</vt:i4>
      </vt:variant>
      <vt:variant>
        <vt:i4>354</vt:i4>
      </vt:variant>
      <vt:variant>
        <vt:i4>0</vt:i4>
      </vt:variant>
      <vt:variant>
        <vt:i4>5</vt:i4>
      </vt:variant>
      <vt:variant>
        <vt:lpwstr>http://biconnet.daff.gov.au/BICONWeb/ImportConditions/Questions/EvaluateCase?elementID=0000098371&amp;elementVersionID=25</vt:lpwstr>
      </vt:variant>
      <vt:variant>
        <vt:lpwstr/>
      </vt:variant>
      <vt:variant>
        <vt:i4>2031695</vt:i4>
      </vt:variant>
      <vt:variant>
        <vt:i4>327</vt:i4>
      </vt:variant>
      <vt:variant>
        <vt:i4>0</vt:i4>
      </vt:variant>
      <vt:variant>
        <vt:i4>5</vt:i4>
      </vt:variant>
      <vt:variant>
        <vt:lpwstr>http://www.naktuinbouw.nl/sites/naktuinbouw.eu/files/Dutch Validation Guideline v1.0.pdf</vt:lpwstr>
      </vt:variant>
      <vt:variant>
        <vt:lpwstr/>
      </vt:variant>
      <vt:variant>
        <vt:i4>4063248</vt:i4>
      </vt:variant>
      <vt:variant>
        <vt:i4>324</vt:i4>
      </vt:variant>
      <vt:variant>
        <vt:i4>0</vt:i4>
      </vt:variant>
      <vt:variant>
        <vt:i4>5</vt:i4>
      </vt:variant>
      <vt:variant>
        <vt:lpwstr>https://www.seedtest.org/en/international-rules-_content---1--1083.html</vt:lpwstr>
      </vt:variant>
      <vt:variant>
        <vt:lpwstr/>
      </vt:variant>
      <vt:variant>
        <vt:i4>1245259</vt:i4>
      </vt:variant>
      <vt:variant>
        <vt:i4>321</vt:i4>
      </vt:variant>
      <vt:variant>
        <vt:i4>0</vt:i4>
      </vt:variant>
      <vt:variant>
        <vt:i4>5</vt:i4>
      </vt:variant>
      <vt:variant>
        <vt:lpwstr>http://www.naktuinbouw.eu/en/news/nal-and-asln-reliable-authorization-systems</vt:lpwstr>
      </vt:variant>
      <vt:variant>
        <vt:lpwstr>sthash.4un7Ik55.dpuf</vt:lpwstr>
      </vt:variant>
      <vt:variant>
        <vt:i4>851990</vt:i4>
      </vt:variant>
      <vt:variant>
        <vt:i4>315</vt:i4>
      </vt:variant>
      <vt:variant>
        <vt:i4>0</vt:i4>
      </vt:variant>
      <vt:variant>
        <vt:i4>5</vt:i4>
      </vt:variant>
      <vt:variant>
        <vt:lpwstr>http://www.naktuinbouw.nl/sites/naktuinbouw.eu/files/NAL Conditions 2016_def_dec 2015.pdf</vt:lpwstr>
      </vt:variant>
      <vt:variant>
        <vt:lpwstr/>
      </vt:variant>
      <vt:variant>
        <vt:i4>4390968</vt:i4>
      </vt:variant>
      <vt:variant>
        <vt:i4>312</vt:i4>
      </vt:variant>
      <vt:variant>
        <vt:i4>0</vt:i4>
      </vt:variant>
      <vt:variant>
        <vt:i4>5</vt:i4>
      </vt:variant>
      <vt:variant>
        <vt:lpwstr>http://ec.europa.eu/food/plant/plant_health_biosecurity/legislation/index_en.htm</vt:lpwstr>
      </vt:variant>
      <vt:variant>
        <vt:lpwstr/>
      </vt:variant>
      <vt:variant>
        <vt:i4>1507420</vt:i4>
      </vt:variant>
      <vt:variant>
        <vt:i4>303</vt:i4>
      </vt:variant>
      <vt:variant>
        <vt:i4>0</vt:i4>
      </vt:variant>
      <vt:variant>
        <vt:i4>5</vt:i4>
      </vt:variant>
      <vt:variant>
        <vt:lpwstr>http://eur-lex.europa.eu/legal-content/EN/TXT/?uri=CELEX%3A32008L0061</vt:lpwstr>
      </vt:variant>
      <vt:variant>
        <vt:lpwstr/>
      </vt:variant>
      <vt:variant>
        <vt:i4>4390968</vt:i4>
      </vt:variant>
      <vt:variant>
        <vt:i4>300</vt:i4>
      </vt:variant>
      <vt:variant>
        <vt:i4>0</vt:i4>
      </vt:variant>
      <vt:variant>
        <vt:i4>5</vt:i4>
      </vt:variant>
      <vt:variant>
        <vt:lpwstr>http://ec.europa.eu/food/plant/plant_health_biosecurity/legislation/index_en.htm</vt:lpwstr>
      </vt:variant>
      <vt:variant>
        <vt:lpwstr/>
      </vt:variant>
      <vt:variant>
        <vt:i4>5374047</vt:i4>
      </vt:variant>
      <vt:variant>
        <vt:i4>297</vt:i4>
      </vt:variant>
      <vt:variant>
        <vt:i4>0</vt:i4>
      </vt:variant>
      <vt:variant>
        <vt:i4>5</vt:i4>
      </vt:variant>
      <vt:variant>
        <vt:lpwstr>http://www.efsa.europa.eu/en/topics/topic/planthealth</vt:lpwstr>
      </vt:variant>
      <vt:variant>
        <vt:lpwstr/>
      </vt:variant>
      <vt:variant>
        <vt:i4>3801193</vt:i4>
      </vt:variant>
      <vt:variant>
        <vt:i4>249</vt:i4>
      </vt:variant>
      <vt:variant>
        <vt:i4>0</vt:i4>
      </vt:variant>
      <vt:variant>
        <vt:i4>5</vt:i4>
      </vt:variant>
      <vt:variant>
        <vt:lpwstr>http://www.planthealthaustralia.com.au/biosecurity/emergency-plant-pest-response-deed/</vt:lpwstr>
      </vt:variant>
      <vt:variant>
        <vt:lpwstr/>
      </vt:variant>
      <vt:variant>
        <vt:i4>2293814</vt:i4>
      </vt:variant>
      <vt:variant>
        <vt:i4>246</vt:i4>
      </vt:variant>
      <vt:variant>
        <vt:i4>0</vt:i4>
      </vt:variant>
      <vt:variant>
        <vt:i4>5</vt:i4>
      </vt:variant>
      <vt:variant>
        <vt:lpwstr>http://www.agriculture.gov.au/import/arrival/clearance-inspection/documentary-requirements/minimum-document-requirements-policy?wasRedirectedByModule=true</vt:lpwstr>
      </vt:variant>
      <vt:variant>
        <vt:lpwstr/>
      </vt:variant>
      <vt:variant>
        <vt:i4>1769547</vt:i4>
      </vt:variant>
      <vt:variant>
        <vt:i4>228</vt:i4>
      </vt:variant>
      <vt:variant>
        <vt:i4>0</vt:i4>
      </vt:variant>
      <vt:variant>
        <vt:i4>5</vt:i4>
      </vt:variant>
      <vt:variant>
        <vt:lpwstr>http://www.agriculture.gov.au/import/goods/plant-products/seeds-for-sowing/contaminants-tolerance</vt:lpwstr>
      </vt:variant>
      <vt:variant>
        <vt:lpwstr/>
      </vt:variant>
      <vt:variant>
        <vt:i4>2293814</vt:i4>
      </vt:variant>
      <vt:variant>
        <vt:i4>207</vt:i4>
      </vt:variant>
      <vt:variant>
        <vt:i4>0</vt:i4>
      </vt:variant>
      <vt:variant>
        <vt:i4>5</vt:i4>
      </vt:variant>
      <vt:variant>
        <vt:lpwstr>http://www.agriculture.gov.au/import/arrival/clearance-inspection/documentary-requirements/minimum-document-requirements-policy?wasRedirectedByModule=true</vt:lpwstr>
      </vt:variant>
      <vt:variant>
        <vt:lpwstr/>
      </vt:variant>
      <vt:variant>
        <vt:i4>1310811</vt:i4>
      </vt:variant>
      <vt:variant>
        <vt:i4>195</vt:i4>
      </vt:variant>
      <vt:variant>
        <vt:i4>0</vt:i4>
      </vt:variant>
      <vt:variant>
        <vt:i4>5</vt:i4>
      </vt:variant>
      <vt:variant>
        <vt:lpwstr>http://legacy.crcplantbiosecurity.com.au/sites/all/files/CRC10164_final_report(1).pdf</vt:lpwstr>
      </vt:variant>
      <vt:variant>
        <vt:lpwstr/>
      </vt:variant>
      <vt:variant>
        <vt:i4>4390968</vt:i4>
      </vt:variant>
      <vt:variant>
        <vt:i4>141</vt:i4>
      </vt:variant>
      <vt:variant>
        <vt:i4>0</vt:i4>
      </vt:variant>
      <vt:variant>
        <vt:i4>5</vt:i4>
      </vt:variant>
      <vt:variant>
        <vt:lpwstr>http://ec.europa.eu/food/plant/plant_health_biosecurity/legislation/index_en.htm</vt:lpwstr>
      </vt:variant>
      <vt:variant>
        <vt:lpwstr/>
      </vt:variant>
      <vt:variant>
        <vt:i4>1835067</vt:i4>
      </vt:variant>
      <vt:variant>
        <vt:i4>134</vt:i4>
      </vt:variant>
      <vt:variant>
        <vt:i4>0</vt:i4>
      </vt:variant>
      <vt:variant>
        <vt:i4>5</vt:i4>
      </vt:variant>
      <vt:variant>
        <vt:lpwstr/>
      </vt:variant>
      <vt:variant>
        <vt:lpwstr>_Toc449433585</vt:lpwstr>
      </vt:variant>
      <vt:variant>
        <vt:i4>1835067</vt:i4>
      </vt:variant>
      <vt:variant>
        <vt:i4>128</vt:i4>
      </vt:variant>
      <vt:variant>
        <vt:i4>0</vt:i4>
      </vt:variant>
      <vt:variant>
        <vt:i4>5</vt:i4>
      </vt:variant>
      <vt:variant>
        <vt:lpwstr/>
      </vt:variant>
      <vt:variant>
        <vt:lpwstr>_Toc449433584</vt:lpwstr>
      </vt:variant>
      <vt:variant>
        <vt:i4>1835067</vt:i4>
      </vt:variant>
      <vt:variant>
        <vt:i4>122</vt:i4>
      </vt:variant>
      <vt:variant>
        <vt:i4>0</vt:i4>
      </vt:variant>
      <vt:variant>
        <vt:i4>5</vt:i4>
      </vt:variant>
      <vt:variant>
        <vt:lpwstr/>
      </vt:variant>
      <vt:variant>
        <vt:lpwstr>_Toc449433583</vt:lpwstr>
      </vt:variant>
      <vt:variant>
        <vt:i4>1835067</vt:i4>
      </vt:variant>
      <vt:variant>
        <vt:i4>116</vt:i4>
      </vt:variant>
      <vt:variant>
        <vt:i4>0</vt:i4>
      </vt:variant>
      <vt:variant>
        <vt:i4>5</vt:i4>
      </vt:variant>
      <vt:variant>
        <vt:lpwstr/>
      </vt:variant>
      <vt:variant>
        <vt:lpwstr>_Toc449433582</vt:lpwstr>
      </vt:variant>
      <vt:variant>
        <vt:i4>1835067</vt:i4>
      </vt:variant>
      <vt:variant>
        <vt:i4>110</vt:i4>
      </vt:variant>
      <vt:variant>
        <vt:i4>0</vt:i4>
      </vt:variant>
      <vt:variant>
        <vt:i4>5</vt:i4>
      </vt:variant>
      <vt:variant>
        <vt:lpwstr/>
      </vt:variant>
      <vt:variant>
        <vt:lpwstr>_Toc449433581</vt:lpwstr>
      </vt:variant>
      <vt:variant>
        <vt:i4>1835067</vt:i4>
      </vt:variant>
      <vt:variant>
        <vt:i4>104</vt:i4>
      </vt:variant>
      <vt:variant>
        <vt:i4>0</vt:i4>
      </vt:variant>
      <vt:variant>
        <vt:i4>5</vt:i4>
      </vt:variant>
      <vt:variant>
        <vt:lpwstr/>
      </vt:variant>
      <vt:variant>
        <vt:lpwstr>_Toc449433580</vt:lpwstr>
      </vt:variant>
      <vt:variant>
        <vt:i4>1245243</vt:i4>
      </vt:variant>
      <vt:variant>
        <vt:i4>98</vt:i4>
      </vt:variant>
      <vt:variant>
        <vt:i4>0</vt:i4>
      </vt:variant>
      <vt:variant>
        <vt:i4>5</vt:i4>
      </vt:variant>
      <vt:variant>
        <vt:lpwstr/>
      </vt:variant>
      <vt:variant>
        <vt:lpwstr>_Toc449433579</vt:lpwstr>
      </vt:variant>
      <vt:variant>
        <vt:i4>1245243</vt:i4>
      </vt:variant>
      <vt:variant>
        <vt:i4>92</vt:i4>
      </vt:variant>
      <vt:variant>
        <vt:i4>0</vt:i4>
      </vt:variant>
      <vt:variant>
        <vt:i4>5</vt:i4>
      </vt:variant>
      <vt:variant>
        <vt:lpwstr/>
      </vt:variant>
      <vt:variant>
        <vt:lpwstr>_Toc449433578</vt:lpwstr>
      </vt:variant>
      <vt:variant>
        <vt:i4>1245243</vt:i4>
      </vt:variant>
      <vt:variant>
        <vt:i4>86</vt:i4>
      </vt:variant>
      <vt:variant>
        <vt:i4>0</vt:i4>
      </vt:variant>
      <vt:variant>
        <vt:i4>5</vt:i4>
      </vt:variant>
      <vt:variant>
        <vt:lpwstr/>
      </vt:variant>
      <vt:variant>
        <vt:lpwstr>_Toc449433577</vt:lpwstr>
      </vt:variant>
      <vt:variant>
        <vt:i4>1245243</vt:i4>
      </vt:variant>
      <vt:variant>
        <vt:i4>80</vt:i4>
      </vt:variant>
      <vt:variant>
        <vt:i4>0</vt:i4>
      </vt:variant>
      <vt:variant>
        <vt:i4>5</vt:i4>
      </vt:variant>
      <vt:variant>
        <vt:lpwstr/>
      </vt:variant>
      <vt:variant>
        <vt:lpwstr>_Toc449433576</vt:lpwstr>
      </vt:variant>
      <vt:variant>
        <vt:i4>1245243</vt:i4>
      </vt:variant>
      <vt:variant>
        <vt:i4>74</vt:i4>
      </vt:variant>
      <vt:variant>
        <vt:i4>0</vt:i4>
      </vt:variant>
      <vt:variant>
        <vt:i4>5</vt:i4>
      </vt:variant>
      <vt:variant>
        <vt:lpwstr/>
      </vt:variant>
      <vt:variant>
        <vt:lpwstr>_Toc449433575</vt:lpwstr>
      </vt:variant>
      <vt:variant>
        <vt:i4>1245243</vt:i4>
      </vt:variant>
      <vt:variant>
        <vt:i4>68</vt:i4>
      </vt:variant>
      <vt:variant>
        <vt:i4>0</vt:i4>
      </vt:variant>
      <vt:variant>
        <vt:i4>5</vt:i4>
      </vt:variant>
      <vt:variant>
        <vt:lpwstr/>
      </vt:variant>
      <vt:variant>
        <vt:lpwstr>_Toc449433574</vt:lpwstr>
      </vt:variant>
      <vt:variant>
        <vt:i4>1245243</vt:i4>
      </vt:variant>
      <vt:variant>
        <vt:i4>62</vt:i4>
      </vt:variant>
      <vt:variant>
        <vt:i4>0</vt:i4>
      </vt:variant>
      <vt:variant>
        <vt:i4>5</vt:i4>
      </vt:variant>
      <vt:variant>
        <vt:lpwstr/>
      </vt:variant>
      <vt:variant>
        <vt:lpwstr>_Toc449433573</vt:lpwstr>
      </vt:variant>
      <vt:variant>
        <vt:i4>1245243</vt:i4>
      </vt:variant>
      <vt:variant>
        <vt:i4>56</vt:i4>
      </vt:variant>
      <vt:variant>
        <vt:i4>0</vt:i4>
      </vt:variant>
      <vt:variant>
        <vt:i4>5</vt:i4>
      </vt:variant>
      <vt:variant>
        <vt:lpwstr/>
      </vt:variant>
      <vt:variant>
        <vt:lpwstr>_Toc449433572</vt:lpwstr>
      </vt:variant>
      <vt:variant>
        <vt:i4>1245243</vt:i4>
      </vt:variant>
      <vt:variant>
        <vt:i4>50</vt:i4>
      </vt:variant>
      <vt:variant>
        <vt:i4>0</vt:i4>
      </vt:variant>
      <vt:variant>
        <vt:i4>5</vt:i4>
      </vt:variant>
      <vt:variant>
        <vt:lpwstr/>
      </vt:variant>
      <vt:variant>
        <vt:lpwstr>_Toc449433571</vt:lpwstr>
      </vt:variant>
      <vt:variant>
        <vt:i4>1245243</vt:i4>
      </vt:variant>
      <vt:variant>
        <vt:i4>44</vt:i4>
      </vt:variant>
      <vt:variant>
        <vt:i4>0</vt:i4>
      </vt:variant>
      <vt:variant>
        <vt:i4>5</vt:i4>
      </vt:variant>
      <vt:variant>
        <vt:lpwstr/>
      </vt:variant>
      <vt:variant>
        <vt:lpwstr>_Toc449433570</vt:lpwstr>
      </vt:variant>
      <vt:variant>
        <vt:i4>1179707</vt:i4>
      </vt:variant>
      <vt:variant>
        <vt:i4>38</vt:i4>
      </vt:variant>
      <vt:variant>
        <vt:i4>0</vt:i4>
      </vt:variant>
      <vt:variant>
        <vt:i4>5</vt:i4>
      </vt:variant>
      <vt:variant>
        <vt:lpwstr/>
      </vt:variant>
      <vt:variant>
        <vt:lpwstr>_Toc449433569</vt:lpwstr>
      </vt:variant>
      <vt:variant>
        <vt:i4>1179707</vt:i4>
      </vt:variant>
      <vt:variant>
        <vt:i4>32</vt:i4>
      </vt:variant>
      <vt:variant>
        <vt:i4>0</vt:i4>
      </vt:variant>
      <vt:variant>
        <vt:i4>5</vt:i4>
      </vt:variant>
      <vt:variant>
        <vt:lpwstr/>
      </vt:variant>
      <vt:variant>
        <vt:lpwstr>_Toc449433568</vt:lpwstr>
      </vt:variant>
      <vt:variant>
        <vt:i4>1179707</vt:i4>
      </vt:variant>
      <vt:variant>
        <vt:i4>26</vt:i4>
      </vt:variant>
      <vt:variant>
        <vt:i4>0</vt:i4>
      </vt:variant>
      <vt:variant>
        <vt:i4>5</vt:i4>
      </vt:variant>
      <vt:variant>
        <vt:lpwstr/>
      </vt:variant>
      <vt:variant>
        <vt:lpwstr>_Toc449433567</vt:lpwstr>
      </vt:variant>
      <vt:variant>
        <vt:i4>1179707</vt:i4>
      </vt:variant>
      <vt:variant>
        <vt:i4>20</vt:i4>
      </vt:variant>
      <vt:variant>
        <vt:i4>0</vt:i4>
      </vt:variant>
      <vt:variant>
        <vt:i4>5</vt:i4>
      </vt:variant>
      <vt:variant>
        <vt:lpwstr/>
      </vt:variant>
      <vt:variant>
        <vt:lpwstr>_Toc449433566</vt:lpwstr>
      </vt:variant>
      <vt:variant>
        <vt:i4>7077903</vt:i4>
      </vt:variant>
      <vt:variant>
        <vt:i4>15</vt:i4>
      </vt:variant>
      <vt:variant>
        <vt:i4>0</vt:i4>
      </vt:variant>
      <vt:variant>
        <vt:i4>5</vt:i4>
      </vt:variant>
      <vt:variant>
        <vt:lpwstr>mailto:copyright@agriculture.gov.au</vt:lpwstr>
      </vt:variant>
      <vt:variant>
        <vt:lpwstr/>
      </vt:variant>
      <vt:variant>
        <vt:i4>1638491</vt:i4>
      </vt:variant>
      <vt:variant>
        <vt:i4>12</vt:i4>
      </vt:variant>
      <vt:variant>
        <vt:i4>0</vt:i4>
      </vt:variant>
      <vt:variant>
        <vt:i4>5</vt:i4>
      </vt:variant>
      <vt:variant>
        <vt:lpwstr>http://www.igb.gov.au/Pages/default.aspx</vt:lpwstr>
      </vt:variant>
      <vt:variant>
        <vt:lpwstr/>
      </vt:variant>
      <vt:variant>
        <vt:i4>2687040</vt:i4>
      </vt:variant>
      <vt:variant>
        <vt:i4>9</vt:i4>
      </vt:variant>
      <vt:variant>
        <vt:i4>0</vt:i4>
      </vt:variant>
      <vt:variant>
        <vt:i4>5</vt:i4>
      </vt:variant>
      <vt:variant>
        <vt:lpwstr>mailto:inspgenbiosecurity@agriculture.gov.au</vt:lpwstr>
      </vt:variant>
      <vt:variant>
        <vt:lpwstr/>
      </vt:variant>
      <vt:variant>
        <vt:i4>983042</vt:i4>
      </vt:variant>
      <vt:variant>
        <vt:i4>6</vt:i4>
      </vt:variant>
      <vt:variant>
        <vt:i4>0</vt:i4>
      </vt:variant>
      <vt:variant>
        <vt:i4>5</vt:i4>
      </vt:variant>
      <vt:variant>
        <vt:lpwstr>http://www.igb.gov.au/Pages/completed-audits-and-reviews.aspx</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Uncooked prawn imports: effectiveness of biosecurity controls</dc:title>
  <dc:subject/>
  <dc:creator>Inspector-General of Biosecurity</dc:creator>
  <cp:keywords/>
  <dc:description/>
  <cp:lastModifiedBy>Dang, Van</cp:lastModifiedBy>
  <cp:revision>2</cp:revision>
  <cp:lastPrinted>2017-12-11T22:47:00Z</cp:lastPrinted>
  <dcterms:created xsi:type="dcterms:W3CDTF">2017-12-12T02:53:00Z</dcterms:created>
  <dcterms:modified xsi:type="dcterms:W3CDTF">2017-12-12T02:53:00Z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0x0101003D2C1E0A855421449C0CE0CFE8FBF984</vt:lpwstr>
  </property>
</Properties>
</file>